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55F3" w:rsidRPr="00EC55F3" w:rsidRDefault="00EC55F3" w:rsidP="00EC55F3">
      <w:pPr>
        <w:widowControl/>
        <w:spacing w:line="586" w:lineRule="atLeast"/>
        <w:ind w:left="420"/>
        <w:jc w:val="center"/>
        <w:rPr>
          <w:rFonts w:ascii="宋体" w:eastAsia="宋体" w:hAnsi="宋体" w:cs="宋体" w:hint="eastAsia"/>
          <w:color w:val="333333"/>
          <w:kern w:val="0"/>
          <w:sz w:val="27"/>
          <w:szCs w:val="27"/>
        </w:rPr>
      </w:pPr>
      <w:r w:rsidRPr="00EC55F3">
        <w:rPr>
          <w:rFonts w:ascii="宋体" w:eastAsia="宋体" w:hAnsi="宋体" w:cs="宋体" w:hint="eastAsia"/>
          <w:b/>
          <w:bCs/>
          <w:color w:val="333333"/>
          <w:kern w:val="0"/>
          <w:sz w:val="24"/>
          <w:szCs w:val="24"/>
        </w:rPr>
        <w:t>构建市场导向的绿色技术创新体系路线图、时间表</w:t>
      </w:r>
    </w:p>
    <w:tbl>
      <w:tblPr>
        <w:tblW w:w="0" w:type="auto"/>
        <w:jc w:val="center"/>
        <w:tblLayout w:type="fixed"/>
        <w:tblLook w:val="04A0"/>
      </w:tblPr>
      <w:tblGrid>
        <w:gridCol w:w="1215"/>
        <w:gridCol w:w="2163"/>
        <w:gridCol w:w="2708"/>
        <w:gridCol w:w="6379"/>
      </w:tblGrid>
      <w:tr w:rsidR="00EC55F3" w:rsidRPr="00EC55F3">
        <w:trPr>
          <w:trHeight w:val="503"/>
          <w:jc w:val="center"/>
        </w:trPr>
        <w:tc>
          <w:tcPr>
            <w:tcW w:w="3378" w:type="dxa"/>
            <w:gridSpan w:val="2"/>
            <w:tcBorders>
              <w:top w:val="single" w:sz="4" w:space="0" w:color="000000"/>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b/>
                <w:bCs/>
                <w:color w:val="444444"/>
                <w:kern w:val="0"/>
                <w:sz w:val="24"/>
                <w:szCs w:val="24"/>
              </w:rPr>
              <w:t>任    务</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b/>
                <w:bCs/>
                <w:color w:val="444444"/>
                <w:kern w:val="0"/>
                <w:sz w:val="24"/>
                <w:szCs w:val="24"/>
              </w:rPr>
              <w:t>牵头部门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b/>
                <w:bCs/>
                <w:color w:val="444444"/>
                <w:kern w:val="0"/>
                <w:sz w:val="24"/>
                <w:szCs w:val="24"/>
              </w:rPr>
              <w:t>主要成果形式和完成时间</w:t>
            </w:r>
          </w:p>
        </w:tc>
      </w:tr>
      <w:tr w:rsidR="00EC55F3" w:rsidRPr="00EC55F3">
        <w:trPr>
          <w:trHeight w:val="57"/>
          <w:jc w:val="center"/>
        </w:trPr>
        <w:tc>
          <w:tcPr>
            <w:tcW w:w="1215" w:type="dxa"/>
            <w:vMerge w:val="restart"/>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一、培育壮大绿色技术创新主体</w:t>
            </w: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1.强化企业的绿色技术创新主体地位</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1.实施绿色技术创新“十百千”行动（2019-2022年）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2.开展绿色技术创新企业认定（2019-2022年）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2.激发高校、科研院所绿色技术创新活力</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科技部、教育部、财政部、人力资源社会保障部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3.完善促进高校、科研院所绿色技术创新和成果转化的政策措施（2020年）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4.设立一批绿色技术创新人才培养基地（2019-2022年）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5.开展职业教育机构绿色技术专业教育试点（2019-2022年）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3.推进“产学研金介”深度融合</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科技部、教育部、农业农村部、人力资源社会保障部、国家发展改革委、国家能源局</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6.推动龙头企业整合高校、科研院所、产业园区、金融机构、中介机构等力量建立联合体（2019-2022年）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7.完善促进和规范绿色技术创新人才流动的相关政策（2020年）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8.推动组建一批绿色技术创新联盟（2019-2022年）</w:t>
            </w:r>
          </w:p>
        </w:tc>
      </w:tr>
      <w:tr w:rsidR="00EC55F3" w:rsidRPr="00EC55F3">
        <w:trPr>
          <w:trHeight w:val="57"/>
          <w:jc w:val="center"/>
        </w:trPr>
        <w:tc>
          <w:tcPr>
            <w:tcW w:w="1215" w:type="dxa"/>
            <w:tcBorders>
              <w:top w:val="single" w:sz="4" w:space="0" w:color="000000"/>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6"/>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4.加强绿色技术创新基地平台建设</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9.在绿色技术领域培育建设一批国家工程研究中心、国家技术创新中心、国家科技资源共享服务平台等创新基地（2019-2022年）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10.在全国建设基础性长期性野外生态观测研究站等科研监测观测网络和一批科学数据中心（2019-2022年）</w:t>
            </w:r>
          </w:p>
        </w:tc>
      </w:tr>
      <w:tr w:rsidR="00EC55F3" w:rsidRPr="00EC55F3">
        <w:trPr>
          <w:trHeight w:val="57"/>
          <w:jc w:val="center"/>
        </w:trPr>
        <w:tc>
          <w:tcPr>
            <w:tcW w:w="1215" w:type="dxa"/>
            <w:vMerge w:val="restart"/>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lastRenderedPageBreak/>
              <w:t>二、加强绿色技术创新的导向机制</w:t>
            </w: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5.加强绿色技术创新方向引导</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国家发展改革委、科技部、住房城乡建设部、生态环境部、工业和信息化部、自然资源部、水利部、农业农村部、国家能源局、国家林草局</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11.发布绿色技术产业指导目录、绿色技术推广目录、绿色技术与装备淘汰目录（2020年）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12.实施一批绿色技术创新重大工程和项目（2019-2022年）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13.健全绿色技术创新科研管理机制（2019-2022年）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6.强化绿色技术标准引领</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市场监管总局、科技部、国家发展改革委、生态环境部、住房城乡建设部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14.征集并下达重点领域绿色技术标准制修订专项计划（2019年）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15.制修订一批节能节水、污染物排放等强制性标准并不断更新（2018-2022年）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16.开展绿色技术评估和效果验证（2019年）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7.建立健全政府绿色采购制度</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财政部、国家发展改革委、科技部、生态环境部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17.扩大政府绿色采购范围（2020年）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18.政府购买绿色技术向社会免费推广（2019-2022年）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8.推进绿色技术创新评价和认证</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工业和信息化部、市场监管总局、国家发展改革委、住房城乡建设部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19.组织制定绿色（生态）设计产品评价技术规范（2019-2020年）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20.建立家电、汽车、建材等产品全生命周期和全产业链绿色认证管理制度（2020年）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21.开展绿色工厂建设示范（2019-2022年）</w:t>
            </w:r>
          </w:p>
        </w:tc>
      </w:tr>
      <w:tr w:rsidR="00EC55F3" w:rsidRPr="00EC55F3">
        <w:trPr>
          <w:trHeight w:val="57"/>
          <w:jc w:val="center"/>
        </w:trPr>
        <w:tc>
          <w:tcPr>
            <w:tcW w:w="1215" w:type="dxa"/>
            <w:vMerge w:val="restart"/>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三、推进绿色技术创新成果转</w:t>
            </w:r>
            <w:r w:rsidRPr="00EC55F3">
              <w:rPr>
                <w:rFonts w:ascii="宋体" w:eastAsia="宋体" w:hAnsi="宋体" w:cs="宋体" w:hint="eastAsia"/>
                <w:color w:val="444444"/>
                <w:kern w:val="0"/>
                <w:szCs w:val="21"/>
              </w:rPr>
              <w:lastRenderedPageBreak/>
              <w:t>化示范应用</w:t>
            </w: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lastRenderedPageBreak/>
              <w:t>9.建立健全绿色技术转移转化市场交易体系</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科技部、国家发展改革委、中国证监会</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22.建立国家绿色技术交易市场（2020年）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lastRenderedPageBreak/>
              <w:t>23.健全规范绿色技术交易市场的相关制度（2020年）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24.培育绿色技术交易中介机构（2019-2022年）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10.完善绿色技术创新成果转化机制</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科技部、国家发展改革委、工业和信息化部、住房城乡建设部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25.落实首台（套）重大技术装备示范应用政策措施（2020年）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26.实施一批国家科技成果转化引导基金支持绿色技术创新成果转化应用项目（2019-2022年）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11.强化绿色技术创新转移转化综合示范</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科技部、国家发展改革委、住房城乡建设部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27.建立一批绿色技术创新综合示范区、“园中园”、绿色生态城市（2019-2022年）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28.制定绿色技术创新示范区考核评价办法（2020年）</w:t>
            </w:r>
          </w:p>
        </w:tc>
      </w:tr>
      <w:tr w:rsidR="00EC55F3" w:rsidRPr="00EC55F3">
        <w:trPr>
          <w:trHeight w:val="57"/>
          <w:jc w:val="center"/>
        </w:trPr>
        <w:tc>
          <w:tcPr>
            <w:tcW w:w="1215" w:type="dxa"/>
            <w:vMerge w:val="restart"/>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四、优化绿色技术创新环境</w:t>
            </w: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12.强化绿色技术知识产权保护与服务</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国家知识产权局</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29.组织开展打击侵犯绿色技术知识产权专项行动（2019-2022年）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30.建立绿色技术知识产权侵权行为信用管理制度（2020年）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31.推进建立绿色技术知识产权审查“快速通道”（2020年）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32.完善绿色技术知识产权统计监测（2019-2022年）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13.加强绿色技术创新金融支持</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中国人民银行、国家发展改革委、中国银保监会、中国证监会</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33.制定公募和私募基金绿色投资标准和行为指引（2020年）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34.加大对绿色技术创新的金融支持力度（2019-2022年）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14.推进全社会绿色技术创新</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科技部、国家发展改革委、生态环境部、住房城乡建设部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35.组织绿色技术创新创业大赛（2019-2022年）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36.建立一批绿色技术众创空间（2019-2022年）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37.推广绿色技术创新典型案例（2019-2022年）</w:t>
            </w:r>
          </w:p>
        </w:tc>
      </w:tr>
      <w:tr w:rsidR="00EC55F3" w:rsidRPr="00EC55F3">
        <w:trPr>
          <w:trHeight w:val="57"/>
          <w:jc w:val="center"/>
        </w:trPr>
        <w:tc>
          <w:tcPr>
            <w:tcW w:w="1215" w:type="dxa"/>
            <w:vMerge w:val="restart"/>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lastRenderedPageBreak/>
              <w:t>五、加强绿色技术创新对外开放与国际合作</w:t>
            </w: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15.深化绿色技术创新国际合作</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科技部、国家发展改革委、生态环境部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38.建立“一带一路”绿色技术创新联盟（2020年）</w:t>
            </w:r>
          </w:p>
          <w:p w:rsidR="00EC55F3" w:rsidRPr="00EC55F3" w:rsidRDefault="00EC55F3" w:rsidP="00EC55F3">
            <w:pPr>
              <w:widowControl/>
              <w:spacing w:line="586" w:lineRule="atLeast"/>
              <w:jc w:val="center"/>
              <w:rPr>
                <w:rFonts w:ascii="宋体" w:eastAsia="宋体" w:hAnsi="宋体" w:cs="宋体" w:hint="eastAsia"/>
                <w:color w:val="444444"/>
                <w:kern w:val="0"/>
                <w:sz w:val="20"/>
                <w:szCs w:val="20"/>
              </w:rPr>
            </w:pPr>
            <w:r w:rsidRPr="00EC55F3">
              <w:rPr>
                <w:rFonts w:ascii="宋体" w:eastAsia="宋体" w:hAnsi="宋体" w:cs="宋体" w:hint="eastAsia"/>
                <w:color w:val="444444"/>
                <w:kern w:val="0"/>
                <w:szCs w:val="21"/>
              </w:rPr>
              <w:t>39.通过博览会、论坛等形式促进绿色技术国际传播（2019-2022年）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40.开展国际十大最佳绿色技术和十大最佳绿色技术应用实践（“双十佳”）评选（2019-2022年）</w:t>
            </w:r>
          </w:p>
        </w:tc>
      </w:tr>
      <w:tr w:rsidR="00EC55F3" w:rsidRPr="00EC55F3">
        <w:trPr>
          <w:trHeight w:val="57"/>
          <w:jc w:val="center"/>
        </w:trPr>
        <w:tc>
          <w:tcPr>
            <w:tcW w:w="3378" w:type="dxa"/>
            <w:vMerge/>
            <w:tcBorders>
              <w:top w:val="nil"/>
              <w:left w:val="single" w:sz="4" w:space="0" w:color="000000"/>
              <w:bottom w:val="single" w:sz="4" w:space="0" w:color="000000"/>
              <w:right w:val="single" w:sz="4" w:space="0" w:color="000000"/>
            </w:tcBorders>
            <w:vAlign w:val="center"/>
            <w:hideMark/>
          </w:tcPr>
          <w:p w:rsidR="00EC55F3" w:rsidRPr="00EC55F3" w:rsidRDefault="00EC55F3" w:rsidP="00EC55F3">
            <w:pPr>
              <w:widowControl/>
              <w:jc w:val="left"/>
              <w:rPr>
                <w:rFonts w:ascii="宋体" w:eastAsia="宋体" w:hAnsi="宋体" w:cs="宋体"/>
                <w:color w:val="444444"/>
                <w:kern w:val="0"/>
                <w:sz w:val="20"/>
                <w:szCs w:val="20"/>
              </w:rPr>
            </w:pP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16.加大绿色技术创新对外开放</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科技部、国家发展改革委、商务部、工业和信息化部、生态环境部、住房城乡建设部</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41.健全鼓励国外绿色技术成果在国内转化落地的政策（2020年）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42.采用“园中园”模式在国家级经济技术开发区等建设国际合作生态园区（2020年）</w:t>
            </w:r>
          </w:p>
        </w:tc>
      </w:tr>
      <w:tr w:rsidR="00EC55F3" w:rsidRPr="00EC55F3">
        <w:trPr>
          <w:trHeight w:val="57"/>
          <w:jc w:val="center"/>
        </w:trPr>
        <w:tc>
          <w:tcPr>
            <w:tcW w:w="1215" w:type="dxa"/>
            <w:tcBorders>
              <w:top w:val="single" w:sz="4" w:space="0" w:color="000000"/>
              <w:left w:val="single" w:sz="4" w:space="0" w:color="000000"/>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六、加强组织实施</w:t>
            </w:r>
          </w:p>
        </w:tc>
        <w:tc>
          <w:tcPr>
            <w:tcW w:w="2163"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left"/>
              <w:rPr>
                <w:rFonts w:ascii="宋体" w:eastAsia="宋体" w:hAnsi="宋体" w:cs="宋体"/>
                <w:color w:val="444444"/>
                <w:kern w:val="0"/>
                <w:sz w:val="20"/>
                <w:szCs w:val="20"/>
              </w:rPr>
            </w:pPr>
            <w:r w:rsidRPr="00EC55F3">
              <w:rPr>
                <w:rFonts w:ascii="宋体" w:eastAsia="宋体" w:hAnsi="宋体" w:cs="宋体" w:hint="eastAsia"/>
                <w:color w:val="444444"/>
                <w:kern w:val="0"/>
                <w:szCs w:val="21"/>
              </w:rPr>
              <w:t>17.加强统筹协调和考核评价</w:t>
            </w:r>
          </w:p>
        </w:tc>
        <w:tc>
          <w:tcPr>
            <w:tcW w:w="2708"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科技部、国家发展改革委</w:t>
            </w:r>
          </w:p>
        </w:tc>
        <w:tc>
          <w:tcPr>
            <w:tcW w:w="6379" w:type="dxa"/>
            <w:tcBorders>
              <w:top w:val="single" w:sz="4" w:space="0" w:color="000000"/>
              <w:left w:val="nil"/>
              <w:bottom w:val="single" w:sz="4" w:space="0" w:color="000000"/>
              <w:right w:val="single" w:sz="4" w:space="0" w:color="000000"/>
            </w:tcBorders>
            <w:vAlign w:val="center"/>
            <w:hideMark/>
          </w:tcPr>
          <w:p w:rsidR="00EC55F3" w:rsidRPr="00EC55F3" w:rsidRDefault="00EC55F3" w:rsidP="00EC55F3">
            <w:pPr>
              <w:widowControl/>
              <w:spacing w:line="586"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43.建立绿色技术创新部际协调机制（2019年）</w:t>
            </w:r>
          </w:p>
          <w:p w:rsidR="00EC55F3" w:rsidRPr="00EC55F3" w:rsidRDefault="00EC55F3" w:rsidP="00EC55F3">
            <w:pPr>
              <w:widowControl/>
              <w:spacing w:line="57" w:lineRule="atLeast"/>
              <w:jc w:val="center"/>
              <w:rPr>
                <w:rFonts w:ascii="宋体" w:eastAsia="宋体" w:hAnsi="宋体" w:cs="宋体"/>
                <w:color w:val="444444"/>
                <w:kern w:val="0"/>
                <w:sz w:val="20"/>
                <w:szCs w:val="20"/>
              </w:rPr>
            </w:pPr>
            <w:r w:rsidRPr="00EC55F3">
              <w:rPr>
                <w:rFonts w:ascii="宋体" w:eastAsia="宋体" w:hAnsi="宋体" w:cs="宋体" w:hint="eastAsia"/>
                <w:color w:val="444444"/>
                <w:kern w:val="0"/>
                <w:szCs w:val="21"/>
              </w:rPr>
              <w:t>44.开展绿色技术创新政策绩效评估，将绿色技术创新有关内容纳入创新驱动、生态文明等考核体系（2020年）</w:t>
            </w:r>
          </w:p>
        </w:tc>
      </w:tr>
    </w:tbl>
    <w:p w:rsidR="00EC55F3" w:rsidRPr="00EC55F3" w:rsidRDefault="00EC55F3" w:rsidP="00EC55F3">
      <w:pPr>
        <w:widowControl/>
        <w:spacing w:line="586" w:lineRule="atLeast"/>
        <w:ind w:firstLine="420"/>
        <w:jc w:val="left"/>
        <w:rPr>
          <w:rFonts w:ascii="宋体" w:eastAsia="宋体" w:hAnsi="宋体" w:cs="宋体" w:hint="eastAsia"/>
          <w:color w:val="333333"/>
          <w:kern w:val="0"/>
          <w:sz w:val="27"/>
          <w:szCs w:val="27"/>
        </w:rPr>
      </w:pPr>
      <w:r w:rsidRPr="00EC55F3">
        <w:rPr>
          <w:rFonts w:ascii="宋体" w:eastAsia="宋体" w:hAnsi="宋体" w:cs="宋体" w:hint="eastAsia"/>
          <w:color w:val="333333"/>
          <w:kern w:val="0"/>
          <w:szCs w:val="21"/>
        </w:rPr>
        <w:t>注：牵头部门根据职责分工负责，参加部门由牵头部门确定。</w:t>
      </w:r>
    </w:p>
    <w:p w:rsidR="003F7333" w:rsidRPr="00EC55F3" w:rsidRDefault="003F7333"/>
    <w:sectPr w:rsidR="003F7333" w:rsidRPr="00EC55F3" w:rsidSect="00EC55F3">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7333" w:rsidRDefault="003F7333" w:rsidP="00EC55F3">
      <w:r>
        <w:separator/>
      </w:r>
    </w:p>
  </w:endnote>
  <w:endnote w:type="continuationSeparator" w:id="1">
    <w:p w:rsidR="003F7333" w:rsidRDefault="003F7333" w:rsidP="00EC55F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7333" w:rsidRDefault="003F7333" w:rsidP="00EC55F3">
      <w:r>
        <w:separator/>
      </w:r>
    </w:p>
  </w:footnote>
  <w:footnote w:type="continuationSeparator" w:id="1">
    <w:p w:rsidR="003F7333" w:rsidRDefault="003F7333" w:rsidP="00EC55F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C55F3"/>
    <w:rsid w:val="003F7333"/>
    <w:rsid w:val="00EC55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C55F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C55F3"/>
    <w:rPr>
      <w:sz w:val="18"/>
      <w:szCs w:val="18"/>
    </w:rPr>
  </w:style>
  <w:style w:type="paragraph" w:styleId="a4">
    <w:name w:val="footer"/>
    <w:basedOn w:val="a"/>
    <w:link w:val="Char0"/>
    <w:uiPriority w:val="99"/>
    <w:semiHidden/>
    <w:unhideWhenUsed/>
    <w:rsid w:val="00EC55F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C55F3"/>
    <w:rPr>
      <w:sz w:val="18"/>
      <w:szCs w:val="18"/>
    </w:rPr>
  </w:style>
  <w:style w:type="paragraph" w:customStyle="1" w:styleId="p16">
    <w:name w:val="p16"/>
    <w:basedOn w:val="a"/>
    <w:rsid w:val="00EC55F3"/>
    <w:pPr>
      <w:widowControl/>
      <w:spacing w:before="100" w:beforeAutospacing="1" w:after="100" w:afterAutospacing="1" w:line="586" w:lineRule="atLeast"/>
      <w:jc w:val="left"/>
    </w:pPr>
    <w:rPr>
      <w:rFonts w:ascii="宋体" w:eastAsia="宋体" w:hAnsi="宋体" w:cs="宋体"/>
      <w:kern w:val="0"/>
      <w:sz w:val="24"/>
      <w:szCs w:val="24"/>
    </w:rPr>
  </w:style>
  <w:style w:type="paragraph" w:customStyle="1" w:styleId="p0">
    <w:name w:val="p0"/>
    <w:basedOn w:val="a"/>
    <w:rsid w:val="00EC55F3"/>
    <w:pPr>
      <w:widowControl/>
      <w:spacing w:before="100" w:beforeAutospacing="1" w:after="100" w:afterAutospacing="1" w:line="586" w:lineRule="atLeast"/>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363</Words>
  <Characters>2072</Characters>
  <Application>Microsoft Office Word</Application>
  <DocSecurity>0</DocSecurity>
  <Lines>17</Lines>
  <Paragraphs>4</Paragraphs>
  <ScaleCrop>false</ScaleCrop>
  <Company>Microsoft</Company>
  <LinksUpToDate>false</LinksUpToDate>
  <CharactersWithSpaces>2431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2019-05-16T04:09:00Z</dcterms:created>
  <dcterms:modified xsi:type="dcterms:W3CDTF">2019-05-16T04:10:00Z</dcterms:modified>
</cp:coreProperties>
</file>