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52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2024年第十师北屯市社会事务进校园白名单</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方正小标宋简体" w:hAnsi="方正小标宋简体" w:eastAsia="方正小标宋简体" w:cs="方正小标宋简体"/>
          <w:sz w:val="44"/>
          <w:szCs w:val="44"/>
          <w:highlight w:val="none"/>
          <w:lang w:val="en-US" w:eastAsia="zh-CN"/>
        </w:rPr>
      </w:pPr>
    </w:p>
    <w:tbl>
      <w:tblPr>
        <w:tblStyle w:val="9"/>
        <w:tblW w:w="14441" w:type="dxa"/>
        <w:tblInd w:w="0" w:type="dxa"/>
        <w:tblLayout w:type="fixed"/>
        <w:tblCellMar>
          <w:top w:w="0" w:type="dxa"/>
          <w:left w:w="0" w:type="dxa"/>
          <w:bottom w:w="0" w:type="dxa"/>
          <w:right w:w="0" w:type="dxa"/>
        </w:tblCellMar>
      </w:tblPr>
      <w:tblGrid>
        <w:gridCol w:w="683"/>
        <w:gridCol w:w="1503"/>
        <w:gridCol w:w="1395"/>
        <w:gridCol w:w="1005"/>
        <w:gridCol w:w="1125"/>
        <w:gridCol w:w="2850"/>
        <w:gridCol w:w="3405"/>
        <w:gridCol w:w="1200"/>
        <w:gridCol w:w="1275"/>
      </w:tblGrid>
      <w:tr>
        <w:tblPrEx>
          <w:tblCellMar>
            <w:top w:w="0" w:type="dxa"/>
            <w:left w:w="0" w:type="dxa"/>
            <w:bottom w:w="0" w:type="dxa"/>
            <w:right w:w="0" w:type="dxa"/>
          </w:tblCellMar>
        </w:tblPrEx>
        <w:trPr>
          <w:trHeight w:val="780" w:hRule="atLeast"/>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sz w:val="28"/>
                <w:szCs w:val="28"/>
                <w:highlight w:val="none"/>
                <w:u w:val="none"/>
                <w14:textFill>
                  <w14:solidFill>
                    <w14:schemeClr w14:val="tx1"/>
                  </w14:solidFill>
                </w14:textFill>
              </w:rPr>
            </w:pPr>
            <w:r>
              <w:rPr>
                <w:rStyle w:val="12"/>
                <w:rFonts w:hint="default" w:ascii="Times New Roman" w:hAnsi="Times New Roman" w:eastAsia="黑体" w:cs="Times New Roman"/>
                <w:color w:val="000000" w:themeColor="text1"/>
                <w:sz w:val="28"/>
                <w:szCs w:val="28"/>
                <w:highlight w:val="none"/>
                <w:lang w:val="en-US" w:eastAsia="zh-CN" w:bidi="ar"/>
                <w14:textFill>
                  <w14:solidFill>
                    <w14:schemeClr w14:val="tx1"/>
                  </w14:solidFill>
                </w14:textFill>
              </w:rPr>
              <w:t>序号</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sz w:val="28"/>
                <w:szCs w:val="28"/>
                <w:highlight w:val="none"/>
                <w:u w:val="none"/>
                <w14:textFill>
                  <w14:solidFill>
                    <w14:schemeClr w14:val="tx1"/>
                  </w14:solidFill>
                </w14:textFill>
              </w:rPr>
            </w:pPr>
            <w: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t>活动名称</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t>实施</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sz w:val="28"/>
                <w:szCs w:val="28"/>
                <w:highlight w:val="none"/>
                <w:u w:val="none"/>
                <w14:textFill>
                  <w14:solidFill>
                    <w14:schemeClr w14:val="tx1"/>
                  </w14:solidFill>
                </w14:textFill>
              </w:rPr>
            </w:pPr>
            <w: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t>单位</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t>开展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sz w:val="28"/>
                <w:szCs w:val="28"/>
                <w:highlight w:val="none"/>
                <w:u w:val="none"/>
                <w14:textFill>
                  <w14:solidFill>
                    <w14:schemeClr w14:val="tx1"/>
                  </w14:solidFill>
                </w14:textFill>
              </w:rPr>
            </w:pPr>
            <w:r>
              <w:rPr>
                <w:rFonts w:hint="eastAsia"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t>时间</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kern w:val="0"/>
                <w:sz w:val="28"/>
                <w:szCs w:val="28"/>
                <w:highlight w:val="none"/>
                <w:u w:val="none"/>
                <w:lang w:val="en-US" w:eastAsia="zh-CN" w:bidi="ar"/>
                <w14:textFill>
                  <w14:solidFill>
                    <w14:schemeClr w14:val="tx1"/>
                  </w14:solidFill>
                </w14:textFill>
              </w:rPr>
              <w:t>开展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sz w:val="28"/>
                <w:szCs w:val="28"/>
                <w:highlight w:val="none"/>
                <w:u w:val="none"/>
                <w14:textFill>
                  <w14:solidFill>
                    <w14:schemeClr w14:val="tx1"/>
                  </w14:solidFill>
                </w14:textFill>
              </w:rPr>
            </w:pPr>
            <w:r>
              <w:rPr>
                <w:rStyle w:val="13"/>
                <w:rFonts w:hint="default" w:ascii="Times New Roman" w:hAnsi="Times New Roman" w:eastAsia="黑体" w:cs="Times New Roman"/>
                <w:color w:val="000000" w:themeColor="text1"/>
                <w:sz w:val="28"/>
                <w:szCs w:val="28"/>
                <w:highlight w:val="none"/>
                <w:lang w:val="en-US" w:eastAsia="zh-CN" w:bidi="ar"/>
                <w14:textFill>
                  <w14:solidFill>
                    <w14:schemeClr w14:val="tx1"/>
                  </w14:solidFill>
                </w14:textFill>
              </w:rPr>
              <w:t>形式</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sz w:val="28"/>
                <w:szCs w:val="28"/>
                <w:highlight w:val="none"/>
                <w:u w:val="none"/>
                <w14:textFill>
                  <w14:solidFill>
                    <w14:schemeClr w14:val="tx1"/>
                  </w14:solidFill>
                </w14:textFill>
              </w:rPr>
            </w:pPr>
            <w:r>
              <w:rPr>
                <w:rStyle w:val="12"/>
                <w:rFonts w:hint="default" w:ascii="Times New Roman" w:hAnsi="Times New Roman" w:eastAsia="黑体" w:cs="Times New Roman"/>
                <w:color w:val="000000" w:themeColor="text1"/>
                <w:sz w:val="28"/>
                <w:szCs w:val="28"/>
                <w:highlight w:val="none"/>
                <w:lang w:val="en-US" w:eastAsia="zh-CN" w:bidi="ar"/>
                <w14:textFill>
                  <w14:solidFill>
                    <w14:schemeClr w14:val="tx1"/>
                  </w14:solidFill>
                </w14:textFill>
              </w:rPr>
              <w:t>活动主要内容</w:t>
            </w:r>
          </w:p>
        </w:tc>
        <w:tc>
          <w:tcPr>
            <w:tcW w:w="3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themeColor="text1"/>
                <w:sz w:val="28"/>
                <w:szCs w:val="28"/>
                <w:highlight w:val="none"/>
                <w:u w:val="none"/>
                <w14:textFill>
                  <w14:solidFill>
                    <w14:schemeClr w14:val="tx1"/>
                  </w14:solidFill>
                </w14:textFill>
              </w:rPr>
            </w:pPr>
            <w:r>
              <w:rPr>
                <w:rStyle w:val="13"/>
                <w:rFonts w:hint="default" w:ascii="Times New Roman" w:hAnsi="Times New Roman" w:eastAsia="黑体" w:cs="Times New Roman"/>
                <w:color w:val="000000" w:themeColor="text1"/>
                <w:sz w:val="28"/>
                <w:szCs w:val="28"/>
                <w:highlight w:val="none"/>
                <w:lang w:val="en-US" w:eastAsia="zh-CN" w:bidi="ar"/>
                <w14:textFill>
                  <w14:solidFill>
                    <w14:schemeClr w14:val="tx1"/>
                  </w14:solidFill>
                </w14:textFill>
              </w:rPr>
              <w:t>开展</w:t>
            </w:r>
            <w:r>
              <w:rPr>
                <w:rStyle w:val="14"/>
                <w:rFonts w:hint="default" w:ascii="Times New Roman" w:hAnsi="Times New Roman" w:eastAsia="黑体" w:cs="Times New Roman"/>
                <w:color w:val="000000" w:themeColor="text1"/>
                <w:sz w:val="28"/>
                <w:szCs w:val="28"/>
                <w:highlight w:val="none"/>
                <w:lang w:val="en-US" w:eastAsia="zh-CN" w:bidi="ar"/>
                <w14:textFill>
                  <w14:solidFill>
                    <w14:schemeClr w14:val="tx1"/>
                  </w14:solidFill>
                </w14:textFill>
              </w:rPr>
              <w:br w:type="textWrapping"/>
            </w:r>
            <w:r>
              <w:rPr>
                <w:rStyle w:val="13"/>
                <w:rFonts w:hint="eastAsia" w:ascii="Times New Roman" w:hAnsi="Times New Roman" w:eastAsia="黑体" w:cs="Times New Roman"/>
                <w:color w:val="000000" w:themeColor="text1"/>
                <w:sz w:val="28"/>
                <w:szCs w:val="28"/>
                <w:highlight w:val="none"/>
                <w:lang w:val="en-US" w:eastAsia="zh-CN" w:bidi="ar"/>
                <w14:textFill>
                  <w14:solidFill>
                    <w14:schemeClr w14:val="tx1"/>
                  </w14:solidFill>
                </w14:textFill>
              </w:rPr>
              <w:t>依据</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3"/>
                <w:rFonts w:hint="eastAsia" w:ascii="Times New Roman" w:hAnsi="Times New Roman" w:cs="Times New Roman"/>
                <w:color w:val="000000" w:themeColor="text1"/>
                <w:sz w:val="28"/>
                <w:szCs w:val="28"/>
                <w:highlight w:val="none"/>
                <w:lang w:val="en-US" w:eastAsia="zh-CN" w:bidi="ar"/>
                <w14:textFill>
                  <w14:solidFill>
                    <w14:schemeClr w14:val="tx1"/>
                  </w14:solidFill>
                </w14:textFill>
              </w:rPr>
            </w:pPr>
            <w:r>
              <w:rPr>
                <w:rStyle w:val="13"/>
                <w:rFonts w:hint="eastAsia" w:ascii="Times New Roman" w:hAnsi="Times New Roman" w:cs="Times New Roman"/>
                <w:color w:val="000000" w:themeColor="text1"/>
                <w:sz w:val="28"/>
                <w:szCs w:val="28"/>
                <w:highlight w:val="none"/>
                <w:lang w:val="en-US" w:eastAsia="zh-CN" w:bidi="ar"/>
                <w14:textFill>
                  <w14:solidFill>
                    <w14:schemeClr w14:val="tx1"/>
                  </w14:solidFill>
                </w14:textFill>
              </w:rPr>
              <w:t>开展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3"/>
                <w:rFonts w:hint="default" w:ascii="Times New Roman" w:hAnsi="Times New Roman" w:cs="Times New Roman"/>
                <w:color w:val="000000" w:themeColor="text1"/>
                <w:sz w:val="28"/>
                <w:szCs w:val="28"/>
                <w:highlight w:val="none"/>
                <w:lang w:val="en-US" w:eastAsia="zh-CN" w:bidi="ar"/>
                <w14:textFill>
                  <w14:solidFill>
                    <w14:schemeClr w14:val="tx1"/>
                  </w14:solidFill>
                </w14:textFill>
              </w:rPr>
            </w:pPr>
            <w:r>
              <w:rPr>
                <w:rStyle w:val="13"/>
                <w:rFonts w:hint="eastAsia" w:ascii="Times New Roman" w:hAnsi="Times New Roman" w:cs="Times New Roman"/>
                <w:color w:val="000000" w:themeColor="text1"/>
                <w:sz w:val="28"/>
                <w:szCs w:val="28"/>
                <w:highlight w:val="none"/>
                <w:lang w:val="en-US" w:eastAsia="zh-CN" w:bidi="ar"/>
                <w14:textFill>
                  <w14:solidFill>
                    <w14:schemeClr w14:val="tx1"/>
                  </w14:solidFill>
                </w14:textFill>
              </w:rPr>
              <w:t>频次</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color w:val="000000" w:themeColor="text1"/>
                <w:kern w:val="2"/>
                <w:sz w:val="28"/>
                <w:szCs w:val="28"/>
                <w:highlight w:val="none"/>
                <w:u w:val="none"/>
                <w:lang w:val="en-US" w:eastAsia="zh-CN" w:bidi="ar"/>
                <w14:textFill>
                  <w14:solidFill>
                    <w14:schemeClr w14:val="tx1"/>
                  </w14:solidFill>
                </w14:textFill>
              </w:rPr>
            </w:pPr>
            <w:r>
              <w:rPr>
                <w:rStyle w:val="13"/>
                <w:rFonts w:hint="default" w:ascii="Times New Roman" w:hAnsi="Times New Roman" w:cs="Times New Roman"/>
                <w:color w:val="000000" w:themeColor="text1"/>
                <w:sz w:val="28"/>
                <w:szCs w:val="28"/>
                <w:highlight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16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法治</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专题教育进校园活动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师市教育局、公安局、司法局，十师</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检察分院、中级人民法院</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根据工作需要适时开展</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法治副校长（园长）普法讲座。</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法治副校长开展民法典、预防未成年人犯罪法等法律法规的普法工作，开展防欺凌、防性侵等主题教育活动。</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《中华人民共和国预防未成年人犯罪法》，《中华人民共和国未成年人保护法》，最高人民检察院 教育部《关于开展“法治进校园”全国巡讲活动方案的通知》等法律法规和文件。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themeColor="text1"/>
                <w:sz w:val="24"/>
                <w:szCs w:val="24"/>
                <w:highlight w:val="none"/>
                <w:u w:val="none"/>
                <w:lang w:val="en-US"/>
                <w14:textFill>
                  <w14:solidFill>
                    <w14:schemeClr w14:val="tx1"/>
                  </w14:solidFill>
                </w14:textFill>
              </w:rPr>
            </w:pPr>
            <w:r>
              <w:rPr>
                <w:rFonts w:hint="eastAsia"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原则上</w:t>
            </w:r>
            <w:r>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每学年不超过</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2次。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安全专题教育进校园活动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师市党委网信办，师市教育局、卫健委、</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市场监督管理局、</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应急管理局。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根据工作需要适时开展</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校园宣讲、观看警示片、现场检查和应急演练等。</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统筹</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开展网络安全、食品安全、</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防溺水、防灾减灾科普</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等</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综合性安全知识</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宣传</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教育和</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安全应急疏散演练</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等</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活动</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开展校园安全隐患</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督导检</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查</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《未成年人网络保护条例》《关于印发&lt;全国中小学校护校安园专项行动方案&gt;的通知》《学生食品安全与营养健康管理规定》《</w:t>
            </w:r>
            <w:r>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国务院安委会办公室</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 xml:space="preserve"> 应急管理</w:t>
            </w:r>
            <w: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部</w:t>
            </w:r>
            <w:bookmarkStart w:id="0" w:name="_GoBack"/>
            <w:bookmarkEnd w:id="0"/>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关于印发</w:t>
            </w: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推进安全宣传“五进”工作方案</w:t>
            </w:r>
            <w:r>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t>〉</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的通知</w:t>
            </w:r>
            <w: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原则上</w:t>
            </w:r>
            <w:r>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每学年不超过</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2次</w:t>
            </w:r>
            <w: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生态文明专题教育</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进校园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师市教育局、住房和城乡建设局（城市管理局）、</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生态环境局</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5月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现场宣讲、发放宣传资料</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和</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宣传品</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Style w:val="16"/>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融入日常教学</w:t>
            </w:r>
            <w:r>
              <w:rPr>
                <w:rStyle w:val="16"/>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等</w:t>
            </w:r>
            <w:r>
              <w:rPr>
                <w:rStyle w:val="16"/>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开展</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保护</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生态</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环境</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和生物多样性科普工作，组织有奖竞答和领养绿植；进行</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垃圾分类宣传</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《中华人民共和国环境保护法》</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《教育部办公厅等六部门关于在学校推进生活垃圾分类管理工作的通知》</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等</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法律法规和</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文件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每学年不超过1次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垃圾分类宣传采取制作课件等与教学教学融合的方式，不单独安排进校园</w:t>
            </w: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卫生健康知识专题教育</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进校园活动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师市教育局、</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卫健委</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根据工作需要适时开展</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现场体检、监测、讲座</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Style w:val="16"/>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融入日常教学</w:t>
            </w:r>
            <w:r>
              <w:rPr>
                <w:rStyle w:val="16"/>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等</w:t>
            </w:r>
            <w:r>
              <w:rPr>
                <w:rStyle w:val="16"/>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学生常规体检，常见病监测</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和健康影响监测调查</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；开展</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健康知识宣传活动</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《国家疾控局综合司关于印发全国学生常见病和健康影响因素监测与干预工作方案（</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2024年版</w:t>
            </w:r>
            <w:r>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）的通知》</w:t>
            </w:r>
            <w:r>
              <w:rPr>
                <w:rFonts w:hint="eastAsia"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《关于印发健康兵团行动实施方案的通知》（新兵发〔2020〕2号）</w:t>
            </w:r>
            <w: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等文件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pPr>
            <w:r>
              <w:rPr>
                <w:rFonts w:hint="eastAsia"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原则上</w:t>
            </w:r>
            <w:r>
              <w:rPr>
                <w:rFonts w:hint="default" w:ascii="Times New Roman" w:hAnsi="Times New Roman" w:eastAsia="仿宋_GB2312" w:cs="Times New Roman"/>
                <w:i w:val="0"/>
                <w:color w:val="000000" w:themeColor="text1"/>
                <w:sz w:val="24"/>
                <w:szCs w:val="24"/>
                <w:highlight w:val="none"/>
                <w:u w:val="none"/>
                <w:lang w:eastAsia="zh-CN"/>
                <w14:textFill>
                  <w14:solidFill>
                    <w14:schemeClr w14:val="tx1"/>
                  </w14:solidFill>
                </w14:textFill>
              </w:rPr>
              <w:t>每学年不超过</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2次。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科普知识专题</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教育</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进校园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师市教育局、</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科学技术局、科协</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10-11月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举办科技节</w:t>
            </w:r>
            <w: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w:t>
            </w: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开展</w:t>
            </w:r>
            <w: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科技作品评选等</w:t>
            </w: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通过开展科技竞赛，举办科技节等方式，弘扬科学家精神，提高学生科学素养</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中国科协 教育部关于印发《“科学家（精神）进校园行动”实施方案》的通知（科协发宣字</w:t>
            </w:r>
            <w:r>
              <w:rPr>
                <w:rFonts w:hint="eastAsia" w:ascii="仿宋_GB2312" w:hAnsi="仿宋_GB2312" w:eastAsia="仿宋_GB2312" w:cs="仿宋_GB2312"/>
                <w:i w:val="0"/>
                <w:color w:val="000000" w:themeColor="text1"/>
                <w:kern w:val="0"/>
                <w:sz w:val="24"/>
                <w:szCs w:val="24"/>
                <w:highlight w:val="none"/>
                <w:u w:val="none"/>
                <w:lang w:val="en-US" w:eastAsia="zh-CN" w:bidi="ar"/>
                <w14:textFill>
                  <w14:solidFill>
                    <w14:schemeClr w14:val="tx1"/>
                  </w14:solidFill>
                </w14:textFill>
              </w:rPr>
              <w:t>〔2023〕30号</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全民科学素质行动规划纲要2021—2035</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等文件。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每学年不超过1次</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爱国主义专题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教育</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进校园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师市</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关心下一代工作委员会、</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教育局、</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退役军人事务局</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9月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Style w:val="16"/>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校园宣讲</w:t>
            </w:r>
            <w:r>
              <w:rPr>
                <w:rStyle w:val="16"/>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、观看视频。</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选定1所中小学校</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组织“五老”宣讲团成员</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现役、退役军人讲好红色故事、开展国防教育</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val="0"/>
              <w:overflowPunct w:val="0"/>
              <w:topLinePunct w:val="0"/>
              <w:autoSpaceDE/>
              <w:autoSpaceDN/>
              <w:bidi w:val="0"/>
              <w:adjustRightInd/>
              <w:snapToGrid/>
              <w:spacing w:line="32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《中华人民共和国爱国主义教育法》</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《新时代爱国主义教育实施纲要》</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等法律法规和文件</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每学年不超过1次</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未成年人思想道德建设专题教育进校园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Style w:val="15"/>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师市党委宣传部，</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师市</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教育局。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4月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t>校园宣讲、捐赠物品等</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开展“扫黄打非·护苗”暨未成年人思想道德建设</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活动</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；组织道德模范、先进人物新时代好少年等先进典型进学校宣讲；</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《关于深入推进“扫黄打非”进基层的指导意见》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每学年不超过1次</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铸牢中华民族共同体意识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主题教育</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校园活动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Style w:val="15"/>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师市党委宣传部、统战部，</w:t>
            </w:r>
            <w:r>
              <w:rPr>
                <w:rStyle w:val="15"/>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师市教育局。</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6月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Style w:val="16"/>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校园宣传、</w:t>
            </w:r>
            <w:r>
              <w:rPr>
                <w:rStyle w:val="16"/>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融入日常教学</w:t>
            </w:r>
            <w:r>
              <w:rPr>
                <w:rStyle w:val="16"/>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等</w:t>
            </w:r>
            <w:r>
              <w:rPr>
                <w:rStyle w:val="16"/>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召开师市铸牢中华民族共同体意识教育进校园经验交流现场会；在师市学校范围内开展民族团结进步教育。</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《深化新时代学校民族团结进步教育指导纲要》</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《关于加强兵团学校铸牢中华民族共同体意识教育的实施方案》（兵党教领发</w:t>
            </w:r>
            <w:r>
              <w:rPr>
                <w:rFonts w:hint="default" w:ascii="Times New Roman" w:hAnsi="Times New Roman" w:eastAsia="仿宋_GB2312" w:cs="Times New Roman"/>
                <w:i w:val="0"/>
                <w:color w:val="000000" w:themeColor="text1"/>
                <w:sz w:val="24"/>
                <w:szCs w:val="24"/>
                <w:highlight w:val="none"/>
                <w:u w:val="none"/>
                <w:lang w:val="en-US" w:eastAsia="zh-CN"/>
                <w14:textFill>
                  <w14:solidFill>
                    <w14:schemeClr w14:val="tx1"/>
                  </w14:solidFill>
                </w14:textFill>
              </w:rPr>
              <w:t>〔2024〕6号</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每学年不超过1次</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民族团结进步教育与道德与法治、团队课、主题班会等课程相融合，不单独安排进校园</w:t>
            </w:r>
          </w:p>
        </w:tc>
      </w:tr>
      <w:tr>
        <w:tblPrEx>
          <w:tblCellMar>
            <w:top w:w="0" w:type="dxa"/>
            <w:left w:w="0" w:type="dxa"/>
            <w:bottom w:w="0" w:type="dxa"/>
            <w:right w:w="0" w:type="dxa"/>
          </w:tblCellMar>
        </w:tblPrEx>
        <w:trPr>
          <w:trHeight w:val="1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中华传统文化（戏曲）进校园活动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pPr>
            <w:r>
              <w:rPr>
                <w:rStyle w:val="15"/>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师市教育局、文化体育广电和旅游局</w:t>
            </w:r>
            <w:r>
              <w:rPr>
                <w:rStyle w:val="15"/>
                <w:rFonts w:hint="eastAsia"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6—10月</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6"/>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pPr>
            <w:r>
              <w:rPr>
                <w:rStyle w:val="16"/>
                <w:rFonts w:hint="default" w:ascii="Times New Roman" w:hAnsi="Times New Roman" w:eastAsia="仿宋_GB2312" w:cs="Times New Roman"/>
                <w:color w:val="000000" w:themeColor="text1"/>
                <w:sz w:val="24"/>
                <w:szCs w:val="24"/>
                <w:highlight w:val="none"/>
                <w:lang w:val="en-US" w:eastAsia="zh-CN" w:bidi="ar"/>
                <w14:textFill>
                  <w14:solidFill>
                    <w14:schemeClr w14:val="tx1"/>
                  </w14:solidFill>
                </w14:textFill>
              </w:rPr>
              <w:t>实践展示</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组织文艺工作者到中小学校</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进行中华优秀传统文化宣传展示等。</w:t>
            </w:r>
          </w:p>
        </w:tc>
        <w:tc>
          <w:tcPr>
            <w:tcW w:w="34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《关于实施中华优秀传统文化传承发展工程的意见》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每学年不超过1次</w:t>
            </w:r>
            <w: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p>
        </w:tc>
      </w:tr>
    </w:tbl>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textAlignment w:val="auto"/>
        <w:rPr>
          <w:rFonts w:hint="default" w:ascii="黑体" w:hAnsi="黑体" w:eastAsia="黑体" w:cs="黑体"/>
          <w:sz w:val="32"/>
          <w:szCs w:val="32"/>
          <w:highlight w:val="none"/>
          <w:lang w:val="en-US" w:eastAsia="zh-CN"/>
        </w:rPr>
        <w:sectPr>
          <w:headerReference r:id="rId3" w:type="default"/>
          <w:footerReference r:id="rId4" w:type="default"/>
          <w:pgSz w:w="16838" w:h="11906" w:orient="landscape"/>
          <w:pgMar w:top="2098" w:right="1531" w:bottom="1984" w:left="1531" w:header="851" w:footer="1417" w:gutter="0"/>
          <w:cols w:space="0" w:num="1"/>
          <w:rtlGutter w:val="0"/>
          <w:docGrid w:type="lines" w:linePitch="326" w:charSpace="0"/>
        </w:sectPr>
      </w:pPr>
    </w:p>
    <w:p/>
    <w:sectPr>
      <w:pgSz w:w="16838" w:h="11906" w:orient="landscape"/>
      <w:pgMar w:top="2098" w:right="1531" w:bottom="1984" w:left="1531" w:header="851" w:footer="1417"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4456"/>
    <w:rsid w:val="0DBE0EE7"/>
    <w:rsid w:val="267674E2"/>
    <w:rsid w:val="2D4459B6"/>
    <w:rsid w:val="3AE86E45"/>
    <w:rsid w:val="3BE54025"/>
    <w:rsid w:val="43600990"/>
    <w:rsid w:val="4A377B53"/>
    <w:rsid w:val="4E3F4182"/>
    <w:rsid w:val="5CD31A43"/>
    <w:rsid w:val="60311E0C"/>
    <w:rsid w:val="63EB0CEF"/>
    <w:rsid w:val="64AF2450"/>
    <w:rsid w:val="6F653664"/>
    <w:rsid w:val="7E402088"/>
    <w:rsid w:val="BFF3B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Body Text Indent"/>
    <w:basedOn w:val="1"/>
    <w:qFormat/>
    <w:uiPriority w:val="0"/>
    <w:pPr>
      <w:autoSpaceDE w:val="0"/>
      <w:autoSpaceDN w:val="0"/>
      <w:adjustRightInd w:val="0"/>
      <w:spacing w:after="120"/>
      <w:ind w:left="420" w:leftChars="200"/>
      <w:jc w:val="left"/>
      <w:textAlignment w:val="baseline"/>
    </w:pPr>
    <w:rPr>
      <w:rFonts w:ascii="宋体"/>
      <w:kern w:val="0"/>
      <w:sz w:val="3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4"/>
    <w:unhideWhenUsed/>
    <w:qFormat/>
    <w:uiPriority w:val="99"/>
    <w:pPr>
      <w:ind w:left="0" w:leftChars="0"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81"/>
    <w:basedOn w:val="11"/>
    <w:qFormat/>
    <w:uiPriority w:val="0"/>
    <w:rPr>
      <w:rFonts w:ascii="黑体" w:hAnsi="宋体" w:eastAsia="黑体" w:cs="黑体"/>
      <w:color w:val="000000"/>
      <w:sz w:val="32"/>
      <w:szCs w:val="32"/>
      <w:u w:val="none"/>
    </w:rPr>
  </w:style>
  <w:style w:type="character" w:customStyle="1" w:styleId="13">
    <w:name w:val="font41"/>
    <w:basedOn w:val="11"/>
    <w:qFormat/>
    <w:uiPriority w:val="0"/>
    <w:rPr>
      <w:rFonts w:hint="eastAsia" w:ascii="黑体" w:hAnsi="宋体" w:eastAsia="黑体" w:cs="黑体"/>
      <w:color w:val="000000"/>
      <w:sz w:val="32"/>
      <w:szCs w:val="32"/>
      <w:u w:val="none"/>
    </w:rPr>
  </w:style>
  <w:style w:type="character" w:customStyle="1" w:styleId="14">
    <w:name w:val="font21"/>
    <w:basedOn w:val="11"/>
    <w:qFormat/>
    <w:uiPriority w:val="0"/>
    <w:rPr>
      <w:rFonts w:hint="default" w:ascii="Times New Roman" w:hAnsi="Times New Roman" w:cs="Times New Roman"/>
      <w:color w:val="000000"/>
      <w:sz w:val="32"/>
      <w:szCs w:val="32"/>
      <w:u w:val="none"/>
    </w:rPr>
  </w:style>
  <w:style w:type="character" w:customStyle="1" w:styleId="15">
    <w:name w:val="font31"/>
    <w:basedOn w:val="11"/>
    <w:qFormat/>
    <w:uiPriority w:val="0"/>
    <w:rPr>
      <w:rFonts w:hint="eastAsia" w:ascii="仿宋_GB2312" w:eastAsia="仿宋_GB2312" w:cs="仿宋_GB2312"/>
      <w:color w:val="000000"/>
      <w:sz w:val="28"/>
      <w:szCs w:val="28"/>
      <w:u w:val="none"/>
    </w:rPr>
  </w:style>
  <w:style w:type="character" w:customStyle="1" w:styleId="16">
    <w:name w:val="font9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2024-07-29T20:41:00Z</dcterms:created>
  <dc:creator>Administrator</dc:creator>
  <cp:lastModifiedBy>hlxt</cp:lastModifiedBy>
  <cp:lastPrinted>2024-08-06T19:37:00Z</cp:lastPrinted>
  <dcterms:modified xsi:type="dcterms:W3CDTF">2024-09-05T18:25:55Z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9C6F52B37DC97BA13387D96649A8177D</vt:lpwstr>
  </property>
</Properties>
</file>