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CC7C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666666"/>
          <w:spacing w:val="0"/>
          <w:sz w:val="44"/>
          <w:szCs w:val="44"/>
          <w:highlight w:val="none"/>
        </w:rPr>
      </w:pPr>
      <w:r>
        <w:rPr>
          <w:rFonts w:hint="eastAsia" w:ascii="方正小标宋简体" w:hAnsi="方正小标宋简体" w:eastAsia="方正小标宋简体" w:cs="方正小标宋简体"/>
          <w:b w:val="0"/>
          <w:bCs w:val="0"/>
          <w:i w:val="0"/>
          <w:iCs w:val="0"/>
          <w:caps w:val="0"/>
          <w:color w:val="000000"/>
          <w:spacing w:val="0"/>
          <w:sz w:val="44"/>
          <w:szCs w:val="44"/>
          <w:highlight w:val="none"/>
          <w:shd w:val="clear" w:fill="FFFFFF"/>
        </w:rPr>
        <w:t>新疆生产建设兵团第十师181团齐背岭</w:t>
      </w:r>
      <w:r>
        <w:rPr>
          <w:rFonts w:hint="eastAsia" w:ascii="方正小标宋简体" w:hAnsi="方正小标宋简体" w:eastAsia="方正小标宋简体" w:cs="方正小标宋简体"/>
          <w:b w:val="0"/>
          <w:bCs w:val="0"/>
          <w:i w:val="0"/>
          <w:iCs w:val="0"/>
          <w:caps w:val="0"/>
          <w:color w:val="000000"/>
          <w:spacing w:val="0"/>
          <w:sz w:val="44"/>
          <w:szCs w:val="44"/>
          <w:highlight w:val="none"/>
          <w:shd w:val="clear" w:fill="FFFFFF"/>
          <w:lang w:val="en-US" w:eastAsia="zh-CN"/>
        </w:rPr>
        <w:t>2</w:t>
      </w:r>
      <w:r>
        <w:rPr>
          <w:rFonts w:hint="eastAsia" w:ascii="方正小标宋简体" w:hAnsi="方正小标宋简体" w:eastAsia="方正小标宋简体" w:cs="方正小标宋简体"/>
          <w:b w:val="0"/>
          <w:bCs w:val="0"/>
          <w:i w:val="0"/>
          <w:iCs w:val="0"/>
          <w:caps w:val="0"/>
          <w:color w:val="000000"/>
          <w:spacing w:val="0"/>
          <w:sz w:val="44"/>
          <w:szCs w:val="44"/>
          <w:highlight w:val="none"/>
          <w:shd w:val="clear" w:fill="FFFFFF"/>
        </w:rPr>
        <w:t>号石英岩矿产普查探矿权挂牌出让公告</w:t>
      </w:r>
    </w:p>
    <w:p w14:paraId="17EDD4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PingFang SC" w:hAnsi="PingFang SC" w:eastAsia="PingFang SC" w:cs="PingFang SC"/>
          <w:i w:val="0"/>
          <w:iCs w:val="0"/>
          <w:caps w:val="0"/>
          <w:color w:val="666666"/>
          <w:spacing w:val="0"/>
          <w:sz w:val="32"/>
          <w:szCs w:val="32"/>
          <w:highlight w:val="none"/>
        </w:rPr>
      </w:pPr>
      <w:r>
        <w:rPr>
          <w:rFonts w:hint="eastAsia" w:ascii="宋体" w:hAnsi="宋体" w:eastAsia="宋体" w:cs="宋体"/>
          <w:i w:val="0"/>
          <w:iCs w:val="0"/>
          <w:caps w:val="0"/>
          <w:color w:val="000000"/>
          <w:spacing w:val="0"/>
          <w:sz w:val="28"/>
          <w:szCs w:val="28"/>
          <w:highlight w:val="none"/>
        </w:rPr>
        <w:t> </w:t>
      </w:r>
    </w:p>
    <w:p w14:paraId="4741291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为促进矿产资源勘查，按照相关法律法规的规定，经批准，新疆国源土地矿产资源交易中心受新疆生产建设兵团第十师自然资源和规划局委托，以公开挂牌方式出让新疆生产建设兵团第十师</w:t>
      </w:r>
      <w:r>
        <w:rPr>
          <w:rFonts w:hint="eastAsia" w:ascii="Times New Roman" w:hAnsi="Times New Roman" w:eastAsia="方正仿宋_GB2312" w:cs="Times New Roman"/>
          <w:i w:val="0"/>
          <w:iCs w:val="0"/>
          <w:caps w:val="0"/>
          <w:color w:val="000000"/>
          <w:spacing w:val="0"/>
          <w:sz w:val="32"/>
          <w:szCs w:val="32"/>
          <w:highlight w:val="none"/>
          <w:shd w:val="clear" w:fill="FFFFFF"/>
        </w:rPr>
        <w:t>181</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团齐背岭</w:t>
      </w:r>
      <w:r>
        <w:rPr>
          <w:rFonts w:hint="eastAsia" w:ascii="Times New Roman" w:hAnsi="Times New Roman" w:eastAsia="方正仿宋_GB2312" w:cs="Times New Roman"/>
          <w:i w:val="0"/>
          <w:iCs w:val="0"/>
          <w:caps w:val="0"/>
          <w:color w:val="000000"/>
          <w:spacing w:val="0"/>
          <w:sz w:val="32"/>
          <w:szCs w:val="32"/>
          <w:highlight w:val="none"/>
          <w:shd w:val="clear" w:fill="FFFFFF"/>
          <w:lang w:val="en-US" w:eastAsia="zh-CN"/>
        </w:rPr>
        <w:t>2</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号石英岩矿产普查探矿权。</w:t>
      </w:r>
    </w:p>
    <w:p w14:paraId="5CD1438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黑体" w:hAnsi="黑体" w:eastAsia="黑体" w:cs="黑体"/>
          <w:b w:val="0"/>
          <w:bCs w:val="0"/>
          <w:i w:val="0"/>
          <w:iCs w:val="0"/>
          <w:caps w:val="0"/>
          <w:color w:val="000000"/>
          <w:spacing w:val="0"/>
          <w:sz w:val="32"/>
          <w:szCs w:val="32"/>
          <w:highlight w:val="none"/>
          <w:shd w:val="clear" w:fill="FFFFFF"/>
        </w:rPr>
        <w:t>一、出让人及矿业权交易平台</w:t>
      </w:r>
    </w:p>
    <w:p w14:paraId="3FC2D46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（一）出让人</w:t>
      </w:r>
    </w:p>
    <w:p w14:paraId="663E956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名称：</w:t>
      </w:r>
      <w:r>
        <w:rPr>
          <w:rFonts w:hint="eastAsia" w:ascii="方正仿宋_GB2312" w:hAnsi="方正仿宋_GB2312" w:eastAsia="方正仿宋_GB2312" w:cs="方正仿宋_GB2312"/>
          <w:i w:val="0"/>
          <w:iCs w:val="0"/>
          <w:caps w:val="0"/>
          <w:color w:val="000000"/>
          <w:spacing w:val="0"/>
          <w:sz w:val="32"/>
          <w:szCs w:val="32"/>
          <w:highlight w:val="none"/>
          <w:u w:val="none"/>
          <w:shd w:val="clear" w:fill="FFFFFF"/>
        </w:rPr>
        <w:t>新疆生产建设兵团第十师自然资源和规划局</w:t>
      </w:r>
    </w:p>
    <w:p w14:paraId="1F634C3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场所：新疆北屯市南湖新区便民服务中心办公楼四楼</w:t>
      </w:r>
    </w:p>
    <w:p w14:paraId="697BF79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（二）矿业权交易平台</w:t>
      </w:r>
    </w:p>
    <w:p w14:paraId="6A9930E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名称：</w:t>
      </w:r>
      <w:r>
        <w:rPr>
          <w:rFonts w:hint="eastAsia" w:ascii="方正仿宋_GB2312" w:hAnsi="方正仿宋_GB2312" w:eastAsia="方正仿宋_GB2312" w:cs="方正仿宋_GB2312"/>
          <w:i w:val="0"/>
          <w:iCs w:val="0"/>
          <w:caps w:val="0"/>
          <w:color w:val="000000"/>
          <w:spacing w:val="0"/>
          <w:sz w:val="32"/>
          <w:szCs w:val="32"/>
          <w:highlight w:val="none"/>
          <w:u w:val="none"/>
          <w:shd w:val="clear" w:fill="FFFFFF"/>
        </w:rPr>
        <w:t>新疆生产建设兵团公共资源交易中心第十分中心</w:t>
      </w:r>
    </w:p>
    <w:p w14:paraId="00022A8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场所：新疆北屯市昆仑街</w:t>
      </w:r>
    </w:p>
    <w:p w14:paraId="4061576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（三）矿业权交易机构</w:t>
      </w:r>
    </w:p>
    <w:p w14:paraId="4F1C047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名称：</w:t>
      </w:r>
      <w:r>
        <w:rPr>
          <w:rFonts w:hint="eastAsia" w:ascii="方正仿宋_GB2312" w:hAnsi="方正仿宋_GB2312" w:eastAsia="方正仿宋_GB2312" w:cs="方正仿宋_GB2312"/>
          <w:i w:val="0"/>
          <w:iCs w:val="0"/>
          <w:caps w:val="0"/>
          <w:color w:val="000000"/>
          <w:spacing w:val="0"/>
          <w:sz w:val="32"/>
          <w:szCs w:val="32"/>
          <w:highlight w:val="none"/>
          <w:u w:val="none"/>
          <w:shd w:val="clear" w:fill="FFFFFF"/>
        </w:rPr>
        <w:t>新疆国源土地矿产资源交易中心</w:t>
      </w:r>
    </w:p>
    <w:p w14:paraId="5638213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地址：乌鲁木齐市城北大道</w:t>
      </w:r>
      <w:r>
        <w:rPr>
          <w:rFonts w:hint="eastAsia" w:ascii="Times New Roman" w:hAnsi="Times New Roman" w:eastAsia="方正仿宋_GB2312" w:cs="Times New Roman"/>
          <w:i w:val="0"/>
          <w:iCs w:val="0"/>
          <w:caps w:val="0"/>
          <w:color w:val="000000"/>
          <w:spacing w:val="0"/>
          <w:sz w:val="32"/>
          <w:szCs w:val="32"/>
          <w:highlight w:val="none"/>
          <w:shd w:val="clear" w:fill="FFFFFF"/>
        </w:rPr>
        <w:t>1299</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号乐天孵化园南区</w:t>
      </w:r>
      <w:r>
        <w:rPr>
          <w:rFonts w:hint="eastAsia" w:ascii="Times New Roman" w:hAnsi="Times New Roman" w:eastAsia="方正仿宋_GB2312" w:cs="Times New Roman"/>
          <w:i w:val="0"/>
          <w:iCs w:val="0"/>
          <w:caps w:val="0"/>
          <w:color w:val="000000"/>
          <w:spacing w:val="0"/>
          <w:sz w:val="32"/>
          <w:szCs w:val="32"/>
          <w:highlight w:val="none"/>
          <w:shd w:val="clear" w:fill="FFFFFF"/>
        </w:rPr>
        <w:t>G12</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幢</w:t>
      </w:r>
    </w:p>
    <w:p w14:paraId="5CA9825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黑体" w:hAnsi="黑体" w:eastAsia="黑体" w:cs="黑体"/>
          <w:b w:val="0"/>
          <w:bCs w:val="0"/>
          <w:i w:val="0"/>
          <w:iCs w:val="0"/>
          <w:caps w:val="0"/>
          <w:color w:val="000000"/>
          <w:spacing w:val="0"/>
          <w:sz w:val="32"/>
          <w:szCs w:val="32"/>
          <w:highlight w:val="none"/>
          <w:shd w:val="clear" w:fill="FFFFFF"/>
        </w:rPr>
        <w:t>二、出让探矿权基本情况</w:t>
      </w:r>
    </w:p>
    <w:p w14:paraId="1796294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860"/>
        <w:textAlignment w:val="auto"/>
        <w:rPr>
          <w:rFonts w:hint="eastAsia" w:ascii="方正仿宋_GB2312" w:hAnsi="方正仿宋_GB2312" w:eastAsia="方正仿宋_GB2312" w:cs="方正仿宋_GB2312"/>
          <w:i w:val="0"/>
          <w:iCs w:val="0"/>
          <w:caps w:val="0"/>
          <w:color w:val="000000"/>
          <w:spacing w:val="0"/>
          <w:sz w:val="32"/>
          <w:szCs w:val="32"/>
          <w:highlight w:val="none"/>
          <w:shd w:val="clear" w:fill="FFFFFF"/>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项目名称：新疆生产建设兵团第十师</w:t>
      </w:r>
      <w:r>
        <w:rPr>
          <w:rFonts w:hint="eastAsia" w:ascii="Times New Roman" w:hAnsi="Times New Roman" w:eastAsia="方正仿宋_GB2312" w:cs="Times New Roman"/>
          <w:i w:val="0"/>
          <w:iCs w:val="0"/>
          <w:caps w:val="0"/>
          <w:color w:val="000000"/>
          <w:spacing w:val="0"/>
          <w:sz w:val="32"/>
          <w:szCs w:val="32"/>
          <w:highlight w:val="none"/>
          <w:shd w:val="clear" w:fill="FFFFFF"/>
        </w:rPr>
        <w:t>181</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团齐背岭</w:t>
      </w:r>
      <w:r>
        <w:rPr>
          <w:rFonts w:hint="eastAsia" w:ascii="Times New Roman" w:hAnsi="Times New Roman" w:eastAsia="方正仿宋_GB2312" w:cs="Times New Roman"/>
          <w:i w:val="0"/>
          <w:iCs w:val="0"/>
          <w:caps w:val="0"/>
          <w:color w:val="000000"/>
          <w:spacing w:val="0"/>
          <w:sz w:val="32"/>
          <w:szCs w:val="32"/>
          <w:highlight w:val="none"/>
          <w:shd w:val="clear" w:fill="FFFFFF"/>
          <w:lang w:val="en-US" w:eastAsia="zh-CN"/>
        </w:rPr>
        <w:t>2</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号石英岩矿产普查探矿权</w:t>
      </w:r>
    </w:p>
    <w:p w14:paraId="7681D5A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86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出让矿区范围拐点坐标（</w:t>
      </w:r>
      <w:r>
        <w:rPr>
          <w:rFonts w:hint="default" w:ascii="Times New Roman" w:hAnsi="Times New Roman" w:eastAsia="方正仿宋_GB2312" w:cs="Times New Roman"/>
          <w:i w:val="0"/>
          <w:iCs w:val="0"/>
          <w:caps w:val="0"/>
          <w:color w:val="000000"/>
          <w:spacing w:val="0"/>
          <w:sz w:val="32"/>
          <w:szCs w:val="32"/>
          <w:highlight w:val="none"/>
          <w:shd w:val="clear" w:fill="FFFFFF"/>
        </w:rPr>
        <w:t>CGCS2000</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坐标系）:</w:t>
      </w:r>
    </w:p>
    <w:p w14:paraId="0D4FBEC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860"/>
        <w:textAlignment w:val="auto"/>
        <w:rPr>
          <w:rFonts w:hint="eastAsia" w:ascii="方正仿宋_GB2312" w:hAnsi="方正仿宋_GB2312" w:eastAsia="方正仿宋_GB2312" w:cs="方正仿宋_GB2312"/>
          <w:i w:val="0"/>
          <w:iCs w:val="0"/>
          <w:caps w:val="0"/>
          <w:color w:val="666666"/>
          <w:spacing w:val="0"/>
          <w:sz w:val="32"/>
          <w:szCs w:val="32"/>
          <w:highlight w:val="none"/>
          <w:lang w:val="en-US" w:eastAsia="zh-CN"/>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序号  </w:t>
      </w:r>
      <w:r>
        <w:rPr>
          <w:rFonts w:hint="default" w:ascii="Times New Roman" w:hAnsi="Times New Roman" w:eastAsia="方正仿宋_GB2312" w:cs="Times New Roman"/>
          <w:i w:val="0"/>
          <w:iCs w:val="0"/>
          <w:caps w:val="0"/>
          <w:color w:val="000000"/>
          <w:spacing w:val="0"/>
          <w:sz w:val="32"/>
          <w:szCs w:val="32"/>
          <w:highlight w:val="none"/>
          <w:shd w:val="clear" w:fill="FFFFFF"/>
          <w:lang w:val="en-US"/>
        </w:rPr>
        <w:t xml:space="preserve"> </w:t>
      </w:r>
      <w:r>
        <w:rPr>
          <w:rFonts w:hint="eastAsia" w:ascii="Times New Roman" w:hAnsi="Times New Roman" w:eastAsia="方正仿宋_GB2312" w:cs="Times New Roman"/>
          <w:i w:val="0"/>
          <w:iCs w:val="0"/>
          <w:caps w:val="0"/>
          <w:color w:val="000000"/>
          <w:spacing w:val="0"/>
          <w:sz w:val="32"/>
          <w:szCs w:val="32"/>
          <w:highlight w:val="none"/>
          <w:shd w:val="clear" w:fill="FFFFFF"/>
          <w:lang w:val="en-US" w:eastAsia="zh-CN"/>
        </w:rPr>
        <w:t>经度</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         </w:t>
      </w:r>
      <w:r>
        <w:rPr>
          <w:rFonts w:hint="eastAsia" w:ascii="Times New Roman" w:hAnsi="Times New Roman" w:eastAsia="方正仿宋_GB2312" w:cs="Times New Roman"/>
          <w:i w:val="0"/>
          <w:iCs w:val="0"/>
          <w:caps w:val="0"/>
          <w:color w:val="000000"/>
          <w:spacing w:val="0"/>
          <w:sz w:val="32"/>
          <w:szCs w:val="32"/>
          <w:highlight w:val="none"/>
          <w:shd w:val="clear" w:fill="FFFFFF"/>
        </w:rPr>
        <w:t> </w:t>
      </w:r>
      <w:r>
        <w:rPr>
          <w:rFonts w:hint="eastAsia" w:ascii="Times New Roman" w:hAnsi="Times New Roman" w:eastAsia="方正仿宋_GB2312" w:cs="Times New Roman"/>
          <w:i w:val="0"/>
          <w:iCs w:val="0"/>
          <w:caps w:val="0"/>
          <w:color w:val="000000"/>
          <w:spacing w:val="0"/>
          <w:sz w:val="32"/>
          <w:szCs w:val="32"/>
          <w:highlight w:val="none"/>
          <w:shd w:val="clear" w:fill="FFFFFF"/>
          <w:lang w:val="en-US" w:eastAsia="zh-CN"/>
        </w:rPr>
        <w:t>纬度</w:t>
      </w:r>
    </w:p>
    <w:p w14:paraId="26A67F94">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1</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87°37′18.768″，48°00′41.803″</w:t>
      </w:r>
    </w:p>
    <w:p w14:paraId="4AA02B1F">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2</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87°37′19.387″，48°00′42.154″</w:t>
      </w:r>
    </w:p>
    <w:p w14:paraId="5852E7D5">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3</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87°37′19.395″，48°00′42.159″</w:t>
      </w:r>
    </w:p>
    <w:p w14:paraId="2C92A0D6">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4</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87°37′20.651″，48°00′42.999″</w:t>
      </w:r>
    </w:p>
    <w:p w14:paraId="0AD0FCFC">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5</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87°37′21.130″，48°00′43.244″</w:t>
      </w:r>
    </w:p>
    <w:p w14:paraId="76FA16C6">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6</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87°37′21.826″，48°00′43.578″</w:t>
      </w:r>
    </w:p>
    <w:p w14:paraId="7CF610FE">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7</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87°37′22.582″，48°00′43.972″</w:t>
      </w:r>
    </w:p>
    <w:p w14:paraId="11A1357C">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8</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87°37′22.603″，48°00′43.986″</w:t>
      </w:r>
    </w:p>
    <w:p w14:paraId="77C4AB93">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9</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87°37′22.935″，48°00′44.257″</w:t>
      </w:r>
    </w:p>
    <w:p w14:paraId="1D4A35C4">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10</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87°37′22.946″，48°00′44.268″</w:t>
      </w:r>
    </w:p>
    <w:p w14:paraId="4C0E8109">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11</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87°37′23.168″，48°00′44.519″</w:t>
      </w:r>
    </w:p>
    <w:p w14:paraId="7260CADD">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12</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87°37′23.434″，48°00′44.808″</w:t>
      </w:r>
    </w:p>
    <w:p w14:paraId="1BC6D770">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13</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87°37′23.690″，48°00′45.046″</w:t>
      </w:r>
    </w:p>
    <w:p w14:paraId="2BFDE7DC">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14</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87°37′23.947″，48°00′45.188″</w:t>
      </w:r>
    </w:p>
    <w:p w14:paraId="2D1F73C8">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15</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87°37′24.114″，48°00′45.238″</w:t>
      </w:r>
    </w:p>
    <w:p w14:paraId="3B18E6DF">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16</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87°37′24.410″，48°00′45.255″</w:t>
      </w:r>
    </w:p>
    <w:p w14:paraId="5334EFF0">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17</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87°37′24.695″，48°00′45.194″</w:t>
      </w:r>
    </w:p>
    <w:p w14:paraId="25C87B47">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18</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87°37′24.787″，48°00′45.175″</w:t>
      </w:r>
    </w:p>
    <w:p w14:paraId="58556F26">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19</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87°37′25.145″，48°00′45.082″</w:t>
      </w:r>
    </w:p>
    <w:p w14:paraId="6570F540">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20</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87°37′25.569″，48°00′44.900″</w:t>
      </w:r>
    </w:p>
    <w:p w14:paraId="34A4C18E">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21</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87°37′25.679″，48°00′44.853″</w:t>
      </w:r>
    </w:p>
    <w:p w14:paraId="31DEF43F">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22</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87°37′25.705″，48°00′44.844″</w:t>
      </w:r>
    </w:p>
    <w:p w14:paraId="45CEDB27">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23</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87°37′25.734″，48°00′44.840″</w:t>
      </w:r>
    </w:p>
    <w:p w14:paraId="568DA655">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24</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87°37′25.810″，48°00′44.834″</w:t>
      </w:r>
    </w:p>
    <w:p w14:paraId="2CA654BC">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25</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87°37′25.755″，48°00′44.748″</w:t>
      </w:r>
    </w:p>
    <w:p w14:paraId="5B66A4EC">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26</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87°37′25.965″，48°00′44.387″</w:t>
      </w:r>
    </w:p>
    <w:p w14:paraId="293B8939">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27</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87°37′26.068″，48°00′44.026″</w:t>
      </w:r>
    </w:p>
    <w:p w14:paraId="6660792F">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28</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87°37′26.278″，48°00′43.593″</w:t>
      </w:r>
    </w:p>
    <w:p w14:paraId="7B824BFD">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29</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87°37′26.220″，48°00′43.305″</w:t>
      </w:r>
    </w:p>
    <w:p w14:paraId="454BC819">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30</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87°37′25.949″，48°00′43.019″</w:t>
      </w:r>
    </w:p>
    <w:p w14:paraId="4E6C6E25">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31</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87°37′25.625″，48°00′42.876″</w:t>
      </w:r>
    </w:p>
    <w:p w14:paraId="3A2971BD">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32</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87°37′25.247″，48°00′42.735″</w:t>
      </w:r>
    </w:p>
    <w:p w14:paraId="66949D7B">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33</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87°37′25.118″，48°00′42.724″</w:t>
      </w:r>
    </w:p>
    <w:p w14:paraId="4D79C0FE">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34</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87°37′24.818″，48°00′42.701″</w:t>
      </w:r>
    </w:p>
    <w:p w14:paraId="14D20C2F">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35</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87°37′24.228″，48°00′42.740″</w:t>
      </w:r>
    </w:p>
    <w:p w14:paraId="24BD403C">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36</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87°37′23.584″，48°00′42.744″</w:t>
      </w:r>
    </w:p>
    <w:p w14:paraId="31FD2D36">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37</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87°37′22.563″，48°00′42.605″</w:t>
      </w:r>
    </w:p>
    <w:p w14:paraId="6650650F">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38</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87°37′22.506″，48°00′42.389″</w:t>
      </w:r>
    </w:p>
    <w:p w14:paraId="25240C54">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39</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87°37′22.826″，48°00′42.171″</w:t>
      </w:r>
    </w:p>
    <w:p w14:paraId="7753EC44">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40</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87°37′23.091″，48°00′41.882″</w:t>
      </w:r>
    </w:p>
    <w:p w14:paraId="1E1E14A7">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41</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87°37′23.087″，48°00′41.558″</w:t>
      </w:r>
    </w:p>
    <w:p w14:paraId="1D4558CD">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42</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87°37′23.353″，48°00′41.376″</w:t>
      </w:r>
    </w:p>
    <w:p w14:paraId="39AE6028">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43</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87°37′23.889″，48°00′41.301″</w:t>
      </w:r>
    </w:p>
    <w:p w14:paraId="2DEC7836">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44</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87°37′24.262″，48°00′41.119″</w:t>
      </w:r>
    </w:p>
    <w:p w14:paraId="4811AA4B">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45</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87°37′24.633″，48°00′40.721″</w:t>
      </w:r>
    </w:p>
    <w:p w14:paraId="1B80718C">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46</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87°37′24.790″，48°00′40.360″</w:t>
      </w:r>
    </w:p>
    <w:p w14:paraId="5B072440">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47</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87°37′24.944″，48°00′39.783″</w:t>
      </w:r>
    </w:p>
    <w:p w14:paraId="285A937B">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48</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87°37′24.886″，48°00′39.424″</w:t>
      </w:r>
    </w:p>
    <w:p w14:paraId="0F878A43">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49</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87°37′24.990″，48°00′39.171″</w:t>
      </w:r>
    </w:p>
    <w:p w14:paraId="72060722">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50</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87°37′25.522″，48°00′38.808″</w:t>
      </w:r>
    </w:p>
    <w:p w14:paraId="0A0D3D50">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51</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87°37′25.734″，48°00′38.555″</w:t>
      </w:r>
    </w:p>
    <w:p w14:paraId="20410786">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52</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87°37′25.839″，48°00′38.374″</w:t>
      </w:r>
    </w:p>
    <w:p w14:paraId="1A83D06F">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53</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87°37′25.941″，48°00′37.905″</w:t>
      </w:r>
    </w:p>
    <w:p w14:paraId="03909255">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54</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87°37′25.990″，48°00′37.581″</w:t>
      </w:r>
    </w:p>
    <w:p w14:paraId="0E12153D">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55</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87°37′25.824″，48°00′37.114″</w:t>
      </w:r>
    </w:p>
    <w:p w14:paraId="69586E37">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56</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87°37′25.927″，48°00′36.753″</w:t>
      </w:r>
    </w:p>
    <w:p w14:paraId="039802B0">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57</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87°37′26.350″，48°00′36.247″</w:t>
      </w:r>
    </w:p>
    <w:p w14:paraId="14CA6A73">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58</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87°37′26.668″，48°00′35.957″</w:t>
      </w:r>
    </w:p>
    <w:p w14:paraId="1F9F8F38">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59</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87°37′26.743″，48°00′35.694″</w:t>
      </w:r>
    </w:p>
    <w:p w14:paraId="2B7C1B31">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60</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87°37′26.771″，48°00′35.596″</w:t>
      </w:r>
    </w:p>
    <w:p w14:paraId="721973DE">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61</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87°37′26.714″，48°00′35.308″</w:t>
      </w:r>
    </w:p>
    <w:p w14:paraId="74130FFB">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62</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87°37′26.565″，48°00′35.190″</w:t>
      </w:r>
    </w:p>
    <w:p w14:paraId="58761B17">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63</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87°37′26.443″，48°00′35.094″</w:t>
      </w:r>
    </w:p>
    <w:p w14:paraId="14CC8CF7">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64</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87°37′25.641″，48°00′35.278″</w:t>
      </w:r>
    </w:p>
    <w:p w14:paraId="5734EA65">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65</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87°37′25.495″，48°00′35.353″</w:t>
      </w:r>
    </w:p>
    <w:p w14:paraId="1B658B07">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66</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87°37′25.214″，48°00′35.497″</w:t>
      </w:r>
    </w:p>
    <w:p w14:paraId="27E279B1">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67</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87°37′25.032″，48°00′35.607″</w:t>
      </w:r>
    </w:p>
    <w:p w14:paraId="08D5AEB0">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68</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87°37′24.734″，48°00′35.787″</w:t>
      </w:r>
    </w:p>
    <w:p w14:paraId="2A7C8691">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69</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87°37′24.468″，48°00′35.969″</w:t>
      </w:r>
    </w:p>
    <w:p w14:paraId="7D42E656">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70</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87°37′24.095″，48°00′36.187″</w:t>
      </w:r>
    </w:p>
    <w:p w14:paraId="10AC5963">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71</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87°37′23.723″，48°00′36.441″</w:t>
      </w:r>
    </w:p>
    <w:p w14:paraId="7F8AA0DD">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72</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87°37′23.135″，48°00′36.696″</w:t>
      </w:r>
    </w:p>
    <w:p w14:paraId="54933826">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73</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87°37′22.386″，48°00′36.844″</w:t>
      </w:r>
    </w:p>
    <w:p w14:paraId="23BEC077">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74</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87°37′21.527″，48°00′36.849″</w:t>
      </w:r>
    </w:p>
    <w:p w14:paraId="1D5FC623">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75</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87°37′20.993″，48°00′37.032″</w:t>
      </w:r>
    </w:p>
    <w:p w14:paraId="5A058933">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76</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87°37′20.673″，48°00′37.250″</w:t>
      </w:r>
    </w:p>
    <w:p w14:paraId="70EEA35D">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77</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87°37′19.979″，48°00′37.506″</w:t>
      </w:r>
    </w:p>
    <w:p w14:paraId="6A73FECF">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78</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87°37′19.391″，48°00′37.689″</w:t>
      </w:r>
    </w:p>
    <w:p w14:paraId="29DC9F8D">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79</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87°37′19.239″，48°00′37.690″</w:t>
      </w:r>
    </w:p>
    <w:p w14:paraId="6E084344">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80</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87°37′18.747″，48°00′37.692″</w:t>
      </w:r>
    </w:p>
    <w:p w14:paraId="676E9278">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81</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87°37′17.890″，48°00′37.805″</w:t>
      </w:r>
    </w:p>
    <w:p w14:paraId="0D6DDB3D">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82</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87°37′17.517″，48°00′38.059″</w:t>
      </w:r>
    </w:p>
    <w:p w14:paraId="54994349">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83</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87°37′17.200″，48°00′38.457″</w:t>
      </w:r>
    </w:p>
    <w:p w14:paraId="4E7934D1">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84</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87°37′17.043″，48°00′38.818″</w:t>
      </w:r>
    </w:p>
    <w:p w14:paraId="78CE5FB1">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85</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87°37′17.049″，48°00′39.286″</w:t>
      </w:r>
    </w:p>
    <w:p w14:paraId="03D1DF69">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86</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87°37′17.265″，48°00′39.393″</w:t>
      </w:r>
    </w:p>
    <w:p w14:paraId="78A09370">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87</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87°37′17.911″，48°00′39.569″</w:t>
      </w:r>
    </w:p>
    <w:p w14:paraId="52AB8EE9">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88</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87°37′18.309″，48°00′39.678″</w:t>
      </w:r>
    </w:p>
    <w:p w14:paraId="63A1B156">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89</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87°37′19.140″，48°00′40.075″</w:t>
      </w:r>
    </w:p>
    <w:p w14:paraId="5FCA22C9">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90</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87°37′19.315″，48°00′40.282″</w:t>
      </w:r>
    </w:p>
    <w:p w14:paraId="400C5169">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91</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87°37′19.480″，48°00′40.677″</w:t>
      </w:r>
    </w:p>
    <w:p w14:paraId="685B41F4">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92</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87°37′19.533″，48°00′40.971″</w:t>
      </w:r>
    </w:p>
    <w:p w14:paraId="1EE8DF64">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93</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87°37′19.538″，48°00′41.001″</w:t>
      </w:r>
    </w:p>
    <w:p w14:paraId="341C8399">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94</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87°37′19.539″，48°00′41.074″</w:t>
      </w:r>
    </w:p>
    <w:p w14:paraId="3EE2DD2D">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95</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87°37′19.363″，48°00′41.403″</w:t>
      </w:r>
    </w:p>
    <w:p w14:paraId="1BA221DC">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96</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87°37′19.240″，48°00′41.502″</w:t>
      </w:r>
    </w:p>
    <w:p w14:paraId="730FD322">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97</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87°37′19.078″，48°00′41.587″</w:t>
      </w:r>
    </w:p>
    <w:p w14:paraId="71147982">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98</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87°37′18.841″，48°00′41.734″</w:t>
      </w:r>
    </w:p>
    <w:p w14:paraId="31741710">
      <w:pPr>
        <w:keepNext w:val="0"/>
        <w:keepLines w:val="0"/>
        <w:pageBreakBefore w:val="0"/>
        <w:widowControl w:val="0"/>
        <w:kinsoku/>
        <w:wordWrap/>
        <w:overflowPunct/>
        <w:topLinePunct w:val="0"/>
        <w:autoSpaceDE/>
        <w:autoSpaceDN/>
        <w:bidi w:val="0"/>
        <w:adjustRightInd/>
        <w:snapToGrid/>
        <w:spacing w:line="560" w:lineRule="exact"/>
        <w:ind w:left="0" w:firstLine="656" w:firstLineChars="200"/>
        <w:textAlignment w:val="auto"/>
        <w:rPr>
          <w:rFonts w:hint="default" w:ascii="Times New Roman Regular" w:hAnsi="Times New Roman Regular" w:eastAsia="方正仿宋_GB2312" w:cs="Times New Roman Regular"/>
          <w:spacing w:val="4"/>
          <w:sz w:val="32"/>
          <w:szCs w:val="32"/>
          <w:highlight w:val="none"/>
          <w:lang w:val="en-US" w:eastAsia="zh-CN"/>
        </w:rPr>
      </w:pPr>
      <w:r>
        <w:rPr>
          <w:rFonts w:hint="default" w:ascii="Times New Roman Regular" w:hAnsi="Times New Roman Regular" w:eastAsia="方正仿宋_GB2312" w:cs="Times New Roman Regular"/>
          <w:spacing w:val="4"/>
          <w:sz w:val="32"/>
          <w:szCs w:val="32"/>
          <w:highlight w:val="none"/>
          <w:lang w:val="en-US" w:eastAsia="zh-CN"/>
        </w:rPr>
        <w:t>99</w:t>
      </w:r>
      <w:r>
        <w:rPr>
          <w:rFonts w:hint="eastAsia" w:ascii="Times New Roman Regular" w:hAnsi="Times New Roman Regular" w:eastAsia="方正仿宋_GB2312" w:cs="Times New Roman Regular"/>
          <w:spacing w:val="4"/>
          <w:sz w:val="32"/>
          <w:szCs w:val="32"/>
          <w:highlight w:val="none"/>
          <w:lang w:val="en-US" w:eastAsia="zh-CN"/>
        </w:rPr>
        <w:t>.</w:t>
      </w:r>
      <w:r>
        <w:rPr>
          <w:rFonts w:hint="default" w:ascii="Times New Roman Regular" w:hAnsi="Times New Roman Regular" w:eastAsia="方正仿宋_GB2312" w:cs="Times New Roman Regular"/>
          <w:spacing w:val="4"/>
          <w:sz w:val="32"/>
          <w:szCs w:val="32"/>
          <w:highlight w:val="none"/>
          <w:lang w:val="en-US" w:eastAsia="zh-CN"/>
        </w:rPr>
        <w:t>87°37′18.768″，48°00′41.803″</w:t>
      </w:r>
    </w:p>
    <w:p w14:paraId="7A178A4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bookmarkStart w:id="0" w:name="_GoBack"/>
      <w:bookmarkEnd w:id="0"/>
      <w:r>
        <w:rPr>
          <w:rFonts w:hint="eastAsia" w:ascii="方正仿宋_GB2312" w:hAnsi="方正仿宋_GB2312" w:eastAsia="方正仿宋_GB2312" w:cs="方正仿宋_GB2312"/>
          <w:i w:val="0"/>
          <w:iCs w:val="0"/>
          <w:caps w:val="0"/>
          <w:color w:val="000000"/>
          <w:spacing w:val="0"/>
          <w:sz w:val="32"/>
          <w:szCs w:val="32"/>
          <w:highlight w:val="none"/>
          <w:shd w:val="clear" w:fill="FFFFFF"/>
        </w:rPr>
        <w:t>矿种：石英岩</w:t>
      </w:r>
    </w:p>
    <w:p w14:paraId="3C19C85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面积：</w:t>
      </w:r>
      <w:r>
        <w:rPr>
          <w:rFonts w:hint="default" w:ascii="Times New Roman" w:hAnsi="Times New Roman" w:eastAsia="方正仿宋_GB2312" w:cs="Times New Roman"/>
          <w:i w:val="0"/>
          <w:iCs w:val="0"/>
          <w:caps w:val="0"/>
          <w:color w:val="000000"/>
          <w:spacing w:val="0"/>
          <w:sz w:val="32"/>
          <w:szCs w:val="32"/>
          <w:highlight w:val="none"/>
          <w:shd w:val="clear" w:fill="FFFFFF"/>
          <w:lang w:val="en-US" w:eastAsia="zh-CN"/>
        </w:rPr>
        <w:t>0.03</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平方千米</w:t>
      </w:r>
    </w:p>
    <w:p w14:paraId="0D6DEEC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勘查工作程度：普查</w:t>
      </w:r>
    </w:p>
    <w:p w14:paraId="1CAAF0F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勘查投入要求：按规（约）定执行</w:t>
      </w:r>
    </w:p>
    <w:p w14:paraId="55E2A1F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挂牌出让起始价人民币：</w:t>
      </w:r>
      <w:r>
        <w:rPr>
          <w:rFonts w:hint="eastAsia" w:ascii="Times New Roman" w:hAnsi="Times New Roman" w:eastAsia="方正仿宋_GB2312" w:cs="Times New Roman"/>
          <w:i w:val="0"/>
          <w:iCs w:val="0"/>
          <w:caps w:val="0"/>
          <w:color w:val="000000"/>
          <w:spacing w:val="0"/>
          <w:sz w:val="32"/>
          <w:szCs w:val="32"/>
          <w:highlight w:val="none"/>
          <w:shd w:val="clear" w:fill="FFFFFF"/>
          <w:lang w:val="en-US" w:eastAsia="zh-CN"/>
        </w:rPr>
        <w:t>2</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万元</w:t>
      </w:r>
    </w:p>
    <w:p w14:paraId="57B3C8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出让年限：</w:t>
      </w:r>
      <w:r>
        <w:rPr>
          <w:rFonts w:hint="eastAsia" w:ascii="Times New Roman" w:hAnsi="Times New Roman" w:eastAsia="方正仿宋_GB2312" w:cs="Times New Roman"/>
          <w:i w:val="0"/>
          <w:iCs w:val="0"/>
          <w:caps w:val="0"/>
          <w:color w:val="000000"/>
          <w:spacing w:val="0"/>
          <w:sz w:val="32"/>
          <w:szCs w:val="32"/>
          <w:highlight w:val="none"/>
          <w:shd w:val="clear" w:fill="FFFFFF"/>
          <w:lang w:val="en-US" w:eastAsia="zh-CN"/>
        </w:rPr>
        <w:t>2</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年</w:t>
      </w:r>
    </w:p>
    <w:p w14:paraId="2340184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竞买保证金人民币：</w:t>
      </w:r>
      <w:r>
        <w:rPr>
          <w:rFonts w:hint="eastAsia" w:ascii="Times New Roman" w:hAnsi="Times New Roman" w:eastAsia="方正仿宋_GB2312" w:cs="Times New Roman"/>
          <w:i w:val="0"/>
          <w:iCs w:val="0"/>
          <w:caps w:val="0"/>
          <w:color w:val="000000"/>
          <w:spacing w:val="0"/>
          <w:sz w:val="32"/>
          <w:szCs w:val="32"/>
          <w:highlight w:val="none"/>
          <w:shd w:val="clear" w:fill="FFFFFF"/>
          <w:lang w:val="en-US" w:eastAsia="zh-CN"/>
        </w:rPr>
        <w:t>50</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万元</w:t>
      </w:r>
    </w:p>
    <w:p w14:paraId="5FBE659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增价幅度人民币：</w:t>
      </w:r>
      <w:r>
        <w:rPr>
          <w:rFonts w:hint="eastAsia" w:ascii="Times New Roman" w:hAnsi="Times New Roman" w:eastAsia="方正仿宋_GB2312" w:cs="Times New Roman"/>
          <w:i w:val="0"/>
          <w:iCs w:val="0"/>
          <w:caps w:val="0"/>
          <w:color w:val="000000"/>
          <w:spacing w:val="0"/>
          <w:sz w:val="32"/>
          <w:szCs w:val="32"/>
          <w:highlight w:val="none"/>
          <w:shd w:val="clear" w:fill="FFFFFF"/>
          <w:lang w:val="en-US" w:eastAsia="zh-CN"/>
        </w:rPr>
        <w:t>2</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万元</w:t>
      </w:r>
    </w:p>
    <w:p w14:paraId="4B1EEF7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注：最终成交的探矿权范围拐点坐标及面积以有管理权限的自然资源部门签订出让合同中确定的为准。</w:t>
      </w:r>
    </w:p>
    <w:p w14:paraId="3CD5905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黑体" w:hAnsi="黑体" w:eastAsia="黑体" w:cs="黑体"/>
          <w:b w:val="0"/>
          <w:bCs w:val="0"/>
          <w:i w:val="0"/>
          <w:iCs w:val="0"/>
          <w:caps w:val="0"/>
          <w:color w:val="000000"/>
          <w:spacing w:val="0"/>
          <w:sz w:val="32"/>
          <w:szCs w:val="32"/>
          <w:highlight w:val="none"/>
          <w:shd w:val="clear" w:fill="FFFFFF"/>
        </w:rPr>
        <w:t>三、竞买人资格条件及相关要求</w:t>
      </w:r>
    </w:p>
    <w:p w14:paraId="2C1412D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1.中华人民共和国境内注册的营利法人或者非营利法人中的事业单位法人。</w:t>
      </w:r>
    </w:p>
    <w:p w14:paraId="2C03C29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2.独立法人，不接受联合体竞买。</w:t>
      </w:r>
    </w:p>
    <w:p w14:paraId="4D1297E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3.未被列入“全国矿业权人勘查开采信息公示系统”中的“严重违法名单”。</w:t>
      </w:r>
    </w:p>
    <w:p w14:paraId="66F7AF2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4.未被“信用中国”网站列入“严重失信主体名单”“失信被执行人”“政府采购严重违法失信行为记录名单”“拖欠农民工工资失信联合惩戒对象名单”“重大税收违法失信主体”“统计严重失信企业名单”。</w:t>
      </w:r>
    </w:p>
    <w:p w14:paraId="047252A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5.未被中华人民共和国应急管理部列入“安全生产严重失信主体名单”。</w:t>
      </w:r>
    </w:p>
    <w:p w14:paraId="3C7B7C2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6.未被“国家企业信用信息公示系统”列入“经营异常名录”“严重违法失信名单”。</w:t>
      </w:r>
    </w:p>
    <w:p w14:paraId="692597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7.法律、行政法规规定和相关主管部门要求的其他条件。</w:t>
      </w:r>
    </w:p>
    <w:p w14:paraId="62A1168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黑体" w:hAnsi="黑体" w:eastAsia="黑体" w:cs="黑体"/>
          <w:b w:val="0"/>
          <w:bCs w:val="0"/>
          <w:i w:val="0"/>
          <w:iCs w:val="0"/>
          <w:caps w:val="0"/>
          <w:color w:val="000000"/>
          <w:spacing w:val="0"/>
          <w:sz w:val="32"/>
          <w:szCs w:val="32"/>
          <w:highlight w:val="none"/>
          <w:shd w:val="clear" w:fill="FFFFFF"/>
        </w:rPr>
        <w:t>四、报名时间、方式</w:t>
      </w:r>
    </w:p>
    <w:p w14:paraId="277967D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（一）出让方式：线上挂牌出让</w:t>
      </w:r>
    </w:p>
    <w:p w14:paraId="1027D73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lang w:val="en-US" w:eastAsia="zh-CN"/>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（二）报名时间：2025年</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12</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月</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12</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日</w:t>
      </w:r>
      <w:r>
        <w:rPr>
          <w:rFonts w:hint="eastAsia" w:ascii="方正仿宋_GB2312" w:hAnsi="方正仿宋_GB2312" w:eastAsia="方正仿宋_GB2312" w:cs="方正仿宋_GB2312"/>
          <w:i w:val="0"/>
          <w:iCs w:val="0"/>
          <w:caps w:val="0"/>
          <w:color w:val="000000"/>
          <w:spacing w:val="0"/>
          <w:sz w:val="32"/>
          <w:szCs w:val="32"/>
          <w:highlight w:val="none"/>
          <w:u w:val="none"/>
          <w:shd w:val="clear" w:fill="FFFFFF"/>
        </w:rPr>
        <w:t>10：30（北京时间，下同）</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至202</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6</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年</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1</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月</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9</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日1</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8</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:00</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止</w:t>
      </w:r>
    </w:p>
    <w:p w14:paraId="1B38C63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（三）报名方式：</w:t>
      </w:r>
    </w:p>
    <w:p w14:paraId="22AA0B4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1）报名前的准备。凡有意参与探矿权网上挂牌交易的竞买人均应在报名时间期限内进行CA锁办理，或手机下载“标证通”APP办理CA数字证书。CA数字证书包括：企业、法定代表人数字证书及签章等。具体办理方法及收费标准咨询CA公司（北屯市CA办理点：北屯市天骄玉街2号楼2楼15299703690），也可在新疆生产建设兵团公共资源交易信息网站下载中心内查看“标证通”申领操作手册”。若有疑问可咨询国泰新点客服，联系电话：400-9980000。</w:t>
      </w:r>
    </w:p>
    <w:p w14:paraId="027CE9B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（2）竞买申请人取得CA有效数字证书后，进入新疆生产建设兵团公共资源交易信息网首页—交易主体登录，下载“驱动程序，并查看手册”，完善诚信库基本信息，做好平台入库工作。</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进</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入新疆生产建设兵团公共资源交易信息网首页—下载中心查看矿业权交易操作手册，因竞买人配置不当、操作失误或计算机软件、硬件及网络出现故障不能正常参加竞买的，后果由竞买人自行承担，网上挂牌出让活动不因此停止。</w:t>
      </w:r>
    </w:p>
    <w:p w14:paraId="04B806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jc w:val="left"/>
        <w:textAlignment w:val="auto"/>
        <w:rPr>
          <w:rFonts w:hint="eastAsia" w:ascii="方正仿宋_GB2312" w:hAnsi="方正仿宋_GB2312" w:eastAsia="方正仿宋_GB2312" w:cs="方正仿宋_GB2312"/>
          <w:i w:val="0"/>
          <w:iCs w:val="0"/>
          <w:caps w:val="0"/>
          <w:color w:val="000000"/>
          <w:spacing w:val="0"/>
          <w:sz w:val="32"/>
          <w:szCs w:val="32"/>
          <w:highlight w:val="none"/>
          <w:shd w:val="clear" w:fill="FFFFFF"/>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（四）挂牌会召开时间与地点：</w:t>
      </w:r>
      <w:r>
        <w:rPr>
          <w:rFonts w:hint="default" w:ascii="Times New Roman Regular" w:hAnsi="Times New Roman Regular" w:eastAsia="方正仿宋_GB2312" w:cs="Times New Roman Regular"/>
          <w:i w:val="0"/>
          <w:iCs w:val="0"/>
          <w:caps w:val="0"/>
          <w:color w:val="000000"/>
          <w:spacing w:val="0"/>
          <w:sz w:val="32"/>
          <w:szCs w:val="32"/>
          <w:highlight w:val="none"/>
          <w:shd w:val="clear" w:fill="FFFFFF"/>
        </w:rPr>
        <w:t>202</w:t>
      </w:r>
      <w:r>
        <w:rPr>
          <w:rFonts w:hint="default" w:ascii="Times New Roman Regular" w:hAnsi="Times New Roman Regular" w:eastAsia="方正仿宋_GB2312" w:cs="Times New Roman Regular"/>
          <w:i w:val="0"/>
          <w:iCs w:val="0"/>
          <w:caps w:val="0"/>
          <w:color w:val="000000"/>
          <w:spacing w:val="0"/>
          <w:sz w:val="32"/>
          <w:szCs w:val="32"/>
          <w:highlight w:val="none"/>
          <w:shd w:val="clear" w:fill="FFFFFF"/>
          <w:lang w:val="en-US" w:eastAsia="zh-CN"/>
        </w:rPr>
        <w:t>6</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年</w:t>
      </w:r>
      <w:r>
        <w:rPr>
          <w:rFonts w:hint="eastAsia" w:ascii="Times New Roman Regular" w:hAnsi="Times New Roman Regular" w:eastAsia="方正仿宋_GB2312" w:cs="Times New Roman Regular"/>
          <w:i w:val="0"/>
          <w:iCs w:val="0"/>
          <w:caps w:val="0"/>
          <w:color w:val="000000"/>
          <w:spacing w:val="0"/>
          <w:sz w:val="32"/>
          <w:szCs w:val="32"/>
          <w:highlight w:val="none"/>
          <w:shd w:val="clear" w:fill="FFFFFF"/>
          <w:lang w:val="en-US" w:eastAsia="zh-CN"/>
        </w:rPr>
        <w:t>1</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月</w:t>
      </w:r>
      <w:r>
        <w:rPr>
          <w:rFonts w:hint="eastAsia" w:ascii="Times New Roman Regular" w:hAnsi="Times New Roman Regular" w:eastAsia="方正仿宋_GB2312" w:cs="Times New Roman Regular"/>
          <w:i w:val="0"/>
          <w:iCs w:val="0"/>
          <w:caps w:val="0"/>
          <w:color w:val="000000"/>
          <w:spacing w:val="0"/>
          <w:sz w:val="32"/>
          <w:szCs w:val="32"/>
          <w:highlight w:val="none"/>
          <w:shd w:val="clear" w:fill="FFFFFF"/>
          <w:lang w:val="en-US" w:eastAsia="zh-CN"/>
        </w:rPr>
        <w:t>27</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日</w:t>
      </w:r>
      <w:r>
        <w:rPr>
          <w:rFonts w:hint="eastAsia" w:ascii="Times New Roman Regular" w:hAnsi="Times New Roman Regular" w:eastAsia="方正仿宋_GB2312" w:cs="Times New Roman Regular"/>
          <w:i w:val="0"/>
          <w:iCs w:val="0"/>
          <w:caps w:val="0"/>
          <w:color w:val="000000"/>
          <w:spacing w:val="0"/>
          <w:sz w:val="32"/>
          <w:szCs w:val="32"/>
          <w:highlight w:val="none"/>
          <w:shd w:val="clear" w:fill="FFFFFF"/>
        </w:rPr>
        <w:t>17:00</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在新疆生产建设兵团公共资源交易信息</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网</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w:t>
      </w:r>
      <w:r>
        <w:rPr>
          <w:rFonts w:hint="eastAsia" w:ascii="Times New Roman Regular" w:hAnsi="Times New Roman Regular" w:eastAsia="方正仿宋_GB2312" w:cs="Times New Roman Regular"/>
          <w:i w:val="0"/>
          <w:iCs w:val="0"/>
          <w:caps w:val="0"/>
          <w:color w:val="000000"/>
          <w:spacing w:val="0"/>
          <w:sz w:val="32"/>
          <w:szCs w:val="32"/>
          <w:highlight w:val="none"/>
          <w:shd w:val="clear" w:fill="FFFFFF"/>
        </w:rPr>
        <w:t>https://ggzy.xjbt.gov.cn</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w:t>
      </w:r>
    </w:p>
    <w:p w14:paraId="2B1738F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（五）报名材料（报名时上传）</w:t>
      </w:r>
    </w:p>
    <w:p w14:paraId="32B46BE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1.竞买人一般情况表（附件1），上传全国矿业权人勘查开采信息公示系统（https://kyqgs.mnr.gov.cn/）中的“严重违法名单”，信用中国网站（https://www.creditchina.gov.cn/）</w:t>
      </w:r>
      <w:r>
        <w:rPr>
          <w:rFonts w:hint="eastAsia" w:ascii="方正仿宋_GB2312" w:hAnsi="方正仿宋_GB2312" w:eastAsia="方正仿宋_GB2312" w:cs="方正仿宋_GB2312"/>
          <w:i w:val="0"/>
          <w:iCs w:val="0"/>
          <w:caps w:val="0"/>
          <w:color w:val="000000"/>
          <w:spacing w:val="0"/>
          <w:sz w:val="32"/>
          <w:szCs w:val="32"/>
          <w:highlight w:val="none"/>
        </w:rPr>
        <w:t>“严重失信主体名单”“失信被执行人”“政府采购严重违法失信行为记录名单”“拖欠农民工工资失信联合惩戒对象名单”“重大税收违法失信主体”“统计严重失信企业名单”，中华人民共和国应急管理部（https://www.mem.gov.cn）</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w:t>
      </w:r>
      <w:r>
        <w:rPr>
          <w:rFonts w:hint="eastAsia" w:ascii="方正仿宋_GB2312" w:hAnsi="方正仿宋_GB2312" w:eastAsia="方正仿宋_GB2312" w:cs="方正仿宋_GB2312"/>
          <w:i w:val="0"/>
          <w:iCs w:val="0"/>
          <w:caps w:val="0"/>
          <w:color w:val="000000"/>
          <w:spacing w:val="0"/>
          <w:sz w:val="32"/>
          <w:szCs w:val="32"/>
          <w:highlight w:val="none"/>
        </w:rPr>
        <w:t>安全生产严重失信主体名单</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”，国家企业信用信息公示系统（https://www.gsxt.gov.cn）“经营异常名录”“严重违法失信名单”查询结果截图等证明材料；</w:t>
      </w:r>
    </w:p>
    <w:p w14:paraId="1D8BA03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2.加盖公章的统一社会信用代码证扫描件（未办理五证合一的须提交营业执照、组织机构代码证、税务登记证）；</w:t>
      </w:r>
    </w:p>
    <w:p w14:paraId="69A6DE7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3.由法定代表人参加的上传法定代表人身份证明书（格式见附件2），由委托代理人参加的上传授权委托书（格式见附件3）；</w:t>
      </w:r>
    </w:p>
    <w:p w14:paraId="7996AE2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4.需要上传的其他材料。</w:t>
      </w:r>
    </w:p>
    <w:p w14:paraId="7AD8333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（六）资格确认</w:t>
      </w:r>
    </w:p>
    <w:p w14:paraId="077B531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意向竞买人提交报名材料后，矿业权交易机构在线进行资格审查。符合竞买人资格条件要求的，矿业权交易机构出具《竞买资格确认书》，意向竞买人取得交易资格，成为竞买人。</w:t>
      </w:r>
    </w:p>
    <w:p w14:paraId="687261A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（七）保证金的</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交纳</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和处置</w:t>
      </w:r>
    </w:p>
    <w:p w14:paraId="61B4916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000000"/>
          <w:spacing w:val="0"/>
          <w:sz w:val="32"/>
          <w:szCs w:val="32"/>
          <w:highlight w:val="none"/>
          <w:shd w:val="clear" w:fill="FFFFFF"/>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1.竞买申请人请于2025年</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12</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月</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12</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日至202</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6</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年</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1</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月</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9</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日18：00前，持CA数字证书</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eastAsia="zh-CN"/>
        </w:rPr>
        <w:t>登录</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新疆生产建设兵团公共资源交易信息网，进行上传报名资料和</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交纳</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竞买保证金。</w:t>
      </w:r>
    </w:p>
    <w:p w14:paraId="72EABFD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2.竞得人需缴纳探矿权出让收益</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和交纳</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交易服务费后，</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交纳</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的保证金在5个工作日内全部退还本金；未竞得人</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交纳</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的保证金在挂牌结束后5个工作日内全部退还本金。</w:t>
      </w:r>
    </w:p>
    <w:p w14:paraId="114AD80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textAlignment w:val="auto"/>
        <w:rPr>
          <w:rFonts w:hint="eastAsia" w:ascii="黑体" w:hAnsi="黑体" w:eastAsia="黑体" w:cs="黑体"/>
          <w:b w:val="0"/>
          <w:bCs w:val="0"/>
          <w:i w:val="0"/>
          <w:iCs w:val="0"/>
          <w:caps w:val="0"/>
          <w:color w:val="000000"/>
          <w:spacing w:val="0"/>
          <w:sz w:val="32"/>
          <w:szCs w:val="32"/>
          <w:highlight w:val="none"/>
          <w:shd w:val="clear" w:fill="FFFFFF"/>
        </w:rPr>
      </w:pPr>
      <w:r>
        <w:rPr>
          <w:rFonts w:hint="eastAsia" w:ascii="黑体" w:hAnsi="黑体" w:eastAsia="黑体" w:cs="黑体"/>
          <w:b w:val="0"/>
          <w:bCs w:val="0"/>
          <w:i w:val="0"/>
          <w:iCs w:val="0"/>
          <w:caps w:val="0"/>
          <w:color w:val="000000"/>
          <w:spacing w:val="0"/>
          <w:sz w:val="32"/>
          <w:szCs w:val="32"/>
          <w:highlight w:val="none"/>
          <w:shd w:val="clear" w:fill="FFFFFF"/>
        </w:rPr>
        <w:t>五、挂牌竞价</w:t>
      </w:r>
    </w:p>
    <w:p w14:paraId="3159044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本次探矿权挂牌全部采取线上交易，竞买人的初次报价不得低于起始价，以后的每次报价须高于当前的最高报价。      </w:t>
      </w:r>
    </w:p>
    <w:p w14:paraId="20F51A6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竞价规则如下：</w:t>
      </w:r>
    </w:p>
    <w:p w14:paraId="5C87FD4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（一）竞价方式，竞价共分3个阶段：</w:t>
      </w:r>
    </w:p>
    <w:p w14:paraId="12A7E9A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1.挂牌竞价阶段。202</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6</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年</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1</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月</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10</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日10:30至202</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6</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年</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1</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月</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26</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日17:00。竞买人报价时，若为第一人报价，其报价不得低于挂牌起始价；若已有报价的，其报价不得低于此前最高报价，否则为无效报价。</w:t>
      </w:r>
    </w:p>
    <w:p w14:paraId="6863978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2.询问阶段。202</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6</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年</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1</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月</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26</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日</w:t>
      </w:r>
      <w:r>
        <w:rPr>
          <w:rFonts w:hint="eastAsia" w:ascii="方正仿宋_GB2312" w:hAnsi="方正仿宋_GB2312" w:eastAsia="方正仿宋_GB2312" w:cs="方正仿宋_GB2312"/>
          <w:i w:val="0"/>
          <w:iCs w:val="0"/>
          <w:caps w:val="0"/>
          <w:color w:val="000000"/>
          <w:spacing w:val="0"/>
          <w:sz w:val="32"/>
          <w:szCs w:val="32"/>
          <w:highlight w:val="none"/>
          <w:u w:val="none"/>
          <w:shd w:val="clear" w:fill="FFFFFF"/>
        </w:rPr>
        <w:t>1</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7:00，挂牌竞价期限截止时，探矿权竞价系统进入4分钟询问期，若无竞买人继续参加竞价，则最高报价者为该挂牌探矿权的竞得人；若有除当前最高报价者外，还有继续竞价的，将转入延时阶段。</w:t>
      </w:r>
    </w:p>
    <w:p w14:paraId="0744364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3.延时阶段。由延时竞价（4分钟询问期）和若干个延时加价（120秒）阶段组成。延时竞价时间设定为4分钟，4分钟届满系统进入延时加价阶段，每个延时加价阶段设置时间为120秒，直至出现第一次120秒无人加价，此前最高报价者为该挂牌探矿权的竞得人。</w:t>
      </w:r>
    </w:p>
    <w:p w14:paraId="2FAC346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（二）报价规则。竞买人需按照探矿权挂牌出让公告中增价幅度或增加幅度的整数倍报价，报价高于前次报价即为有效报价，但不受上一竞买人报价倍数约束。</w:t>
      </w:r>
    </w:p>
    <w:p w14:paraId="04735EC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（三）竞买人参与延时竞价、延时加价的条件。在10个工作日挂牌竞价阶段内所有有效报价的竞买人均可参加延时竞价，未报价或报价无效的竞买人不能参加延时竞价。</w:t>
      </w:r>
    </w:p>
    <w:p w14:paraId="27364E9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黑体" w:hAnsi="黑体" w:eastAsia="黑体" w:cs="黑体"/>
          <w:b w:val="0"/>
          <w:bCs w:val="0"/>
          <w:i w:val="0"/>
          <w:iCs w:val="0"/>
          <w:caps w:val="0"/>
          <w:color w:val="000000"/>
          <w:spacing w:val="0"/>
          <w:sz w:val="32"/>
          <w:szCs w:val="32"/>
          <w:highlight w:val="none"/>
          <w:shd w:val="clear" w:fill="FFFFFF"/>
        </w:rPr>
        <w:t>六、确定竞得人标准和方法</w:t>
      </w:r>
    </w:p>
    <w:p w14:paraId="41458CC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（一）本次探矿权出让采用增价报价方式，每次增价幅度为一个增价幅度或增价幅度的整数倍。竞买申请人持CA数字证书登录竞价系统，须在挂牌报价时间内至少进行一次有效报价后，方可获得延时竞价资格。</w:t>
      </w:r>
    </w:p>
    <w:p w14:paraId="19CE5B4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（二）按照价高者得原则确定竞得人。</w:t>
      </w:r>
    </w:p>
    <w:p w14:paraId="02AF6BA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（三）网上挂牌成交后，网上交易系统确定竞得人。竞得人须在五个工作日内持证明文件到交易平台与出让人、矿业权交易机构签订《探矿权成交确认书》。 </w:t>
      </w:r>
    </w:p>
    <w:p w14:paraId="5CE8F1E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（四）结果公示：交易结果在相关网站公示10个工作日。</w:t>
      </w:r>
    </w:p>
    <w:p w14:paraId="5AB19A3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textAlignment w:val="auto"/>
        <w:rPr>
          <w:rFonts w:hint="eastAsia" w:ascii="黑体" w:hAnsi="黑体" w:eastAsia="黑体" w:cs="黑体"/>
          <w:b w:val="0"/>
          <w:bCs w:val="0"/>
          <w:i w:val="0"/>
          <w:iCs w:val="0"/>
          <w:caps w:val="0"/>
          <w:color w:val="000000"/>
          <w:spacing w:val="0"/>
          <w:sz w:val="32"/>
          <w:szCs w:val="32"/>
          <w:highlight w:val="none"/>
          <w:shd w:val="clear" w:fill="FFFFFF"/>
        </w:rPr>
      </w:pPr>
      <w:r>
        <w:rPr>
          <w:rFonts w:hint="eastAsia" w:ascii="黑体" w:hAnsi="黑体" w:eastAsia="黑体" w:cs="黑体"/>
          <w:b w:val="0"/>
          <w:bCs w:val="0"/>
          <w:i w:val="0"/>
          <w:iCs w:val="0"/>
          <w:caps w:val="0"/>
          <w:color w:val="000000"/>
          <w:spacing w:val="0"/>
          <w:sz w:val="32"/>
          <w:szCs w:val="32"/>
          <w:highlight w:val="none"/>
          <w:shd w:val="clear" w:fill="FFFFFF"/>
        </w:rPr>
        <w:t>七、风险提示</w:t>
      </w:r>
    </w:p>
    <w:p w14:paraId="464550E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（一）竞买申请人可自行组织现场踏勘</w:t>
      </w:r>
      <w:r>
        <w:rPr>
          <w:rFonts w:hint="eastAsia" w:ascii="方正仿宋_GB2312" w:hAnsi="方正仿宋_GB2312" w:eastAsia="方正仿宋_GB2312" w:cs="方正仿宋_GB2312"/>
          <w:i w:val="0"/>
          <w:iCs w:val="0"/>
          <w:caps w:val="0"/>
          <w:color w:val="000000"/>
          <w:spacing w:val="0"/>
          <w:sz w:val="32"/>
          <w:szCs w:val="32"/>
          <w:highlight w:val="none"/>
          <w:lang w:eastAsia="zh-CN"/>
        </w:rPr>
        <w:t>，</w:t>
      </w:r>
      <w:r>
        <w:rPr>
          <w:rFonts w:hint="eastAsia" w:ascii="方正仿宋_GB2312" w:hAnsi="方正仿宋_GB2312" w:eastAsia="方正仿宋_GB2312" w:cs="方正仿宋_GB2312"/>
          <w:i w:val="0"/>
          <w:iCs w:val="0"/>
          <w:caps w:val="0"/>
          <w:color w:val="000000"/>
          <w:spacing w:val="0"/>
          <w:sz w:val="32"/>
          <w:szCs w:val="32"/>
          <w:highlight w:val="none"/>
        </w:rPr>
        <w:t>费用自理。</w:t>
      </w:r>
    </w:p>
    <w:p w14:paraId="3B91EA9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（二）矿产资源开发、综合利用具有较大投资风险，投资风险由竞得人承担。包括：</w:t>
      </w:r>
    </w:p>
    <w:p w14:paraId="35EA80E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1.在开发利用过程中存在资源储量变化带来的风险。</w:t>
      </w:r>
    </w:p>
    <w:p w14:paraId="7DD71C6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2.“三线一单”环保法规政策调整及“国土空间规划”编制、调整等法规、政策风险。</w:t>
      </w:r>
    </w:p>
    <w:p w14:paraId="2F2DB7A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3.竞得人事先不了解、事后不执行地方政府贯彻执行高质量发展的要求，按照国家、自治区人民政府产业结构调整指导目录（鼓励类项目）等，而引发的政策性投资的风险。</w:t>
      </w:r>
    </w:p>
    <w:p w14:paraId="48FAD01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4.不能按照相关法律、法规、规范、标准，确保安全、环保投入，不按照国家和自治区绿色矿山建设规范和要求，触及法规、政策风险。</w:t>
      </w:r>
    </w:p>
    <w:p w14:paraId="1FF656B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三）涉及原矿区范围内的地上附着物（水、电、林、草等），由水利、电力、自然资源等部门按相关法律法规规定的标准给予协调解决。矿区涉及有关土地、草场、林地等占用、补偿审批、环境保护以及其他有关手续的，由竞得人及时依法依规办理。</w:t>
      </w:r>
    </w:p>
    <w:p w14:paraId="2DD54A0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（四）通过竞买资格审查的申请人，须在规定之日前</w:t>
      </w:r>
      <w:r>
        <w:rPr>
          <w:rFonts w:hint="eastAsia" w:ascii="方正仿宋_GB2312" w:hAnsi="方正仿宋_GB2312" w:eastAsia="方正仿宋_GB2312" w:cs="方正仿宋_GB2312"/>
          <w:i w:val="0"/>
          <w:iCs w:val="0"/>
          <w:caps w:val="0"/>
          <w:color w:val="000000"/>
          <w:spacing w:val="0"/>
          <w:sz w:val="32"/>
          <w:szCs w:val="32"/>
          <w:highlight w:val="none"/>
          <w:lang w:val="en-US" w:eastAsia="zh-CN"/>
        </w:rPr>
        <w:t>交纳</w:t>
      </w:r>
      <w:r>
        <w:rPr>
          <w:rFonts w:hint="eastAsia" w:ascii="方正仿宋_GB2312" w:hAnsi="方正仿宋_GB2312" w:eastAsia="方正仿宋_GB2312" w:cs="方正仿宋_GB2312"/>
          <w:i w:val="0"/>
          <w:iCs w:val="0"/>
          <w:caps w:val="0"/>
          <w:color w:val="000000"/>
          <w:spacing w:val="0"/>
          <w:sz w:val="32"/>
          <w:szCs w:val="32"/>
          <w:highlight w:val="none"/>
        </w:rPr>
        <w:t>竞买保证金，未竞得人</w:t>
      </w:r>
      <w:r>
        <w:rPr>
          <w:rFonts w:hint="eastAsia" w:ascii="方正仿宋_GB2312" w:hAnsi="方正仿宋_GB2312" w:eastAsia="方正仿宋_GB2312" w:cs="方正仿宋_GB2312"/>
          <w:i w:val="0"/>
          <w:iCs w:val="0"/>
          <w:caps w:val="0"/>
          <w:color w:val="000000"/>
          <w:spacing w:val="0"/>
          <w:sz w:val="32"/>
          <w:szCs w:val="32"/>
          <w:highlight w:val="none"/>
          <w:lang w:val="en-US" w:eastAsia="zh-CN"/>
        </w:rPr>
        <w:t>交纳</w:t>
      </w:r>
      <w:r>
        <w:rPr>
          <w:rFonts w:hint="eastAsia" w:ascii="方正仿宋_GB2312" w:hAnsi="方正仿宋_GB2312" w:eastAsia="方正仿宋_GB2312" w:cs="方正仿宋_GB2312"/>
          <w:i w:val="0"/>
          <w:iCs w:val="0"/>
          <w:caps w:val="0"/>
          <w:color w:val="000000"/>
          <w:spacing w:val="0"/>
          <w:sz w:val="32"/>
          <w:szCs w:val="32"/>
          <w:highlight w:val="none"/>
        </w:rPr>
        <w:t>的保证金在挂牌结束后5个工作日内不计利息全部退还。竞得人弃权或违约的，成交结果废止。</w:t>
      </w:r>
    </w:p>
    <w:p w14:paraId="1BF2C777">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（五）</w:t>
      </w:r>
      <w:r>
        <w:rPr>
          <w:rFonts w:hint="eastAsia" w:ascii="方正仿宋_GB2312" w:hAnsi="方正仿宋_GB2312" w:eastAsia="方正仿宋_GB2312" w:cs="方正仿宋_GB2312"/>
          <w:kern w:val="0"/>
          <w:sz w:val="32"/>
          <w:szCs w:val="32"/>
          <w:highlight w:val="none"/>
          <w:shd w:val="clear" w:color="auto" w:fill="FFFFFF"/>
          <w:lang w:val="en-US" w:eastAsia="zh-CN" w:bidi="ar"/>
        </w:rPr>
        <w:t>有下列情形之一的，竞得结果无效，将其列入失信联合惩戒名单并承担相当于竞买保证金的违约金，造成经济损失的还承担赔偿责任，出让方有权不再签订合同或解除合同：</w:t>
      </w:r>
    </w:p>
    <w:p w14:paraId="10673FC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1.竞得人拒绝签订《探矿权成交确认书》的；</w:t>
      </w:r>
    </w:p>
    <w:p w14:paraId="5029A3E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2.竞得人未按《探矿权成交确认书》约定的期限与出让人签订《探矿权出让合同》，或者拒绝签订的；</w:t>
      </w:r>
    </w:p>
    <w:p w14:paraId="0B7C3C5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3.竞得人提供虚假文件、资料或者隐瞒事实的；</w:t>
      </w:r>
    </w:p>
    <w:p w14:paraId="4064C88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4.采取行贿或其他不正当手段竞得的；</w:t>
      </w:r>
    </w:p>
    <w:p w14:paraId="3E97929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5.法律法规规定的其他情形。</w:t>
      </w:r>
    </w:p>
    <w:p w14:paraId="55EAA52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（六）竞买人应自觉遵守挂牌出让的有关规定，违反竞买规则和破坏竞买活动者，取消竞买资格，并承担相应的法律责任。</w:t>
      </w:r>
    </w:p>
    <w:p w14:paraId="623588F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（七）竞得人取得成交确认书后，根据</w:t>
      </w:r>
      <w:r>
        <w:rPr>
          <w:rFonts w:hint="eastAsia" w:ascii="方正仿宋_GB2312" w:hAnsi="方正仿宋_GB2312" w:eastAsia="方正仿宋_GB2312" w:cs="方正仿宋_GB2312"/>
          <w:i w:val="0"/>
          <w:iCs w:val="0"/>
          <w:caps w:val="0"/>
          <w:color w:val="000000"/>
          <w:spacing w:val="0"/>
          <w:sz w:val="32"/>
          <w:szCs w:val="32"/>
          <w:highlight w:val="none"/>
          <w:lang w:eastAsia="zh-CN"/>
        </w:rPr>
        <w:t>《</w:t>
      </w:r>
      <w:r>
        <w:rPr>
          <w:rFonts w:hint="eastAsia" w:ascii="方正仿宋_GB2312" w:hAnsi="方正仿宋_GB2312" w:eastAsia="方正仿宋_GB2312" w:cs="方正仿宋_GB2312"/>
          <w:i w:val="0"/>
          <w:iCs w:val="0"/>
          <w:caps w:val="0"/>
          <w:color w:val="000000"/>
          <w:spacing w:val="0"/>
          <w:sz w:val="32"/>
          <w:szCs w:val="32"/>
          <w:highlight w:val="none"/>
          <w:lang w:val="en-US" w:eastAsia="zh-CN"/>
        </w:rPr>
        <w:t>中华人民共和国矿产资源法》</w:t>
      </w:r>
      <w:r>
        <w:rPr>
          <w:rFonts w:hint="eastAsia" w:ascii="方正仿宋_GB2312" w:hAnsi="方正仿宋_GB2312" w:eastAsia="方正仿宋_GB2312" w:cs="方正仿宋_GB2312"/>
          <w:i w:val="0"/>
          <w:iCs w:val="0"/>
          <w:caps w:val="0"/>
          <w:color w:val="000000"/>
          <w:spacing w:val="0"/>
          <w:sz w:val="32"/>
          <w:szCs w:val="32"/>
          <w:highlight w:val="none"/>
        </w:rPr>
        <w:t>规定，与新疆生产建设兵团第十师自然资源和规划局签订《探矿权出让合同》，根据合同约定缴清探矿权出让收益，申请办理手续，领取勘查许可证。</w:t>
      </w:r>
    </w:p>
    <w:p w14:paraId="6EBBF27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w:t>
      </w:r>
      <w:r>
        <w:rPr>
          <w:rFonts w:hint="eastAsia" w:ascii="方正仿宋_GB2312" w:hAnsi="方正仿宋_GB2312" w:eastAsia="方正仿宋_GB2312" w:cs="方正仿宋_GB2312"/>
          <w:i w:val="0"/>
          <w:iCs w:val="0"/>
          <w:caps w:val="0"/>
          <w:color w:val="000000"/>
          <w:spacing w:val="0"/>
          <w:sz w:val="32"/>
          <w:szCs w:val="32"/>
          <w:highlight w:val="none"/>
          <w:lang w:val="en-US" w:eastAsia="zh-CN"/>
        </w:rPr>
        <w:t>八</w:t>
      </w:r>
      <w:r>
        <w:rPr>
          <w:rFonts w:hint="eastAsia" w:ascii="方正仿宋_GB2312" w:hAnsi="方正仿宋_GB2312" w:eastAsia="方正仿宋_GB2312" w:cs="方正仿宋_GB2312"/>
          <w:i w:val="0"/>
          <w:iCs w:val="0"/>
          <w:caps w:val="0"/>
          <w:color w:val="000000"/>
          <w:spacing w:val="0"/>
          <w:sz w:val="32"/>
          <w:szCs w:val="32"/>
          <w:highlight w:val="none"/>
        </w:rPr>
        <w:t>）外商投资的,应符合外商投资产业指导目录有关规定。</w:t>
      </w:r>
    </w:p>
    <w:p w14:paraId="1649C31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黑体" w:hAnsi="黑体" w:eastAsia="黑体" w:cs="黑体"/>
          <w:b w:val="0"/>
          <w:bCs w:val="0"/>
          <w:i w:val="0"/>
          <w:iCs w:val="0"/>
          <w:caps w:val="0"/>
          <w:color w:val="000000"/>
          <w:spacing w:val="0"/>
          <w:sz w:val="32"/>
          <w:szCs w:val="32"/>
          <w:highlight w:val="none"/>
          <w:shd w:val="clear" w:fill="FFFFFF"/>
        </w:rPr>
        <w:t>八、对交易探矿权异议的处理方式</w:t>
      </w:r>
    </w:p>
    <w:p w14:paraId="3B095A8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在《探矿权出让合同》签订前，对交易过程中产生的异议，由矿业权交易机构予以澄清。在《探矿权出让合同》签订后产生的争议，按合同约定执行。</w:t>
      </w:r>
    </w:p>
    <w:p w14:paraId="77E0F60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黑体" w:hAnsi="黑体" w:eastAsia="黑体" w:cs="黑体"/>
          <w:b w:val="0"/>
          <w:bCs w:val="0"/>
          <w:i w:val="0"/>
          <w:iCs w:val="0"/>
          <w:caps w:val="0"/>
          <w:color w:val="000000"/>
          <w:spacing w:val="0"/>
          <w:sz w:val="32"/>
          <w:szCs w:val="32"/>
          <w:highlight w:val="none"/>
          <w:shd w:val="clear" w:fill="FFFFFF"/>
        </w:rPr>
        <w:t>九、失信联合惩戒提示</w:t>
      </w:r>
    </w:p>
    <w:p w14:paraId="03343CB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1.竞买人应遵循“公开公平公正、诚实信用”的原则参与本次竞买</w:t>
      </w:r>
      <w:r>
        <w:rPr>
          <w:rFonts w:hint="eastAsia" w:ascii="方正仿宋_GB2312" w:hAnsi="方正仿宋_GB2312" w:eastAsia="方正仿宋_GB2312" w:cs="方正仿宋_GB2312"/>
          <w:i w:val="0"/>
          <w:iCs w:val="0"/>
          <w:caps w:val="0"/>
          <w:color w:val="000000"/>
          <w:spacing w:val="0"/>
          <w:sz w:val="32"/>
          <w:szCs w:val="32"/>
          <w:highlight w:val="none"/>
          <w:lang w:eastAsia="zh-CN"/>
        </w:rPr>
        <w:t>，</w:t>
      </w:r>
      <w:r>
        <w:rPr>
          <w:rFonts w:hint="eastAsia" w:ascii="方正仿宋_GB2312" w:hAnsi="方正仿宋_GB2312" w:eastAsia="方正仿宋_GB2312" w:cs="方正仿宋_GB2312"/>
          <w:i w:val="0"/>
          <w:iCs w:val="0"/>
          <w:caps w:val="0"/>
          <w:color w:val="000000"/>
          <w:spacing w:val="0"/>
          <w:sz w:val="32"/>
          <w:szCs w:val="32"/>
          <w:highlight w:val="none"/>
        </w:rPr>
        <w:t>对所提交的文件和其他资料的真实性、合法性负责。对违反公共资源交易法律法规，违背诚实信用原则的竞买人，将按照《印发〈关于对公共资源领域严重失信主体开展联合惩戒备忘录〉的通知》（发改规〔2018〕457号）的规定，对相关失信企业和失信个人实施联合惩戒并按照公告约定承担相应的违约责任。</w:t>
      </w:r>
    </w:p>
    <w:p w14:paraId="1DB93F0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2.有下列情形之一的，竞得结果无效，将其列入失信联合惩戒名单并承担相当于保证金的违约金，造成经济损失的还应承担赔偿责任。出让人有权不再签订合同或解除合同：</w:t>
      </w:r>
    </w:p>
    <w:p w14:paraId="24432AE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（1）竞得人拒绝签订《探矿权成交确认书》及不能如期按规（约）定</w:t>
      </w:r>
      <w:r>
        <w:rPr>
          <w:rFonts w:hint="eastAsia" w:ascii="方正仿宋_GB2312" w:hAnsi="方正仿宋_GB2312" w:eastAsia="方正仿宋_GB2312" w:cs="方正仿宋_GB2312"/>
          <w:i w:val="0"/>
          <w:iCs w:val="0"/>
          <w:caps w:val="0"/>
          <w:color w:val="000000"/>
          <w:spacing w:val="0"/>
          <w:sz w:val="32"/>
          <w:szCs w:val="32"/>
          <w:highlight w:val="none"/>
          <w:lang w:val="en-US" w:eastAsia="zh-CN"/>
        </w:rPr>
        <w:t>交纳</w:t>
      </w:r>
      <w:r>
        <w:rPr>
          <w:rFonts w:hint="eastAsia" w:ascii="方正仿宋_GB2312" w:hAnsi="方正仿宋_GB2312" w:eastAsia="方正仿宋_GB2312" w:cs="方正仿宋_GB2312"/>
          <w:i w:val="0"/>
          <w:iCs w:val="0"/>
          <w:caps w:val="0"/>
          <w:color w:val="000000"/>
          <w:spacing w:val="0"/>
          <w:sz w:val="32"/>
          <w:szCs w:val="32"/>
          <w:highlight w:val="none"/>
        </w:rPr>
        <w:t>交易服务费的；</w:t>
      </w:r>
    </w:p>
    <w:p w14:paraId="6445C40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（2）在交易结果公示无异议后，竞得人因自身原因未在规（约）定时间内与出让人签订《探矿权出让合同》的，或者拒绝签订的，或签订合同后，未按照合同约定缴纳探矿权出让收益的；</w:t>
      </w:r>
    </w:p>
    <w:p w14:paraId="2E6EA13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（3）竞得人提供虚假文件、资料或者隐瞒事实的；</w:t>
      </w:r>
    </w:p>
    <w:p w14:paraId="3EC1792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（4）采取行贿或其他不正当手段竞得的；</w:t>
      </w:r>
    </w:p>
    <w:p w14:paraId="7422AE0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（5）法律法规规定的其他情形。</w:t>
      </w:r>
    </w:p>
    <w:p w14:paraId="44E8157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textAlignment w:val="auto"/>
        <w:rPr>
          <w:rFonts w:hint="eastAsia" w:ascii="黑体" w:hAnsi="黑体" w:eastAsia="黑体" w:cs="黑体"/>
          <w:b w:val="0"/>
          <w:bCs w:val="0"/>
          <w:i w:val="0"/>
          <w:iCs w:val="0"/>
          <w:caps w:val="0"/>
          <w:color w:val="000000"/>
          <w:spacing w:val="0"/>
          <w:sz w:val="32"/>
          <w:szCs w:val="32"/>
          <w:highlight w:val="none"/>
          <w:shd w:val="clear" w:fill="FFFFFF"/>
        </w:rPr>
      </w:pPr>
      <w:r>
        <w:rPr>
          <w:rFonts w:hint="eastAsia" w:ascii="黑体" w:hAnsi="黑体" w:eastAsia="黑体" w:cs="黑体"/>
          <w:b w:val="0"/>
          <w:bCs w:val="0"/>
          <w:i w:val="0"/>
          <w:iCs w:val="0"/>
          <w:caps w:val="0"/>
          <w:color w:val="000000"/>
          <w:spacing w:val="0"/>
          <w:sz w:val="32"/>
          <w:szCs w:val="32"/>
          <w:highlight w:val="none"/>
          <w:shd w:val="clear" w:fill="FFFFFF"/>
        </w:rPr>
        <w:t>十、其他事项</w:t>
      </w:r>
    </w:p>
    <w:p w14:paraId="081066C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（一）公示期间无异议的，竞得人在规（约）定时间内应与出让人签订《探矿权出让合同》，</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按照《探矿权出让合同》约定缴纳探矿权出让收益后，依据</w:t>
      </w:r>
      <w:r>
        <w:rPr>
          <w:rFonts w:hint="eastAsia" w:ascii="方正仿宋_GB2312" w:hAnsi="方正仿宋_GB2312" w:eastAsia="方正仿宋_GB2312" w:cs="方正仿宋_GB2312"/>
          <w:i w:val="0"/>
          <w:iCs w:val="0"/>
          <w:caps w:val="0"/>
          <w:color w:val="000000"/>
          <w:spacing w:val="0"/>
          <w:sz w:val="32"/>
          <w:szCs w:val="32"/>
          <w:highlight w:val="none"/>
        </w:rPr>
        <w:t>规定办理矿业权手续。</w:t>
      </w:r>
    </w:p>
    <w:p w14:paraId="2A3E3D1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（二）</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本次出让公告相关信息同时在公告中相关网站发布。出让信息如有变更将发布变更公告，请意向竞买人密切关注。</w:t>
      </w:r>
    </w:p>
    <w:p w14:paraId="1D819E4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（三）本次出让公告其他未尽事宜，由矿业权交易机构负责解释和通知。</w:t>
      </w:r>
    </w:p>
    <w:p w14:paraId="209D01F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（四）本次探矿权挂牌出让事宜可浏览：</w:t>
      </w:r>
    </w:p>
    <w:p w14:paraId="40BA35C5">
      <w:pPr>
        <w:keepNext w:val="0"/>
        <w:keepLines w:val="0"/>
        <w:pageBreakBefore w:val="0"/>
        <w:widowControl/>
        <w:kinsoku/>
        <w:wordWrap/>
        <w:overflowPunct/>
        <w:topLinePunct w:val="0"/>
        <w:autoSpaceDE/>
        <w:autoSpaceDN/>
        <w:bidi w:val="0"/>
        <w:adjustRightInd/>
        <w:snapToGrid/>
        <w:spacing w:line="572" w:lineRule="exact"/>
        <w:ind w:firstLine="640" w:firstLineChars="200"/>
        <w:jc w:val="left"/>
        <w:textAlignment w:val="auto"/>
        <w:rPr>
          <w:rFonts w:hint="default" w:ascii="方正仿宋_GB2312" w:hAnsi="方正仿宋_GB2312" w:eastAsia="方正仿宋_GB2312" w:cs="方正仿宋_GB2312"/>
          <w:kern w:val="0"/>
          <w:sz w:val="32"/>
          <w:szCs w:val="32"/>
          <w:highlight w:val="none"/>
          <w:shd w:val="clear" w:color="auto" w:fill="FFFFFF"/>
          <w:lang w:val="en-US" w:eastAsia="zh-CN" w:bidi="ar"/>
        </w:rPr>
      </w:pPr>
      <w:r>
        <w:rPr>
          <w:rFonts w:hint="default" w:ascii="方正仿宋_GB2312" w:hAnsi="方正仿宋_GB2312" w:eastAsia="方正仿宋_GB2312" w:cs="方正仿宋_GB2312"/>
          <w:kern w:val="0"/>
          <w:sz w:val="32"/>
          <w:szCs w:val="32"/>
          <w:highlight w:val="none"/>
          <w:shd w:val="clear" w:color="auto" w:fill="FFFFFF"/>
          <w:lang w:val="en-US" w:eastAsia="zh-CN" w:bidi="ar"/>
        </w:rPr>
        <w:t>1.中华人民共和国自然资源部网http://www.mnr.gov.cn/；</w:t>
      </w:r>
    </w:p>
    <w:p w14:paraId="1A2474A3">
      <w:pPr>
        <w:keepNext w:val="0"/>
        <w:keepLines w:val="0"/>
        <w:pageBreakBefore w:val="0"/>
        <w:widowControl/>
        <w:kinsoku/>
        <w:wordWrap/>
        <w:overflowPunct/>
        <w:topLinePunct w:val="0"/>
        <w:autoSpaceDE/>
        <w:autoSpaceDN/>
        <w:bidi w:val="0"/>
        <w:adjustRightInd/>
        <w:snapToGrid/>
        <w:spacing w:line="572" w:lineRule="exact"/>
        <w:ind w:firstLine="640" w:firstLineChars="200"/>
        <w:jc w:val="left"/>
        <w:textAlignment w:val="auto"/>
        <w:rPr>
          <w:rFonts w:hint="default" w:ascii="方正仿宋_GB2312" w:hAnsi="方正仿宋_GB2312" w:eastAsia="方正仿宋_GB2312" w:cs="方正仿宋_GB2312"/>
          <w:kern w:val="0"/>
          <w:sz w:val="32"/>
          <w:szCs w:val="32"/>
          <w:highlight w:val="none"/>
          <w:shd w:val="clear" w:color="auto" w:fill="FFFFFF"/>
          <w:lang w:val="en-US" w:eastAsia="zh-CN" w:bidi="ar"/>
        </w:rPr>
      </w:pPr>
      <w:r>
        <w:rPr>
          <w:rFonts w:hint="default" w:ascii="方正仿宋_GB2312" w:hAnsi="方正仿宋_GB2312" w:eastAsia="方正仿宋_GB2312" w:cs="方正仿宋_GB2312"/>
          <w:kern w:val="0"/>
          <w:sz w:val="32"/>
          <w:szCs w:val="32"/>
          <w:highlight w:val="none"/>
          <w:shd w:val="clear" w:color="auto" w:fill="FFFFFF"/>
          <w:lang w:val="en-US" w:eastAsia="zh-CN" w:bidi="ar"/>
        </w:rPr>
        <w:t>2.新疆生产建设兵团公共资源交易信息网https://ggzy.xjbt.gov.cn；</w:t>
      </w:r>
    </w:p>
    <w:p w14:paraId="731B6254">
      <w:pPr>
        <w:keepNext w:val="0"/>
        <w:keepLines w:val="0"/>
        <w:pageBreakBefore w:val="0"/>
        <w:widowControl/>
        <w:kinsoku/>
        <w:wordWrap/>
        <w:overflowPunct/>
        <w:topLinePunct w:val="0"/>
        <w:autoSpaceDE/>
        <w:autoSpaceDN/>
        <w:bidi w:val="0"/>
        <w:adjustRightInd/>
        <w:snapToGrid/>
        <w:spacing w:line="572" w:lineRule="exact"/>
        <w:ind w:firstLine="640" w:firstLineChars="200"/>
        <w:jc w:val="left"/>
        <w:textAlignment w:val="auto"/>
        <w:rPr>
          <w:rFonts w:hint="default" w:ascii="方正仿宋_GB2312" w:hAnsi="方正仿宋_GB2312" w:eastAsia="方正仿宋_GB2312" w:cs="方正仿宋_GB2312"/>
          <w:kern w:val="0"/>
          <w:sz w:val="32"/>
          <w:szCs w:val="32"/>
          <w:highlight w:val="none"/>
          <w:shd w:val="clear" w:color="auto" w:fill="FFFFFF"/>
          <w:lang w:val="en-US" w:eastAsia="zh-CN" w:bidi="ar"/>
        </w:rPr>
      </w:pPr>
      <w:r>
        <w:rPr>
          <w:rFonts w:hint="default" w:ascii="方正仿宋_GB2312" w:hAnsi="方正仿宋_GB2312" w:eastAsia="方正仿宋_GB2312" w:cs="方正仿宋_GB2312"/>
          <w:kern w:val="0"/>
          <w:sz w:val="32"/>
          <w:szCs w:val="32"/>
          <w:highlight w:val="none"/>
          <w:shd w:val="clear" w:color="auto" w:fill="FFFFFF"/>
          <w:lang w:val="en-US" w:eastAsia="zh-CN" w:bidi="ar"/>
        </w:rPr>
        <w:t>3.第十师北屯市人民政府网http://www.bts.gov.cn;</w:t>
      </w:r>
    </w:p>
    <w:p w14:paraId="519B7434">
      <w:pPr>
        <w:keepNext w:val="0"/>
        <w:keepLines w:val="0"/>
        <w:pageBreakBefore w:val="0"/>
        <w:widowControl/>
        <w:kinsoku/>
        <w:wordWrap/>
        <w:overflowPunct/>
        <w:topLinePunct w:val="0"/>
        <w:autoSpaceDE/>
        <w:autoSpaceDN/>
        <w:bidi w:val="0"/>
        <w:adjustRightInd/>
        <w:snapToGrid/>
        <w:spacing w:line="572" w:lineRule="exact"/>
        <w:ind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default" w:ascii="方正仿宋_GB2312" w:hAnsi="方正仿宋_GB2312" w:eastAsia="方正仿宋_GB2312" w:cs="方正仿宋_GB2312"/>
          <w:kern w:val="0"/>
          <w:sz w:val="32"/>
          <w:szCs w:val="32"/>
          <w:highlight w:val="none"/>
          <w:shd w:val="clear" w:color="auto" w:fill="FFFFFF"/>
          <w:lang w:val="en-US" w:eastAsia="zh-CN" w:bidi="ar"/>
        </w:rPr>
        <w:t>4.</w:t>
      </w:r>
      <w:r>
        <w:rPr>
          <w:rFonts w:hint="eastAsia" w:ascii="仿宋" w:hAnsi="仿宋" w:eastAsia="仿宋" w:cs="仿宋"/>
          <w:i w:val="0"/>
          <w:iCs w:val="0"/>
          <w:caps w:val="0"/>
          <w:color w:val="333333"/>
          <w:spacing w:val="0"/>
          <w:sz w:val="32"/>
          <w:szCs w:val="32"/>
          <w:highlight w:val="none"/>
          <w:shd w:val="clear" w:fill="FFFFFF"/>
        </w:rPr>
        <w:t>新疆矿业网（国源电子交易平台）</w:t>
      </w:r>
      <w:r>
        <w:rPr>
          <w:rFonts w:hint="default" w:ascii="方正仿宋_GB2312" w:hAnsi="方正仿宋_GB2312" w:eastAsia="方正仿宋_GB2312" w:cs="方正仿宋_GB2312"/>
          <w:kern w:val="0"/>
          <w:sz w:val="32"/>
          <w:szCs w:val="32"/>
          <w:highlight w:val="none"/>
          <w:shd w:val="clear" w:color="auto" w:fill="FFFFFF"/>
          <w:lang w:val="en-US" w:eastAsia="zh-CN" w:bidi="ar"/>
        </w:rPr>
        <w:t>http://www.xjgyky.com。</w:t>
      </w:r>
    </w:p>
    <w:p w14:paraId="14FE823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（五）</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监督</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和</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咨询</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电话</w:t>
      </w:r>
    </w:p>
    <w:p w14:paraId="0549A32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监督电话：0906-3905573  罗雪娇 </w:t>
      </w:r>
    </w:p>
    <w:p w14:paraId="72EA38E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咨询电话：0991-4846</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078</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 xml:space="preserve">  </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任</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女士1</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9915053301</w:t>
      </w:r>
    </w:p>
    <w:p w14:paraId="47CFC5F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860"/>
        <w:jc w:val="left"/>
        <w:textAlignment w:val="auto"/>
        <w:rPr>
          <w:rFonts w:hint="eastAsia" w:ascii="PingFang SC" w:hAnsi="PingFang SC" w:eastAsia="PingFang SC" w:cs="PingFang SC"/>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 </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 xml:space="preserve">                      </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苏女士15909055226</w:t>
      </w:r>
    </w:p>
    <w:p w14:paraId="07FEE5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rFonts w:hint="eastAsia" w:ascii="PingFang SC" w:hAnsi="PingFang SC" w:eastAsia="PingFang SC" w:cs="PingFang SC"/>
          <w:i w:val="0"/>
          <w:iCs w:val="0"/>
          <w:caps w:val="0"/>
          <w:color w:val="666666"/>
          <w:spacing w:val="0"/>
          <w:sz w:val="32"/>
          <w:szCs w:val="32"/>
          <w:highlight w:val="none"/>
        </w:rPr>
      </w:pPr>
      <w:r>
        <w:rPr>
          <w:rFonts w:hint="default" w:ascii="Calibri" w:hAnsi="Calibri" w:eastAsia="PingFang SC" w:cs="Calibri"/>
          <w:i w:val="0"/>
          <w:iCs w:val="0"/>
          <w:caps w:val="0"/>
          <w:color w:val="46474B"/>
          <w:spacing w:val="0"/>
          <w:sz w:val="48"/>
          <w:szCs w:val="48"/>
          <w:highlight w:val="none"/>
          <w:shd w:val="clear" w:fill="FFFFFF"/>
        </w:rPr>
        <w:t>  </w:t>
      </w:r>
    </w:p>
    <w:p w14:paraId="737EBF9F">
      <w:pPr>
        <w:keepNext w:val="0"/>
        <w:keepLines w:val="0"/>
        <w:widowControl/>
        <w:suppressLineNumbers w:val="0"/>
        <w:ind w:firstLine="320" w:firstLineChars="100"/>
        <w:jc w:val="left"/>
        <w:rPr>
          <w:color w:val="auto"/>
          <w:highlight w:val="none"/>
        </w:rPr>
      </w:pPr>
      <w:r>
        <w:rPr>
          <w:rFonts w:hint="eastAsia" w:ascii="方正仿宋_GB2312" w:hAnsi="方正仿宋_GB2312" w:eastAsia="方正仿宋_GB2312" w:cs="方正仿宋_GB2312"/>
          <w:color w:val="auto"/>
          <w:kern w:val="0"/>
          <w:sz w:val="32"/>
          <w:szCs w:val="32"/>
          <w:highlight w:val="none"/>
          <w:shd w:val="clear" w:color="auto" w:fill="FFFFFF"/>
          <w:lang w:val="en-US" w:eastAsia="zh-CN" w:bidi="ar"/>
        </w:rPr>
        <w:t>新疆生产建设兵团第十师         新疆国源土地矿产资源</w:t>
      </w:r>
      <w:r>
        <w:rPr>
          <w:rFonts w:ascii="*KSXENKTNID0" w:hAnsi="*KSXENKTNID0" w:eastAsia="*KSXENKTNID0" w:cs="*KSXENKTNID0"/>
          <w:color w:val="auto"/>
          <w:kern w:val="0"/>
          <w:sz w:val="34"/>
          <w:szCs w:val="34"/>
          <w:highlight w:val="none"/>
          <w:lang w:val="en-US" w:eastAsia="zh-CN" w:bidi="ar"/>
        </w:rPr>
        <w:t xml:space="preserve"> </w:t>
      </w:r>
    </w:p>
    <w:p w14:paraId="625BD0CD">
      <w:pPr>
        <w:keepNext w:val="0"/>
        <w:keepLines w:val="0"/>
        <w:widowControl/>
        <w:suppressLineNumbers w:val="0"/>
        <w:ind w:firstLine="640" w:firstLineChars="200"/>
        <w:jc w:val="left"/>
        <w:rPr>
          <w:rFonts w:hint="eastAsia" w:ascii="方正仿宋_GB2312" w:hAnsi="方正仿宋_GB2312" w:eastAsia="方正仿宋_GB2312" w:cs="方正仿宋_GB2312"/>
          <w:kern w:val="0"/>
          <w:sz w:val="32"/>
          <w:szCs w:val="32"/>
          <w:highlight w:val="none"/>
          <w:shd w:val="clear" w:color="auto" w:fill="FFFFFF"/>
          <w:lang w:val="en-US" w:eastAsia="zh-CN" w:bidi="ar"/>
        </w:rPr>
      </w:pPr>
      <w:r>
        <w:rPr>
          <w:rFonts w:hint="default" w:ascii="方正仿宋_GB2312" w:hAnsi="方正仿宋_GB2312" w:eastAsia="方正仿宋_GB2312" w:cs="方正仿宋_GB2312"/>
          <w:color w:val="auto"/>
          <w:kern w:val="0"/>
          <w:sz w:val="32"/>
          <w:szCs w:val="32"/>
          <w:highlight w:val="none"/>
          <w:shd w:val="clear" w:color="auto" w:fill="FFFFFF"/>
          <w:lang w:val="en-US" w:eastAsia="zh-CN" w:bidi="ar"/>
        </w:rPr>
        <w:t>自然资源和规划局</w:t>
      </w:r>
      <w:r>
        <w:rPr>
          <w:rFonts w:hint="eastAsia" w:ascii="方正仿宋_GB2312" w:hAnsi="方正仿宋_GB2312" w:eastAsia="方正仿宋_GB2312" w:cs="方正仿宋_GB2312"/>
          <w:color w:val="auto"/>
          <w:kern w:val="0"/>
          <w:sz w:val="32"/>
          <w:szCs w:val="32"/>
          <w:highlight w:val="none"/>
          <w:shd w:val="clear" w:color="auto" w:fill="FFFFFF"/>
          <w:lang w:val="en-US" w:eastAsia="zh-CN" w:bidi="ar"/>
        </w:rPr>
        <w:t xml:space="preserve">                   </w:t>
      </w:r>
      <w:r>
        <w:rPr>
          <w:rFonts w:hint="default" w:ascii="方正仿宋_GB2312" w:hAnsi="方正仿宋_GB2312" w:eastAsia="方正仿宋_GB2312" w:cs="方正仿宋_GB2312"/>
          <w:color w:val="auto"/>
          <w:kern w:val="0"/>
          <w:sz w:val="32"/>
          <w:szCs w:val="32"/>
          <w:highlight w:val="none"/>
          <w:shd w:val="clear" w:color="auto" w:fill="FFFFFF"/>
          <w:lang w:val="en-US" w:eastAsia="zh-CN" w:bidi="ar"/>
        </w:rPr>
        <w:t>交易中心</w:t>
      </w:r>
      <w:r>
        <w:rPr>
          <w:rFonts w:hint="eastAsia" w:ascii="方正仿宋_GB2312" w:hAnsi="方正仿宋_GB2312" w:eastAsia="方正仿宋_GB2312" w:cs="方正仿宋_GB2312"/>
          <w:color w:val="auto"/>
          <w:kern w:val="0"/>
          <w:sz w:val="32"/>
          <w:szCs w:val="32"/>
          <w:highlight w:val="none"/>
          <w:shd w:val="clear" w:color="auto" w:fill="FFFFFF"/>
          <w:lang w:val="en-US" w:eastAsia="zh-CN" w:bidi="ar"/>
        </w:rPr>
        <w:t xml:space="preserve">  </w:t>
      </w:r>
      <w:r>
        <w:rPr>
          <w:rFonts w:hint="eastAsia" w:ascii="方正仿宋_GB2312" w:hAnsi="方正仿宋_GB2312" w:eastAsia="方正仿宋_GB2312" w:cs="方正仿宋_GB2312"/>
          <w:kern w:val="0"/>
          <w:sz w:val="32"/>
          <w:szCs w:val="32"/>
          <w:highlight w:val="none"/>
          <w:shd w:val="clear" w:color="auto" w:fill="FFFFFF"/>
          <w:lang w:val="en-US" w:eastAsia="zh-CN" w:bidi="ar"/>
        </w:rPr>
        <w:t xml:space="preserve">          </w:t>
      </w:r>
    </w:p>
    <w:p w14:paraId="34AC6FB1">
      <w:pPr>
        <w:ind w:firstLine="3520" w:firstLineChars="1100"/>
        <w:rPr>
          <w:highlight w:val="none"/>
        </w:rPr>
      </w:pPr>
      <w:r>
        <w:rPr>
          <w:rFonts w:hint="eastAsia" w:ascii="方正仿宋_GB2312" w:hAnsi="方正仿宋_GB2312" w:eastAsia="方正仿宋_GB2312" w:cs="方正仿宋_GB2312"/>
          <w:kern w:val="0"/>
          <w:sz w:val="32"/>
          <w:szCs w:val="32"/>
          <w:highlight w:val="none"/>
          <w:shd w:val="clear" w:color="auto" w:fill="FFFFFF"/>
          <w:lang w:val="en-US" w:eastAsia="zh-CN" w:bidi="ar"/>
        </w:rPr>
        <w:t>2025年12月11日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C90B5D5-7937-40E3-8C3A-91F39642D0F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E13FBDF-95A9-4E63-8FB8-9DD277BC6D9B}"/>
  </w:font>
  <w:font w:name="方正小标宋简体">
    <w:panose1 w:val="02000000000000000000"/>
    <w:charset w:val="86"/>
    <w:family w:val="auto"/>
    <w:pitch w:val="default"/>
    <w:sig w:usb0="00000001" w:usb1="08000000" w:usb2="00000000" w:usb3="00000000" w:csb0="00040000" w:csb1="00000000"/>
    <w:embedRegular r:id="rId3" w:fontKey="{BDC4DE3D-7ED1-434C-965B-444728217D37}"/>
  </w:font>
  <w:font w:name="PingFang SC">
    <w:altName w:val="宋体"/>
    <w:panose1 w:val="020B0400000000000000"/>
    <w:charset w:val="86"/>
    <w:family w:val="auto"/>
    <w:pitch w:val="default"/>
    <w:sig w:usb0="00000000" w:usb1="00000000" w:usb2="00000017" w:usb3="00000000" w:csb0="00040001" w:csb1="00000000"/>
    <w:embedRegular r:id="rId4" w:fontKey="{42EBC413-7E23-44B1-8AFC-618BCD14509E}"/>
  </w:font>
  <w:font w:name="方正仿宋_GB2312">
    <w:panose1 w:val="02000000000000000000"/>
    <w:charset w:val="86"/>
    <w:family w:val="auto"/>
    <w:pitch w:val="default"/>
    <w:sig w:usb0="A00002BF" w:usb1="184F6CFA" w:usb2="00000012" w:usb3="00000000" w:csb0="00040001" w:csb1="00000000"/>
    <w:embedRegular r:id="rId5" w:fontKey="{7FA50AC3-EE47-4F72-ADA7-E5AA19451BFA}"/>
  </w:font>
  <w:font w:name="Times New Roman Regular">
    <w:altName w:val="Times New Roman"/>
    <w:panose1 w:val="02020503050405090304"/>
    <w:charset w:val="00"/>
    <w:family w:val="auto"/>
    <w:pitch w:val="default"/>
    <w:sig w:usb0="00000000" w:usb1="00000000" w:usb2="00000001" w:usb3="00000000" w:csb0="400001BF" w:csb1="DFF70000"/>
    <w:embedRegular r:id="rId6" w:fontKey="{6EC8ABF0-913C-4D35-A324-945999DDA05A}"/>
  </w:font>
  <w:font w:name="仿宋">
    <w:panose1 w:val="02010609060101010101"/>
    <w:charset w:val="86"/>
    <w:family w:val="auto"/>
    <w:pitch w:val="default"/>
    <w:sig w:usb0="800002BF" w:usb1="38CF7CFA" w:usb2="00000016" w:usb3="00000000" w:csb0="00040001" w:csb1="00000000"/>
    <w:embedRegular r:id="rId7" w:fontKey="{519CD27B-1C16-4079-808A-EF300980D133}"/>
  </w:font>
  <w:font w:name="*KSXENKTNID0">
    <w:altName w:val="Segoe Print"/>
    <w:panose1 w:val="00000000000000000000"/>
    <w:charset w:val="00"/>
    <w:family w:val="auto"/>
    <w:pitch w:val="default"/>
    <w:sig w:usb0="00000000" w:usb1="00000000" w:usb2="00000000" w:usb3="00000000" w:csb0="00000000" w:csb1="00000000"/>
    <w:embedRegular r:id="rId8" w:fontKey="{E128026E-3B94-477A-A842-A8669B8452D7}"/>
  </w:font>
  <w:font w:name="苹方-简">
    <w:altName w:val="宋体"/>
    <w:panose1 w:val="020B0400000000000000"/>
    <w:charset w:val="86"/>
    <w:family w:val="auto"/>
    <w:pitch w:val="default"/>
    <w:sig w:usb0="00000000" w:usb1="00000000" w:usb2="00000017"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CFF4775"/>
    <w:rsid w:val="11D30BC8"/>
    <w:rsid w:val="1C5A3475"/>
    <w:rsid w:val="26A57B72"/>
    <w:rsid w:val="289D109B"/>
    <w:rsid w:val="2B9C2CB6"/>
    <w:rsid w:val="2D784183"/>
    <w:rsid w:val="304C1E1A"/>
    <w:rsid w:val="37004BE6"/>
    <w:rsid w:val="3F31AD0C"/>
    <w:rsid w:val="3FA76230"/>
    <w:rsid w:val="403D352D"/>
    <w:rsid w:val="4DFF7078"/>
    <w:rsid w:val="51B53F32"/>
    <w:rsid w:val="57720FDC"/>
    <w:rsid w:val="5952570D"/>
    <w:rsid w:val="5AB265D5"/>
    <w:rsid w:val="5FB466C2"/>
    <w:rsid w:val="79FF0A40"/>
    <w:rsid w:val="7BDEA980"/>
    <w:rsid w:val="7EDD4CFF"/>
    <w:rsid w:val="7FEF2BCA"/>
    <w:rsid w:val="AFEC42FB"/>
    <w:rsid w:val="BB7E9F69"/>
    <w:rsid w:val="CDDA9F90"/>
    <w:rsid w:val="CF7CEFE4"/>
    <w:rsid w:val="D7FD5A7D"/>
    <w:rsid w:val="DC8FCA0E"/>
    <w:rsid w:val="F7497FFA"/>
    <w:rsid w:val="F7F35E6B"/>
    <w:rsid w:val="FCFF47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 w:type="paragraph" w:customStyle="1" w:styleId="7">
    <w:name w:val="Table Text"/>
    <w:basedOn w:val="1"/>
    <w:semiHidden/>
    <w:qFormat/>
    <w:uiPriority w:val="0"/>
    <w:rPr>
      <w:rFonts w:ascii="宋体" w:hAnsi="宋体" w:eastAsia="宋体" w:cs="宋体"/>
      <w:sz w:val="35"/>
      <w:szCs w:val="35"/>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4826</Words>
  <Characters>10666</Characters>
  <Lines>0</Lines>
  <Paragraphs>0</Paragraphs>
  <TotalTime>5</TotalTime>
  <ScaleCrop>false</ScaleCrop>
  <LinksUpToDate>false</LinksUpToDate>
  <CharactersWithSpaces>10758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2025-11-23T03:13:00Z</dcterms:created>
  <dc:creator>另 諵</dc:creator>
  <cp:lastModifiedBy>花掌门</cp:lastModifiedBy>
  <dcterms:modified xsi:type="dcterms:W3CDTF">2025-12-12T09:30:21Z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1EF2808DBE384901ACB1D1D8C4D79072_13</vt:lpwstr>
  </property>
  <property fmtid="{D5CDD505-2E9C-101B-9397-08002B2CF9AE}" pid="4" name="KSOTemplateDocerSaveRecord">
    <vt:lpwstr>eyJoZGlkIjoiY2M0N2E2ODUzODI5M2VkYjI2ZWI1ZjczOTg2M2M0MTkiLCJ1c2VySWQiOiIxMTIzNTM3MjAxIn0=</vt:lpwstr>
  </property>
</Properties>
</file>