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w w:val="90"/>
          <w:sz w:val="44"/>
          <w:szCs w:val="44"/>
          <w:highlight w:val="none"/>
        </w:rPr>
      </w:pPr>
      <w:r>
        <w:rPr>
          <w:rFonts w:hint="default" w:ascii="Times New Roman" w:hAnsi="Times New Roman" w:eastAsia="方正小标宋简体" w:cs="Times New Roman"/>
          <w:w w:val="90"/>
          <w:sz w:val="44"/>
          <w:szCs w:val="44"/>
          <w:highlight w:val="none"/>
        </w:rPr>
        <w:t>第十师北屯市井电双控</w:t>
      </w:r>
      <w:r>
        <w:rPr>
          <w:rFonts w:hint="default" w:ascii="Times New Roman" w:hAnsi="Times New Roman" w:eastAsia="方正小标宋简体" w:cs="Times New Roman"/>
          <w:w w:val="90"/>
          <w:sz w:val="44"/>
          <w:szCs w:val="44"/>
          <w:highlight w:val="none"/>
          <w:lang w:val="en-US" w:eastAsia="zh-CN"/>
        </w:rPr>
        <w:t>机电井运行</w:t>
      </w:r>
      <w:r>
        <w:rPr>
          <w:rFonts w:hint="default" w:ascii="Times New Roman" w:hAnsi="Times New Roman" w:eastAsia="方正小标宋简体" w:cs="Times New Roman"/>
          <w:w w:val="90"/>
          <w:sz w:val="44"/>
          <w:szCs w:val="44"/>
          <w:highlight w:val="none"/>
        </w:rPr>
        <w:t>管理办法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w w:val="90"/>
          <w:sz w:val="32"/>
          <w:szCs w:val="32"/>
          <w:highlight w:val="none"/>
          <w:lang w:eastAsia="zh-CN"/>
        </w:rPr>
      </w:pPr>
      <w:r>
        <w:rPr>
          <w:rFonts w:hint="eastAsia" w:ascii="楷体_GB2312" w:hAnsi="楷体_GB2312" w:eastAsia="楷体_GB2312" w:cs="楷体_GB2312"/>
          <w:w w:val="90"/>
          <w:sz w:val="32"/>
          <w:szCs w:val="32"/>
          <w:highlight w:val="none"/>
          <w:lang w:eastAsia="zh-CN"/>
        </w:rPr>
        <w:t>（征求意见稿</w:t>
      </w:r>
      <w:bookmarkStart w:id="0" w:name="_GoBack"/>
      <w:bookmarkEnd w:id="0"/>
      <w:r>
        <w:rPr>
          <w:rFonts w:hint="eastAsia" w:ascii="楷体_GB2312" w:hAnsi="楷体_GB2312" w:eastAsia="楷体_GB2312" w:cs="楷体_GB2312"/>
          <w:w w:val="9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第一章  总则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 xml:space="preserve">第一条  </w:t>
      </w:r>
      <w:r>
        <w:rPr>
          <w:rFonts w:hint="default" w:ascii="Times New Roman" w:hAnsi="Times New Roman" w:eastAsia="仿宋_GB2312" w:cs="Times New Roman"/>
          <w:sz w:val="32"/>
          <w:szCs w:val="32"/>
          <w:highlight w:val="none"/>
          <w:lang w:val="en-US" w:eastAsia="zh-CN"/>
        </w:rPr>
        <w:t>为加强地下水资源开发利用的规范管理，强化水资源刚性约束机制，坚决遏制乱采滥采地下水资源的违法行为，依据《中华人民共和国水法》《取水许可和水资源费征收管理条例》《国务院关于实行最严格水资源管理制度的意见》（国发〔2012〕3号）《地下水管理条例》《新疆维吾尔自治区地下水资源管理条例》《</w:t>
      </w:r>
      <w:r>
        <w:rPr>
          <w:rFonts w:hint="default" w:ascii="Times New Roman" w:hAnsi="Times New Roman" w:eastAsia="仿宋_GB2312" w:cs="Times New Roman"/>
          <w:color w:val="000000"/>
          <w:kern w:val="0"/>
          <w:sz w:val="31"/>
          <w:szCs w:val="31"/>
          <w:highlight w:val="none"/>
          <w:lang w:val="en-US" w:eastAsia="zh-CN" w:bidi="ar"/>
        </w:rPr>
        <w:t>水资源税改革试点实施办法</w:t>
      </w:r>
      <w:r>
        <w:rPr>
          <w:rFonts w:hint="default" w:ascii="Times New Roman" w:hAnsi="Times New Roman" w:eastAsia="仿宋_GB2312" w:cs="Times New Roman"/>
          <w:sz w:val="32"/>
          <w:szCs w:val="32"/>
          <w:highlight w:val="none"/>
          <w:lang w:val="en-US" w:eastAsia="zh-CN"/>
        </w:rPr>
        <w:t>》等法律、法规，结合师市实际情况，制定本办法。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第二条</w:t>
      </w:r>
      <w:r>
        <w:rPr>
          <w:rFonts w:hint="default" w:ascii="Times New Roman" w:hAnsi="Times New Roman" w:eastAsia="仿宋_GB2312" w:cs="Times New Roman"/>
          <w:sz w:val="32"/>
          <w:szCs w:val="32"/>
          <w:highlight w:val="none"/>
          <w:lang w:val="en-US" w:eastAsia="zh-CN"/>
        </w:rPr>
        <w:t xml:space="preserve">  凡在本师市行政区域内通过机电井长期或临时取用地下水资源的单位或个人，须安装井电双控设施，并严格遵守本管理办法；用于家庭生活和零星散养、圈养畜禽饮用等，年取水量1000立方米以下的机电井，应当在水利主管部门备案，并安装计量设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highlight w:val="yellow"/>
          <w:lang w:val="en-US" w:eastAsia="zh-CN"/>
        </w:rPr>
      </w:pPr>
      <w:r>
        <w:rPr>
          <w:rFonts w:hint="default" w:ascii="Times New Roman" w:hAnsi="Times New Roman" w:eastAsia="仿宋_GB2312" w:cs="Times New Roman"/>
          <w:b/>
          <w:bCs/>
          <w:sz w:val="32"/>
          <w:szCs w:val="32"/>
          <w:highlight w:val="none"/>
          <w:lang w:val="en-US" w:eastAsia="zh-CN"/>
        </w:rPr>
        <w:t xml:space="preserve">第三条  </w:t>
      </w:r>
      <w:r>
        <w:rPr>
          <w:rFonts w:hint="default" w:ascii="Times New Roman" w:hAnsi="Times New Roman" w:eastAsia="仿宋_GB2312" w:cs="Times New Roman"/>
          <w:sz w:val="32"/>
          <w:szCs w:val="32"/>
          <w:highlight w:val="none"/>
          <w:lang w:val="en-US" w:eastAsia="zh-CN"/>
        </w:rPr>
        <w:t>实施井电双控取用地下水时，应遵循依法管理、保护生态、总量控制、定额管理、以水定电、以电控水、以水定需以及综合施策的原则。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第四条</w:t>
      </w:r>
      <w:r>
        <w:rPr>
          <w:rFonts w:hint="default" w:ascii="Times New Roman" w:hAnsi="Times New Roman" w:eastAsia="仿宋_GB2312" w:cs="Times New Roman"/>
          <w:sz w:val="32"/>
          <w:szCs w:val="32"/>
          <w:highlight w:val="none"/>
          <w:lang w:val="en-US" w:eastAsia="zh-CN"/>
        </w:rPr>
        <w:t xml:space="preserve">  井电双控设备涵盖机电井计量设施、控制柜及运行管理平台。计量设施系安装于机电井井口，用于水量实时计量与数据上传的设备；控制柜为控制取水及供电操作的装置；运行管理平台则属综合性软件平台，负责对上传数据进行存储、分析及远程监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第二章  工作职责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w:t>
      </w:r>
      <w:r>
        <w:rPr>
          <w:rFonts w:hint="eastAsia"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师市水行政主管部门负责审批、监督与指导师市井电双控实施计划，统筹协调师市范围内的井电双控工作，并对各项数据进行系统分析与汇总。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eastAsia="仿宋_GB2312" w:cs="Times New Roman"/>
          <w:b/>
          <w:bCs/>
          <w:sz w:val="32"/>
          <w:szCs w:val="32"/>
          <w:highlight w:val="none"/>
          <w:lang w:val="en-US" w:eastAsia="zh-CN"/>
        </w:rPr>
        <w:t>六</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 w:cs="Times New Roman"/>
          <w:sz w:val="32"/>
          <w:szCs w:val="32"/>
          <w:highlight w:val="none"/>
        </w:rPr>
        <w:t>各团场（镇）</w:t>
      </w:r>
      <w:r>
        <w:rPr>
          <w:rFonts w:hint="eastAsia" w:eastAsia="仿宋" w:cs="Times New Roman"/>
          <w:sz w:val="32"/>
          <w:szCs w:val="32"/>
          <w:highlight w:val="none"/>
          <w:lang w:eastAsia="zh-CN"/>
        </w:rPr>
        <w:t>，水利工程管理服务中心及</w:t>
      </w:r>
      <w:r>
        <w:rPr>
          <w:rFonts w:hint="default" w:ascii="Times New Roman" w:hAnsi="Times New Roman" w:eastAsia="仿宋" w:cs="Times New Roman"/>
          <w:sz w:val="32"/>
          <w:szCs w:val="32"/>
          <w:highlight w:val="none"/>
        </w:rPr>
        <w:t>新疆得仁水务发展有限公司为</w:t>
      </w:r>
      <w:r>
        <w:rPr>
          <w:rFonts w:hint="default" w:ascii="Times New Roman" w:hAnsi="Times New Roman" w:eastAsia="仿宋_GB2312" w:cs="Times New Roman"/>
          <w:sz w:val="32"/>
          <w:szCs w:val="32"/>
          <w:highlight w:val="none"/>
          <w:lang w:val="en-US" w:eastAsia="zh-CN"/>
        </w:rPr>
        <w:t>管辖范围内机电井</w:t>
      </w:r>
      <w:r>
        <w:rPr>
          <w:rFonts w:hint="eastAsia" w:eastAsia="仿宋_GB2312" w:cs="Times New Roman"/>
          <w:sz w:val="32"/>
          <w:szCs w:val="32"/>
          <w:highlight w:val="none"/>
          <w:lang w:val="en-US" w:eastAsia="zh-CN"/>
        </w:rPr>
        <w:t>和井电双控运维平台</w:t>
      </w:r>
      <w:r>
        <w:rPr>
          <w:rFonts w:hint="default" w:ascii="Times New Roman" w:hAnsi="Times New Roman" w:eastAsia="仿宋_GB2312" w:cs="Times New Roman"/>
          <w:sz w:val="32"/>
          <w:szCs w:val="32"/>
          <w:highlight w:val="none"/>
          <w:lang w:val="en-US" w:eastAsia="zh-CN"/>
        </w:rPr>
        <w:t>的管理责任主体；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负责报送机电井年度取水计划，组织实施机电井的运行管理，并承担机电井基础数据的采集、统计与上报工作，以及水卡操作管理和设备的日常巡查检查，积极配合行业监管部门做好相关工作，确保机电井工程充分发挥效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实际情况确定井电双控机电井运行维护单位，签订运行维护协议，具体负责保障井电双控设备的正常运行，提供专业技术支撑；建立取用水台账，内容涵盖取水许可证、水量分配、用水户信息、控制面积等基本信息；利用管理平台对用水数据进行分析与决策，并进行整理与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 xml:space="preserve">负责对运行维护单位的维护情况进行量化与细化管理，建立健全巡查与检查制度，实现线上监督、线下巡查及定期抽查；对发现的问题及时通知并督促整改落实，确保设备全年上线率均达到100%，服务投诉率控制在5%以下，且运行维护各项档案资料真实、准确。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及时协调解决运行管理中出现的问题，受理并回复运行期间的服务投诉及问题反馈，规范运行维护管理服务行为。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highlight w:val="none"/>
          <w:lang w:eastAsia="zh-CN"/>
        </w:rPr>
      </w:pPr>
      <w:r>
        <w:rPr>
          <w:rFonts w:hint="default" w:ascii="Times New Roman" w:hAnsi="Times New Roman" w:eastAsia="仿宋_GB2312" w:cs="Times New Roman"/>
          <w:color w:val="auto"/>
          <w:sz w:val="32"/>
          <w:szCs w:val="32"/>
          <w:highlight w:val="none"/>
          <w:lang w:val="en-US" w:eastAsia="zh-CN"/>
        </w:rPr>
        <w:t>负责提供每眼井电双控机电井的年度实际灌溉面积（包括身份地和经营地），以及实际牲畜养殖规模（以标准头只计）</w:t>
      </w:r>
      <w:r>
        <w:rPr>
          <w:rFonts w:hint="default" w:ascii="Times New Roman" w:hAnsi="Times New Roman" w:eastAsia="仿宋_GB2312" w:cs="Times New Roman"/>
          <w:color w:val="C0000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负责依据年度配水指标，建立相对固定的井电双控管理集中服务点，配备两名以上工作人员；并依据配水指标</w:t>
      </w:r>
      <w:r>
        <w:rPr>
          <w:rFonts w:hint="default" w:ascii="Times New Roman" w:hAnsi="Times New Roman" w:eastAsia="仿宋_GB2312" w:cs="Times New Roman"/>
          <w:color w:val="auto"/>
          <w:sz w:val="32"/>
          <w:szCs w:val="32"/>
          <w:highlight w:val="none"/>
          <w:shd w:val="clear" w:color="auto" w:fill="auto"/>
          <w:lang w:val="en-US" w:eastAsia="zh-CN"/>
        </w:rPr>
        <w:t>及用水需求动态完成水卡的操作管理，保障充用匹配</w:t>
      </w:r>
      <w:r>
        <w:rPr>
          <w:rFonts w:hint="default" w:ascii="Times New Roman" w:hAnsi="Times New Roman" w:eastAsia="仿宋_GB2312" w:cs="Times New Roman"/>
          <w:sz w:val="32"/>
          <w:szCs w:val="32"/>
          <w:highlight w:val="none"/>
          <w:lang w:val="en-US" w:eastAsia="zh-CN"/>
        </w:rPr>
        <w:t>，合理充值电卡，实现以电控水；做好井电双控设备的巡查与检查工作，配合运维单位保障设备的稳定运行。如发现蓄意破坏井电双控设备等违法行为，应及时向水行政主管部门或公安机关报告。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负责制定本单位机电井管护制度，规范使用和保护井电双控设备；对设备运行异常、硬件损坏等情况及时上报并进行检修；因机电井更新等原因需拆除或移动设备时，应提前向水行政主管部门申请，并于规定时间内完成安装与恢复。</w:t>
      </w:r>
    </w:p>
    <w:p>
      <w:pPr>
        <w:keepNext w:val="0"/>
        <w:keepLines w:val="0"/>
        <w:pageBreakBefore w:val="0"/>
        <w:numPr>
          <w:ilvl w:val="0"/>
          <w:numId w:val="0"/>
        </w:numPr>
        <w:tabs>
          <w:tab w:val="left" w:pos="1524"/>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eastAsia="仿宋_GB2312" w:cs="Times New Roman"/>
          <w:b/>
          <w:bCs/>
          <w:sz w:val="32"/>
          <w:szCs w:val="32"/>
          <w:highlight w:val="none"/>
          <w:lang w:val="en-US" w:eastAsia="zh-CN"/>
        </w:rPr>
        <w:t>七</w:t>
      </w:r>
      <w:r>
        <w:rPr>
          <w:rFonts w:hint="default" w:ascii="Times New Roman" w:hAnsi="Times New Roman" w:eastAsia="仿宋_GB2312" w:cs="Times New Roman"/>
          <w:b/>
          <w:bCs/>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自然资源部门负责提供年度林草实际灌溉面积。农业农村部门负责提供身份地、经营地的年度实际种植面积；退地休耕、土地休耕弃耕、设施农业种植、庭院经济等土地面积，以及牲畜养殖规模（以标准头只计）。</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eastAsia="仿宋_GB2312" w:cs="Times New Roman"/>
          <w:b/>
          <w:bCs/>
          <w:sz w:val="32"/>
          <w:szCs w:val="32"/>
          <w:highlight w:val="none"/>
          <w:lang w:val="en-US" w:eastAsia="zh-CN"/>
        </w:rPr>
        <w:t>八</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财政部门负责对井电双控机电井运行维护管理费用的使用情况进行监督管理，确保财政资金专款专用。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w:t>
      </w:r>
      <w:r>
        <w:rPr>
          <w:rFonts w:hint="eastAsia" w:eastAsia="仿宋_GB2312" w:cs="Times New Roman"/>
          <w:b/>
          <w:bCs/>
          <w:sz w:val="32"/>
          <w:szCs w:val="32"/>
          <w:highlight w:val="none"/>
          <w:lang w:val="en-US" w:eastAsia="zh-CN"/>
        </w:rPr>
        <w:t>九</w:t>
      </w:r>
      <w:r>
        <w:rPr>
          <w:rFonts w:hint="default" w:ascii="Times New Roman" w:hAnsi="Times New Roman" w:eastAsia="仿宋_GB2312" w:cs="Times New Roman"/>
          <w:b/>
          <w:bCs/>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税务部门负责本行政区域内师市取水口水资源税的征收工作。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color w:val="auto"/>
          <w:sz w:val="32"/>
          <w:szCs w:val="32"/>
          <w:highlight w:val="none"/>
          <w:shd w:val="clear" w:color="auto" w:fill="auto"/>
          <w:lang w:val="en-US" w:eastAsia="zh-CN"/>
        </w:rPr>
        <w:t>第十条</w:t>
      </w:r>
      <w:r>
        <w:rPr>
          <w:rFonts w:hint="default" w:ascii="Times New Roman" w:hAnsi="Times New Roman" w:eastAsia="仿宋_GB2312" w:cs="Times New Roman"/>
          <w:color w:val="auto"/>
          <w:sz w:val="32"/>
          <w:szCs w:val="32"/>
          <w:highlight w:val="none"/>
          <w:shd w:val="clear" w:color="auto" w:fill="auto"/>
          <w:lang w:val="en-US" w:eastAsia="zh-CN"/>
        </w:rPr>
        <w:t xml:space="preserve">  电力部门根据水利部门核定的用水量以及农业和林业草原中心出具的《取用水供电告知书》，核算单井用电量，并根据核算电量办理购电事宜；对于未取得取水许可的机电井用电申请，不予受理。若取水户违反取用水相关规定，则对机电井实施断电措施。变压器增容需征求水利部门意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水行政</w:t>
      </w:r>
      <w:r>
        <w:rPr>
          <w:rFonts w:hint="eastAsia" w:eastAsia="仿宋_GB2312" w:cs="Times New Roman"/>
          <w:sz w:val="32"/>
          <w:szCs w:val="32"/>
          <w:highlight w:val="none"/>
          <w:lang w:val="en-US" w:eastAsia="zh-CN"/>
        </w:rPr>
        <w:t>执法单位</w:t>
      </w:r>
      <w:r>
        <w:rPr>
          <w:rFonts w:hint="default" w:ascii="Times New Roman" w:hAnsi="Times New Roman" w:eastAsia="仿宋_GB2312" w:cs="Times New Roman"/>
          <w:sz w:val="32"/>
          <w:szCs w:val="32"/>
          <w:highlight w:val="none"/>
          <w:lang w:val="en-US" w:eastAsia="zh-CN"/>
        </w:rPr>
        <w:t>承担辖区内水事活动的监督和检查，及时处理水事纠纷，维护正常水事秩序,对蓄意破坏、偷盗井电双控设备等违法行为及时予以查处。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公安机关负责对蓄意破坏或偷盗井电双控设备且达到立案标准的违法行为，依法及时予以查处。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运行维护单位须严格履行《井电双控安装及运行维护合同》，依据技术规程及施工进度要求，完成设备的安装、调试、验收、培训以及资料整理与归档工作，并定期向机电井管理单位提交运行情况报告等相关文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应于本地建立服务管理团队，完善运行维护管理方案，建立健全“定期巡检、及时排障、线上预警、线下处置”的工作机制，确保井电双控设备正常运行。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须于本地建立储存数据库与处理分析服务器，依据安全保密规定配置防火墙，并向机电井管理单位和水行政主管部门提交包括数据库表结构、数据传输协议、防火墙加密类型、服务器访问账号及密码等信息，同时对相关信息资料予以保密存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对井电双控设备每月须进行一次全面巡查；如遇设备故障报修、线上数据异常或设备异常下线等情形，须于24小时内排除故障；设立24小时服务工作受理平台，确保服务工作的有效开展。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实时监控机井用水状况，对运行数据进行整理与分析；一旦发现异常情况，应立即核查并处理，并做好维护记录；若无法处理，应及时上报水行政主管部门协调解决；定期对集中服务点工作人员进行技术培训。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维修维护专业人员应于每年春季灌溉前，统一对机电井用水计量设施进行检查与校验，校验结果将作为取水许可证年审的重要依据。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依据水行政主管部门提出的设备及平台升级改造建议，实施系统功能添加、数据关联、操作优化等实用性技术升级措施。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四</w:t>
      </w:r>
      <w:r>
        <w:rPr>
          <w:rFonts w:hint="default" w:ascii="Times New Roman" w:hAnsi="Times New Roman" w:eastAsia="仿宋_GB2312" w:cs="Times New Roman"/>
          <w:b/>
          <w:bCs/>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师市水行政主管部门应于每年灌溉期开始前，完成本年度单井用水量的审核工作。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第三章  水资源费（税）、电费预缴征收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凡师市行政区域内取用地下水的单位、组织及个人，须严格遵循国务院《取水许可和水资源费征收管理条例》《水资源税改革试点实施办法》，以及《关于新疆维吾尔自治区水资源税改革试点有关事项的通知》（新财法税〔2024〕9号）、《关于自治区水资源税改革试点农业生产取用水限额有关事项的通知》（新水厅〔2025〕38号）、《关于新疆生产建设兵团水资源税改革试点有关事项的通知》（兵财税〔2025〕1号）之相关规定，按期足额缴纳水资源税。</w:t>
      </w:r>
    </w:p>
    <w:p>
      <w:pPr>
        <w:keepNext w:val="0"/>
        <w:keepLines w:val="0"/>
        <w:pageBreakBefore w:val="0"/>
        <w:tabs>
          <w:tab w:val="left" w:pos="4620"/>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六</w:t>
      </w:r>
      <w:r>
        <w:rPr>
          <w:rFonts w:hint="default" w:ascii="Times New Roman" w:hAnsi="Times New Roman" w:eastAsia="仿宋_GB2312" w:cs="Times New Roman"/>
          <w:b/>
          <w:bCs/>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用水单位或个人应凭取水卡进行取水，依管理与操作程序携卡至所属团场（镇）农业和林业草原中心，经刷卡充值后，方可取水。农业和林业草原中心应制定制卡管理制度，并做好制卡记录。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cs="Times New Roman" w:eastAsiaTheme="minorEastAsia"/>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七</w:t>
      </w:r>
      <w:r>
        <w:rPr>
          <w:rFonts w:hint="default" w:ascii="Times New Roman" w:hAnsi="Times New Roman" w:eastAsia="仿宋_GB2312" w:cs="Times New Roman"/>
          <w:b/>
          <w:bCs/>
          <w:sz w:val="32"/>
          <w:szCs w:val="32"/>
          <w:highlight w:val="none"/>
          <w:lang w:val="en-US" w:eastAsia="zh-CN"/>
        </w:rPr>
        <w:t xml:space="preserve">条 </w:t>
      </w:r>
      <w:r>
        <w:rPr>
          <w:rFonts w:hint="default" w:ascii="Times New Roman" w:hAnsi="Times New Roman" w:eastAsia="仿宋_GB2312" w:cs="Times New Roman"/>
          <w:sz w:val="32"/>
          <w:szCs w:val="32"/>
          <w:highlight w:val="none"/>
          <w:lang w:val="en-US" w:eastAsia="zh-CN"/>
        </w:rPr>
        <w:t xml:space="preserve"> 用水计量设施发生异常以致无法正常计量时，在设备修复期间，</w:t>
      </w:r>
      <w:r>
        <w:rPr>
          <w:rFonts w:hint="default" w:ascii="Times New Roman" w:hAnsi="Times New Roman" w:eastAsia="仿宋_GB2312" w:cs="Times New Roman"/>
          <w:color w:val="000000"/>
          <w:kern w:val="0"/>
          <w:sz w:val="31"/>
          <w:szCs w:val="31"/>
          <w:lang w:val="en-US" w:eastAsia="zh-CN" w:bidi="ar"/>
        </w:rPr>
        <w:t>由水行政主管部门依照《水资源税改革试点实施办法》第二十六条的相关规定核定取水量。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八</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用水单位或个人应依法安装水、电计量设施，并按规定缴纳电费及水资源税。每眼机电井须实行“井电双控”，安装独立电表，实现独立购电、独立计量与独立监管，确保“一井一表一卡”。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黑体" w:cs="Times New Roman"/>
          <w:sz w:val="32"/>
          <w:szCs w:val="32"/>
          <w:highlight w:val="none"/>
          <w:lang w:val="en-US" w:eastAsia="zh-CN"/>
        </w:rPr>
        <w:t>第四章 相关责任与处罚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w:t>
      </w:r>
      <w:r>
        <w:rPr>
          <w:rFonts w:hint="eastAsia" w:eastAsia="仿宋_GB2312" w:cs="Times New Roman"/>
          <w:b/>
          <w:bCs/>
          <w:sz w:val="32"/>
          <w:szCs w:val="32"/>
          <w:highlight w:val="none"/>
          <w:lang w:val="en-US" w:eastAsia="zh-CN"/>
        </w:rPr>
        <w:t>十九</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辖区内机电井有下列情形之一的，师市水行政主管部门应会同供电公司，向用水单位或个人下达停止取水（或核减取水量）及停止供电的通知：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（一）未取得水行政主管部门批准文件，擅自新打或更新机井，或年度取水计划未经水行政主管部门批准的；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（二）未经水行政主管部门批准，擅自变更取水用途或转供水的；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（三）未经批准超指标取水的；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（四）拒绝安装计量设施或故意破坏计量设施的；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（五）拒不缴纳电费或水资源税的；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（六）拒不执行水行政主管部门批准的井河水混灌区水量统一调度方案的；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（七）水行政主管部门依法作出关停或填埋机井处理决定的。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第二十条</w:t>
      </w:r>
      <w:r>
        <w:rPr>
          <w:rFonts w:hint="default" w:ascii="Times New Roman" w:hAnsi="Times New Roman" w:eastAsia="仿宋_GB2312" w:cs="Times New Roman"/>
          <w:sz w:val="32"/>
          <w:szCs w:val="32"/>
          <w:highlight w:val="none"/>
          <w:lang w:val="en-US" w:eastAsia="zh-CN"/>
        </w:rPr>
        <w:t xml:space="preserve">  用水单位或个人须按要求及时安装井电双控设施，并接入北屯市井电双控智能云计量管理监控系统。未安装计量设施的，责令限期安装，并按日最大取水能力计算取水量，依水资源税征收标准计征水资源税，并予以处罚；情节严重的，吊销取水许可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highlight w:val="none"/>
          <w:lang w:val="en-US" w:eastAsia="zh-CN"/>
        </w:rPr>
        <w:t>凡擅自改装、更新、拆卸或损坏机电井水量计量设施，导致设施无法正常运行的，依据相关法律法规予以处罚；情节严重的，吊销取水许可证；构成犯罪的，依法移送司法机关处理。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第二十</w:t>
      </w:r>
      <w:r>
        <w:rPr>
          <w:rFonts w:hint="eastAsia"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水行政主管部门、税务部门、各团场（镇）或其他有关部门工作人员，有下列行为之一的，依相关法律法规，对直接负责的主管人员及其他直接责任人员给予行政处分；情节严重的，依法追究刑事责任：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color w:val="auto"/>
          <w:sz w:val="32"/>
          <w:szCs w:val="32"/>
          <w:highlight w:val="none"/>
          <w:lang w:val="en-US" w:eastAsia="zh-CN"/>
        </w:rPr>
        <w:t>（一）对不符合法定条件的单位或个人核发许可证、签署审查同意意见或予以批准的；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（二）未按规定征收水资源税的；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（三）违反规定在禁止开荒区域批准开荒的；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sz w:val="32"/>
          <w:szCs w:val="32"/>
          <w:lang w:val="en-US" w:eastAsia="zh-CN"/>
        </w:rPr>
        <w:t>（四）未按水量分配方案分配水量，或向违规开荒行为提供供水的；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（五）不履行监督职责，或发现违法行为不予查处的；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（六）其他滥用职权、徇私舞弊的行为。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lang w:eastAsia="zh-CN"/>
        </w:rPr>
      </w:pPr>
      <w:r>
        <w:rPr>
          <w:rFonts w:hint="default" w:ascii="Times New Roman" w:hAnsi="Times New Roman" w:eastAsia="仿宋_GB2312" w:cs="Times New Roman"/>
          <w:b/>
          <w:bCs/>
          <w:sz w:val="32"/>
          <w:szCs w:val="32"/>
          <w:highlight w:val="none"/>
          <w:lang w:val="en-US" w:eastAsia="zh-CN"/>
        </w:rPr>
        <w:t>第二十</w:t>
      </w:r>
      <w:r>
        <w:rPr>
          <w:rFonts w:hint="eastAsia"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凡违反本办法且拒不接受处罚的，由供电公司对该机电井实施停电、拆除用电线路；由师市水行政主管部门吊销其取水许可证；并由水利、供电、公安等部门联合组成封井工作组，对该机井予以封闭。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eastAsiaTheme="minorEastAsia"/>
          <w:highlight w:val="yellow"/>
          <w:lang w:eastAsia="zh-CN"/>
        </w:rPr>
      </w:pPr>
      <w:r>
        <w:rPr>
          <w:rFonts w:hint="default" w:ascii="Times New Roman" w:hAnsi="Times New Roman" w:eastAsia="仿宋_GB2312" w:cs="Times New Roman"/>
          <w:b/>
          <w:bCs/>
          <w:sz w:val="32"/>
          <w:szCs w:val="32"/>
          <w:highlight w:val="none"/>
          <w:lang w:val="en-US" w:eastAsia="zh-CN"/>
        </w:rPr>
        <w:t>第二十</w:t>
      </w:r>
      <w:r>
        <w:rPr>
          <w:rFonts w:hint="eastAsia"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各机电井管理单位应加强对井电双控运行状况的日常巡查与管护，动员群众配合做好机电井井电双控设施的管理工作，并积极检举非法取水行为。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第五章  附则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r>
        <w:rPr>
          <w:rFonts w:hint="default" w:ascii="Times New Roman" w:hAnsi="Times New Roman" w:eastAsia="仿宋_GB2312" w:cs="Times New Roman"/>
          <w:b/>
          <w:bCs/>
          <w:sz w:val="32"/>
          <w:szCs w:val="32"/>
          <w:highlight w:val="none"/>
          <w:lang w:val="en-US" w:eastAsia="zh-CN"/>
        </w:rPr>
        <w:t>第二十</w:t>
      </w:r>
      <w:r>
        <w:rPr>
          <w:rFonts w:hint="eastAsia" w:eastAsia="仿宋_GB2312" w:cs="Times New Roman"/>
          <w:b/>
          <w:bCs/>
          <w:sz w:val="32"/>
          <w:szCs w:val="32"/>
          <w:highlight w:val="none"/>
          <w:lang w:val="en-US" w:eastAsia="zh-CN"/>
        </w:rPr>
        <w:t>四</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本办法自发布之日起施行，试行三年。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053AB"/>
    <w:rsid w:val="203909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2026-04-17T03:32:00Z</dcterms:created>
  <dc:creator>Administrator</dc:creator>
  <cp:lastModifiedBy>Administrator</cp:lastModifiedBy>
  <dcterms:modified xsi:type="dcterms:W3CDTF">2026-04-29T04:25:04Z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