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CB0BC">
      <w:pPr>
        <w:pStyle w:val="2"/>
        <w:keepNext w:val="0"/>
        <w:keepLines w:val="0"/>
        <w:pageBreakBefore w:val="0"/>
        <w:wordWrap/>
        <w:overflowPunct/>
        <w:topLinePunct w:val="0"/>
        <w:bidi w:val="0"/>
        <w:spacing w:before="133" w:line="540" w:lineRule="exact"/>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附件</w:t>
      </w:r>
      <w:r>
        <w:rPr>
          <w:rFonts w:hint="eastAsia" w:ascii="仿宋_GB2312" w:hAnsi="Times New Roman" w:eastAsia="仿宋_GB2312" w:cs="Times New Roman"/>
          <w:snapToGrid/>
          <w:color w:val="auto"/>
          <w:kern w:val="2"/>
          <w:sz w:val="32"/>
          <w:szCs w:val="32"/>
          <w:lang w:val="en-US" w:eastAsia="zh-CN"/>
        </w:rPr>
        <w:t>2</w:t>
      </w:r>
    </w:p>
    <w:p w14:paraId="0466AAC1">
      <w:pPr>
        <w:keepNext w:val="0"/>
        <w:keepLines w:val="0"/>
        <w:pageBreakBefore w:val="0"/>
        <w:widowControl w:val="0"/>
        <w:kinsoku/>
        <w:wordWrap/>
        <w:overflowPunct/>
        <w:topLinePunct w:val="0"/>
        <w:autoSpaceDE/>
        <w:autoSpaceDN/>
        <w:bidi w:val="0"/>
        <w:adjustRightInd/>
        <w:snapToGrid/>
        <w:spacing w:line="540" w:lineRule="exact"/>
        <w:ind w:firstLine="1320" w:firstLineChars="300"/>
        <w:textAlignment w:val="auto"/>
        <w:rPr>
          <w:rFonts w:hint="eastAsia" w:ascii="方正小标宋简体" w:hAnsi="方正小标宋简体" w:eastAsia="方正小标宋简体" w:cs="方正小标宋简体"/>
          <w:b w:val="0"/>
          <w:bCs/>
          <w:snapToGrid/>
          <w:color w:val="auto"/>
          <w:kern w:val="2"/>
          <w:sz w:val="44"/>
          <w:szCs w:val="44"/>
          <w:lang w:eastAsia="zh-CN"/>
        </w:rPr>
      </w:pPr>
      <w:r>
        <w:rPr>
          <w:rFonts w:hint="eastAsia" w:ascii="方正小标宋简体" w:hAnsi="方正小标宋简体" w:eastAsia="方正小标宋简体" w:cs="方正小标宋简体"/>
          <w:b w:val="0"/>
          <w:bCs/>
          <w:snapToGrid/>
          <w:color w:val="auto"/>
          <w:kern w:val="2"/>
          <w:sz w:val="44"/>
          <w:szCs w:val="44"/>
          <w:lang w:val="en-US" w:eastAsia="zh-CN"/>
        </w:rPr>
        <w:t>新疆生产建设兵团</w:t>
      </w:r>
      <w:r>
        <w:rPr>
          <w:rFonts w:hint="eastAsia" w:ascii="方正小标宋简体" w:hAnsi="方正小标宋简体" w:eastAsia="方正小标宋简体" w:cs="方正小标宋简体"/>
          <w:b w:val="0"/>
          <w:bCs/>
          <w:snapToGrid/>
          <w:color w:val="auto"/>
          <w:kern w:val="2"/>
          <w:sz w:val="44"/>
          <w:szCs w:val="44"/>
          <w:lang w:eastAsia="zh-CN"/>
        </w:rPr>
        <w:t>教师资格认定</w:t>
      </w:r>
    </w:p>
    <w:p w14:paraId="4F521ACD">
      <w:pPr>
        <w:keepNext w:val="0"/>
        <w:keepLines w:val="0"/>
        <w:pageBreakBefore w:val="0"/>
        <w:widowControl w:val="0"/>
        <w:kinsoku/>
        <w:wordWrap/>
        <w:overflowPunct/>
        <w:topLinePunct w:val="0"/>
        <w:autoSpaceDE/>
        <w:autoSpaceDN/>
        <w:bidi w:val="0"/>
        <w:adjustRightInd/>
        <w:snapToGrid/>
        <w:spacing w:line="540" w:lineRule="exact"/>
        <w:ind w:firstLine="3080" w:firstLineChars="700"/>
        <w:textAlignment w:val="auto"/>
        <w:rPr>
          <w:rFonts w:hint="eastAsia" w:ascii="方正小标宋简体" w:hAnsi="方正小标宋简体" w:eastAsia="方正小标宋简体" w:cs="方正小标宋简体"/>
          <w:b w:val="0"/>
          <w:bCs/>
          <w:snapToGrid/>
          <w:color w:val="auto"/>
          <w:kern w:val="2"/>
          <w:sz w:val="44"/>
          <w:szCs w:val="44"/>
          <w:lang w:eastAsia="zh-CN"/>
        </w:rPr>
      </w:pPr>
      <w:r>
        <w:rPr>
          <w:rFonts w:hint="eastAsia" w:ascii="方正小标宋简体" w:hAnsi="方正小标宋简体" w:eastAsia="方正小标宋简体" w:cs="方正小标宋简体"/>
          <w:b w:val="0"/>
          <w:bCs/>
          <w:snapToGrid/>
          <w:color w:val="auto"/>
          <w:kern w:val="2"/>
          <w:sz w:val="44"/>
          <w:szCs w:val="44"/>
          <w:lang w:eastAsia="zh-CN"/>
        </w:rPr>
        <w:t>注意事项</w:t>
      </w:r>
    </w:p>
    <w:p w14:paraId="283132B7">
      <w:pPr>
        <w:keepNext w:val="0"/>
        <w:keepLines w:val="0"/>
        <w:pageBreakBefore w:val="0"/>
        <w:wordWrap/>
        <w:overflowPunct/>
        <w:topLinePunct w:val="0"/>
        <w:bidi w:val="0"/>
        <w:spacing w:before="101" w:line="540" w:lineRule="exact"/>
        <w:ind w:firstLine="644" w:firstLineChars="200"/>
        <w:rPr>
          <w:rFonts w:hint="eastAsia" w:ascii="宋体" w:hAnsi="宋体" w:cs="宋体"/>
          <w:bCs/>
          <w:color w:val="4B4B4B"/>
          <w:spacing w:val="6"/>
          <w:position w:val="2"/>
          <w:sz w:val="31"/>
          <w:szCs w:val="31"/>
          <w:lang w:eastAsia="zh-CN"/>
        </w:rPr>
      </w:pPr>
      <w:bookmarkStart w:id="0" w:name="_GoBack"/>
      <w:bookmarkEnd w:id="0"/>
    </w:p>
    <w:p w14:paraId="3E0EE654">
      <w:pPr>
        <w:keepNext w:val="0"/>
        <w:keepLines w:val="0"/>
        <w:pageBreakBefore w:val="0"/>
        <w:wordWrap/>
        <w:overflowPunct/>
        <w:topLinePunct w:val="0"/>
        <w:bidi w:val="0"/>
        <w:spacing w:before="101" w:line="540" w:lineRule="exact"/>
        <w:ind w:firstLine="664" w:firstLineChars="200"/>
        <w:rPr>
          <w:rFonts w:hint="eastAsia" w:ascii="国标黑体" w:hAnsi="国标黑体" w:eastAsia="国标黑体" w:cs="国标黑体"/>
          <w:b w:val="0"/>
          <w:bCs w:val="0"/>
          <w:snapToGrid/>
          <w:color w:val="auto"/>
          <w:kern w:val="2"/>
          <w:sz w:val="32"/>
          <w:szCs w:val="32"/>
          <w:lang w:eastAsia="zh-CN"/>
        </w:rPr>
      </w:pPr>
      <w:r>
        <w:rPr>
          <w:rFonts w:hint="eastAsia" w:ascii="国标黑体" w:hAnsi="国标黑体" w:eastAsia="国标黑体" w:cs="国标黑体"/>
          <w:b w:val="0"/>
          <w:bCs w:val="0"/>
          <w:color w:val="4B4B4B"/>
          <w:spacing w:val="6"/>
          <w:position w:val="2"/>
          <w:sz w:val="32"/>
          <w:szCs w:val="32"/>
          <w:lang w:eastAsia="zh-CN"/>
        </w:rPr>
        <w:t>一</w:t>
      </w:r>
      <w:r>
        <w:rPr>
          <w:rFonts w:hint="eastAsia" w:ascii="国标黑体" w:hAnsi="国标黑体" w:eastAsia="国标黑体" w:cs="国标黑体"/>
          <w:b w:val="0"/>
          <w:bCs w:val="0"/>
          <w:snapToGrid/>
          <w:color w:val="auto"/>
          <w:kern w:val="2"/>
          <w:sz w:val="32"/>
          <w:szCs w:val="32"/>
          <w:lang w:eastAsia="zh-CN"/>
        </w:rPr>
        <w:t>、申请认定与材料审核注意事项</w:t>
      </w:r>
    </w:p>
    <w:p w14:paraId="30E28CCB">
      <w:pPr>
        <w:pStyle w:val="2"/>
        <w:keepNext w:val="0"/>
        <w:keepLines w:val="0"/>
        <w:pageBreakBefore w:val="0"/>
        <w:widowControl/>
        <w:kinsoku w:val="0"/>
        <w:wordWrap/>
        <w:overflowPunct/>
        <w:topLinePunct w:val="0"/>
        <w:autoSpaceDE w:val="0"/>
        <w:autoSpaceDN w:val="0"/>
        <w:bidi w:val="0"/>
        <w:adjustRightInd w:val="0"/>
        <w:snapToGrid w:val="0"/>
        <w:spacing w:before="161" w:line="540" w:lineRule="exact"/>
        <w:ind w:firstLine="616"/>
        <w:jc w:val="both"/>
        <w:textAlignment w:val="baseline"/>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（一）根据《中华人民共和国教师法》和兵团相关规定，申请人可在户籍所在地、居住地（需办理当地居住证且在有效期内）申请认定中小学、幼儿园、中职院校教师资格。</w:t>
      </w:r>
    </w:p>
    <w:p w14:paraId="6793BAC9">
      <w:pPr>
        <w:pStyle w:val="2"/>
        <w:keepNext w:val="0"/>
        <w:keepLines w:val="0"/>
        <w:pageBreakBefore w:val="0"/>
        <w:widowControl/>
        <w:kinsoku w:val="0"/>
        <w:wordWrap/>
        <w:overflowPunct/>
        <w:topLinePunct w:val="0"/>
        <w:autoSpaceDE w:val="0"/>
        <w:autoSpaceDN w:val="0"/>
        <w:bidi w:val="0"/>
        <w:adjustRightInd w:val="0"/>
        <w:snapToGrid w:val="0"/>
        <w:spacing w:before="2" w:line="540" w:lineRule="exact"/>
        <w:ind w:left="6" w:right="2" w:firstLine="609"/>
        <w:jc w:val="both"/>
        <w:textAlignment w:val="baseline"/>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（二）申请人网上报名时须选择认定机构“第十师教育局”进行报名，具体认定工作安排和要求见认定机构的公告。</w:t>
      </w:r>
    </w:p>
    <w:p w14:paraId="2E219FFB">
      <w:pPr>
        <w:pStyle w:val="2"/>
        <w:keepNext w:val="0"/>
        <w:keepLines w:val="0"/>
        <w:pageBreakBefore w:val="0"/>
        <w:widowControl/>
        <w:kinsoku w:val="0"/>
        <w:wordWrap/>
        <w:overflowPunct/>
        <w:topLinePunct w:val="0"/>
        <w:autoSpaceDE w:val="0"/>
        <w:autoSpaceDN w:val="0"/>
        <w:bidi w:val="0"/>
        <w:adjustRightInd w:val="0"/>
        <w:snapToGrid w:val="0"/>
        <w:spacing w:before="133" w:line="540" w:lineRule="exact"/>
        <w:ind w:right="26" w:firstLine="640" w:firstLineChars="200"/>
        <w:jc w:val="both"/>
        <w:textAlignment w:val="baseline"/>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（三）申请人在线上确认通过后持贴有与认定网报同版照片的《新疆生产建设兵团教师资格申请人员体检表》（附件3或4），在规定时间内到北屯医院体检中心完成体检。</w:t>
      </w:r>
    </w:p>
    <w:p w14:paraId="550FA847">
      <w:pPr>
        <w:pStyle w:val="2"/>
        <w:keepNext w:val="0"/>
        <w:keepLines w:val="0"/>
        <w:pageBreakBefore w:val="0"/>
        <w:widowControl/>
        <w:kinsoku w:val="0"/>
        <w:wordWrap/>
        <w:overflowPunct/>
        <w:topLinePunct w:val="0"/>
        <w:autoSpaceDE w:val="0"/>
        <w:autoSpaceDN w:val="0"/>
        <w:bidi w:val="0"/>
        <w:adjustRightInd w:val="0"/>
        <w:snapToGrid w:val="0"/>
        <w:spacing w:before="4" w:line="540" w:lineRule="exact"/>
        <w:ind w:right="126" w:firstLine="644"/>
        <w:jc w:val="both"/>
        <w:textAlignment w:val="baseline"/>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注意：未怀孕、备孕、哺乳期人员须完全按体检表内容逐项检查，不可缺项；怀孕人员可免做胸透项目，但需提供医院出具的相关医学检查证明。</w:t>
      </w:r>
    </w:p>
    <w:p w14:paraId="5B07A4E6">
      <w:pPr>
        <w:pStyle w:val="2"/>
        <w:keepNext w:val="0"/>
        <w:keepLines w:val="0"/>
        <w:pageBreakBefore w:val="0"/>
        <w:widowControl/>
        <w:kinsoku w:val="0"/>
        <w:wordWrap/>
        <w:overflowPunct/>
        <w:topLinePunct w:val="0"/>
        <w:autoSpaceDE w:val="0"/>
        <w:autoSpaceDN w:val="0"/>
        <w:bidi w:val="0"/>
        <w:adjustRightInd w:val="0"/>
        <w:snapToGrid w:val="0"/>
        <w:spacing w:before="1" w:line="540" w:lineRule="exact"/>
        <w:ind w:left="1" w:right="126" w:firstLine="611"/>
        <w:textAlignment w:val="baseline"/>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四）申请人在申报教师资格种类及任教学科时，须确保正确无误，一经申报，不得随意更改(“外语”仅限于：报名系统内没有的小语种学科。如报英语学科，须选择“英语”，而不得选择“外语”)。《个人承诺书》需仔细阅读并按要求签署。</w:t>
      </w:r>
    </w:p>
    <w:p w14:paraId="7EC1EC49">
      <w:pPr>
        <w:pStyle w:val="2"/>
        <w:keepNext w:val="0"/>
        <w:keepLines w:val="0"/>
        <w:pageBreakBefore w:val="0"/>
        <w:widowControl/>
        <w:kinsoku w:val="0"/>
        <w:wordWrap/>
        <w:overflowPunct/>
        <w:topLinePunct w:val="0"/>
        <w:autoSpaceDE w:val="0"/>
        <w:autoSpaceDN w:val="0"/>
        <w:bidi w:val="0"/>
        <w:adjustRightInd w:val="0"/>
        <w:snapToGrid w:val="0"/>
        <w:spacing w:before="146" w:line="540" w:lineRule="exact"/>
        <w:ind w:left="51" w:right="26" w:firstLine="562"/>
        <w:textAlignment w:val="baseline"/>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（五）报名信息状态为“网报待确认”或“材料待完善”时，申请人可对信息进行修改。其余状态，不可修改。</w:t>
      </w:r>
    </w:p>
    <w:p w14:paraId="2A6D151A">
      <w:pPr>
        <w:pStyle w:val="2"/>
        <w:keepNext w:val="0"/>
        <w:keepLines w:val="0"/>
        <w:pageBreakBefore w:val="0"/>
        <w:widowControl/>
        <w:kinsoku w:val="0"/>
        <w:wordWrap/>
        <w:overflowPunct/>
        <w:topLinePunct w:val="0"/>
        <w:autoSpaceDE w:val="0"/>
        <w:autoSpaceDN w:val="0"/>
        <w:bidi w:val="0"/>
        <w:adjustRightInd w:val="0"/>
        <w:snapToGrid w:val="0"/>
        <w:spacing w:before="136" w:line="540" w:lineRule="exact"/>
        <w:ind w:left="4" w:firstLine="608"/>
        <w:textAlignment w:val="baseline"/>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（六）为落实国务院“高效办成一件事”，兵团 2026 年教师资格认定工作试行“全程网办、一网通办”，申请人在认定过程中及时关注报名系统中的“注意事项”和认定机构发布的认定公告。申请人按规定时间、地点和要求进行网上申报、网上提交材料、体检、审核等，因错过申报时间、选错认定机构或体检医院、申报信息有误或提交材料不全等原因未在规定时间内完成认定申请工作的，认定机构将不再受理，责任由申请人本人承担。</w:t>
      </w:r>
    </w:p>
    <w:p w14:paraId="5E932C19">
      <w:pPr>
        <w:keepNext w:val="0"/>
        <w:keepLines w:val="0"/>
        <w:pageBreakBefore w:val="0"/>
        <w:wordWrap/>
        <w:overflowPunct/>
        <w:topLinePunct w:val="0"/>
        <w:bidi w:val="0"/>
        <w:spacing w:before="101" w:line="540" w:lineRule="exact"/>
        <w:ind w:firstLine="640" w:firstLineChars="200"/>
        <w:rPr>
          <w:rFonts w:hint="eastAsia" w:ascii="国标黑体" w:hAnsi="国标黑体" w:eastAsia="国标黑体" w:cs="国标黑体"/>
          <w:b w:val="0"/>
          <w:bCs w:val="0"/>
          <w:snapToGrid/>
          <w:color w:val="auto"/>
          <w:kern w:val="2"/>
          <w:sz w:val="32"/>
          <w:szCs w:val="32"/>
          <w:lang w:eastAsia="zh-CN"/>
        </w:rPr>
      </w:pPr>
      <w:r>
        <w:rPr>
          <w:rFonts w:hint="eastAsia" w:ascii="国标黑体" w:hAnsi="国标黑体" w:eastAsia="国标黑体" w:cs="国标黑体"/>
          <w:b w:val="0"/>
          <w:bCs w:val="0"/>
          <w:snapToGrid/>
          <w:color w:val="auto"/>
          <w:kern w:val="2"/>
          <w:sz w:val="32"/>
          <w:szCs w:val="32"/>
          <w:lang w:eastAsia="zh-CN"/>
        </w:rPr>
        <w:t>二、网上递交申报材料注意事项</w:t>
      </w:r>
    </w:p>
    <w:p w14:paraId="3B199C74">
      <w:pPr>
        <w:pStyle w:val="2"/>
        <w:keepNext w:val="0"/>
        <w:keepLines w:val="0"/>
        <w:pageBreakBefore w:val="0"/>
        <w:wordWrap/>
        <w:overflowPunct/>
        <w:topLinePunct w:val="0"/>
        <w:bidi w:val="0"/>
        <w:spacing w:before="217" w:line="540" w:lineRule="exact"/>
        <w:ind w:left="613"/>
        <w:rPr>
          <w:rFonts w:hint="eastAsia" w:ascii="楷体_GB2312" w:hAnsi="楷体_GB2312" w:eastAsia="楷体_GB2312" w:cs="楷体_GB2312"/>
          <w:snapToGrid/>
          <w:color w:val="auto"/>
          <w:kern w:val="2"/>
          <w:sz w:val="32"/>
          <w:szCs w:val="32"/>
          <w:lang w:eastAsia="zh-CN"/>
        </w:rPr>
      </w:pPr>
      <w:r>
        <w:rPr>
          <w:rFonts w:hint="eastAsia" w:ascii="楷体_GB2312" w:hAnsi="楷体_GB2312" w:eastAsia="楷体_GB2312" w:cs="楷体_GB2312"/>
          <w:snapToGrid/>
          <w:color w:val="auto"/>
          <w:kern w:val="2"/>
          <w:sz w:val="32"/>
          <w:szCs w:val="32"/>
          <w:lang w:eastAsia="zh-CN"/>
        </w:rPr>
        <w:t>（一）基本信息材料</w:t>
      </w:r>
    </w:p>
    <w:p w14:paraId="174DDAA4">
      <w:pPr>
        <w:pStyle w:val="2"/>
        <w:keepNext w:val="0"/>
        <w:keepLines w:val="0"/>
        <w:pageBreakBefore w:val="0"/>
        <w:wordWrap/>
        <w:overflowPunct/>
        <w:topLinePunct w:val="0"/>
        <w:bidi w:val="0"/>
        <w:spacing w:before="133" w:line="540" w:lineRule="exact"/>
        <w:ind w:left="648"/>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1.有效期内的身份证件扫描件（正反两面都要扫描）。</w:t>
      </w:r>
    </w:p>
    <w:p w14:paraId="1D43B7DF">
      <w:pPr>
        <w:pStyle w:val="2"/>
        <w:keepNext w:val="0"/>
        <w:keepLines w:val="0"/>
        <w:pageBreakBefore w:val="0"/>
        <w:wordWrap/>
        <w:overflowPunct/>
        <w:topLinePunct w:val="0"/>
        <w:bidi w:val="0"/>
        <w:spacing w:before="145" w:line="540" w:lineRule="exact"/>
        <w:ind w:left="22" w:right="119" w:firstLine="620"/>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2.个人近期白底免冠无头饰正面一寸电子证件照片（与报名照片同版，小于190KB），制作教师资格证书时使用。</w:t>
      </w:r>
    </w:p>
    <w:p w14:paraId="2A82C54F">
      <w:pPr>
        <w:pStyle w:val="2"/>
        <w:keepNext w:val="0"/>
        <w:keepLines w:val="0"/>
        <w:pageBreakBefore w:val="0"/>
        <w:wordWrap/>
        <w:overflowPunct/>
        <w:topLinePunct w:val="0"/>
        <w:bidi w:val="0"/>
        <w:spacing w:before="217" w:line="540" w:lineRule="exact"/>
        <w:ind w:left="613"/>
        <w:rPr>
          <w:rFonts w:hint="eastAsia" w:ascii="楷体_GB2312" w:hAnsi="楷体_GB2312" w:eastAsia="楷体_GB2312" w:cs="楷体_GB2312"/>
          <w:snapToGrid/>
          <w:color w:val="auto"/>
          <w:kern w:val="2"/>
          <w:sz w:val="32"/>
          <w:szCs w:val="32"/>
          <w:lang w:eastAsia="zh-CN"/>
        </w:rPr>
      </w:pPr>
      <w:r>
        <w:rPr>
          <w:rFonts w:hint="eastAsia" w:ascii="楷体_GB2312" w:hAnsi="楷体_GB2312" w:eastAsia="楷体_GB2312" w:cs="楷体_GB2312"/>
          <w:snapToGrid/>
          <w:color w:val="auto"/>
          <w:kern w:val="2"/>
          <w:sz w:val="32"/>
          <w:szCs w:val="32"/>
          <w:lang w:eastAsia="zh-CN"/>
        </w:rPr>
        <w:t>（二）所属人员范围材料</w:t>
      </w:r>
    </w:p>
    <w:p w14:paraId="33EB76D1">
      <w:pPr>
        <w:pStyle w:val="2"/>
        <w:keepNext w:val="0"/>
        <w:keepLines w:val="0"/>
        <w:pageBreakBefore w:val="0"/>
        <w:wordWrap/>
        <w:overflowPunct/>
        <w:topLinePunct w:val="0"/>
        <w:bidi w:val="0"/>
        <w:spacing w:before="145" w:line="540" w:lineRule="exact"/>
        <w:ind w:left="22" w:right="119" w:firstLine="620"/>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3.户籍在兵团的已毕业人员需提供户口簿（本人页）扫描件。</w:t>
      </w:r>
    </w:p>
    <w:p w14:paraId="63518CFE">
      <w:pPr>
        <w:pStyle w:val="2"/>
        <w:keepNext w:val="0"/>
        <w:keepLines w:val="0"/>
        <w:pageBreakBefore w:val="0"/>
        <w:wordWrap/>
        <w:overflowPunct/>
        <w:topLinePunct w:val="0"/>
        <w:bidi w:val="0"/>
        <w:spacing w:before="144" w:line="540" w:lineRule="exact"/>
        <w:ind w:left="10" w:right="120" w:firstLine="630"/>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4.持有兵团辖区有效期内居住证的已毕业人员需提供居住证扫描件。</w:t>
      </w:r>
    </w:p>
    <w:p w14:paraId="1BAF9C24">
      <w:pPr>
        <w:pStyle w:val="2"/>
        <w:keepNext w:val="0"/>
        <w:keepLines w:val="0"/>
        <w:pageBreakBefore w:val="0"/>
        <w:wordWrap/>
        <w:overflowPunct/>
        <w:topLinePunct w:val="0"/>
        <w:bidi w:val="0"/>
        <w:spacing w:before="134" w:line="540" w:lineRule="exact"/>
        <w:ind w:left="18" w:right="120" w:firstLine="626"/>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5.全日制应届毕业生、在读专升本学生、在读研究生在就读学校所在地申请认定，需提供注册信息完整的学生证扫描件。</w:t>
      </w:r>
    </w:p>
    <w:p w14:paraId="620BDAEA">
      <w:pPr>
        <w:pStyle w:val="2"/>
        <w:keepNext w:val="0"/>
        <w:keepLines w:val="0"/>
        <w:pageBreakBefore w:val="0"/>
        <w:wordWrap/>
        <w:overflowPunct/>
        <w:topLinePunct w:val="0"/>
        <w:bidi w:val="0"/>
        <w:spacing w:before="135" w:line="540" w:lineRule="exact"/>
        <w:ind w:right="120" w:firstLine="640"/>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6.在读专升本学生、在读研究生在户籍所在地申请认定需出具户口簿（本人页）扫描件。</w:t>
      </w:r>
    </w:p>
    <w:p w14:paraId="4124D6DF">
      <w:pPr>
        <w:pStyle w:val="2"/>
        <w:keepNext w:val="0"/>
        <w:keepLines w:val="0"/>
        <w:pageBreakBefore w:val="0"/>
        <w:wordWrap/>
        <w:overflowPunct/>
        <w:topLinePunct w:val="0"/>
        <w:bidi w:val="0"/>
        <w:spacing w:before="148" w:line="540" w:lineRule="exact"/>
        <w:ind w:left="30" w:right="120" w:firstLine="617"/>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7.驻兵团部队现役军人和现役武警应提供由所属部队或单位的组织人事部门出具的人事关系证明，证明格式依该部队或单位的规定而定，证明应明示申请人属于该驻兵团部队。</w:t>
      </w:r>
    </w:p>
    <w:p w14:paraId="2B8DA96F">
      <w:pPr>
        <w:pStyle w:val="2"/>
        <w:keepNext w:val="0"/>
        <w:keepLines w:val="0"/>
        <w:pageBreakBefore w:val="0"/>
        <w:wordWrap/>
        <w:overflowPunct/>
        <w:topLinePunct w:val="0"/>
        <w:bidi w:val="0"/>
        <w:spacing w:before="217" w:line="540" w:lineRule="exact"/>
        <w:ind w:left="613"/>
        <w:rPr>
          <w:rFonts w:hint="eastAsia" w:ascii="楷体_GB2312" w:hAnsi="楷体_GB2312" w:eastAsia="楷体_GB2312" w:cs="楷体_GB2312"/>
          <w:snapToGrid/>
          <w:color w:val="auto"/>
          <w:kern w:val="2"/>
          <w:sz w:val="32"/>
          <w:szCs w:val="32"/>
          <w:lang w:eastAsia="zh-CN"/>
        </w:rPr>
      </w:pPr>
      <w:r>
        <w:rPr>
          <w:rFonts w:hint="eastAsia" w:ascii="楷体_GB2312" w:hAnsi="楷体_GB2312" w:eastAsia="楷体_GB2312" w:cs="楷体_GB2312"/>
          <w:snapToGrid/>
          <w:color w:val="auto"/>
          <w:kern w:val="2"/>
          <w:sz w:val="32"/>
          <w:szCs w:val="32"/>
          <w:lang w:eastAsia="zh-CN"/>
        </w:rPr>
        <w:t>（三）学历条件材料</w:t>
      </w:r>
    </w:p>
    <w:p w14:paraId="00FAAFEF">
      <w:pPr>
        <w:pStyle w:val="2"/>
        <w:keepNext w:val="0"/>
        <w:keepLines w:val="0"/>
        <w:pageBreakBefore w:val="0"/>
        <w:wordWrap/>
        <w:overflowPunct/>
        <w:topLinePunct w:val="0"/>
        <w:bidi w:val="0"/>
        <w:spacing w:before="133" w:line="540" w:lineRule="exact"/>
        <w:ind w:left="73" w:right="99" w:firstLine="640" w:firstLineChars="200"/>
        <w:jc w:val="both"/>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8.认定教师资格种类要求的学历及相应的毕业证书扫描件。港澳台学历还应同时提交教育部留学服务中心出具的《港澳台学历学位认证书》扫描件，国外学历还应同时提交教育部留学服务中心出具《国外学历学位认证书》的扫描件。学历信息通过中国教师资格网电子信息比对的可不提交。</w:t>
      </w:r>
    </w:p>
    <w:p w14:paraId="3C1A090F">
      <w:pPr>
        <w:pStyle w:val="2"/>
        <w:keepNext w:val="0"/>
        <w:keepLines w:val="0"/>
        <w:pageBreakBefore w:val="0"/>
        <w:wordWrap/>
        <w:overflowPunct/>
        <w:topLinePunct w:val="0"/>
        <w:bidi w:val="0"/>
        <w:spacing w:before="11" w:line="540" w:lineRule="exact"/>
        <w:ind w:left="37" w:firstLine="638"/>
        <w:rPr>
          <w:rFonts w:hint="eastAsia" w:ascii="仿宋_GB2312" w:hAnsi="仿宋_GB2312" w:eastAsia="仿宋_GB2312" w:cs="仿宋_GB2312"/>
          <w:snapToGrid/>
          <w:color w:val="auto"/>
          <w:kern w:val="2"/>
          <w:sz w:val="32"/>
          <w:szCs w:val="32"/>
          <w:lang w:eastAsia="zh-CN"/>
        </w:rPr>
      </w:pPr>
      <w:r>
        <w:rPr>
          <w:rFonts w:hint="eastAsia" w:ascii="仿宋_GB2312" w:hAnsi="仿宋_GB2312" w:eastAsia="仿宋_GB2312" w:cs="仿宋_GB2312"/>
          <w:snapToGrid/>
          <w:color w:val="auto"/>
          <w:kern w:val="2"/>
          <w:sz w:val="32"/>
          <w:szCs w:val="32"/>
          <w:lang w:eastAsia="zh-CN"/>
        </w:rPr>
        <w:t>特别提示：对于中国教师资格网无法直接比对验证的学历，申请人须提交《中国高等教育学历认证报告》或《教育部学历证书电子注册备案表》（网址：</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"https://www.chsi.com.cn/xlcx/bgcx.jsp"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napToGrid/>
          <w:color w:val="auto"/>
          <w:kern w:val="2"/>
          <w:sz w:val="32"/>
          <w:szCs w:val="32"/>
          <w:lang w:eastAsia="zh-CN"/>
        </w:rPr>
        <w:t>https://www.chsi.com.cn/xlcx/bgcx.jsp</w:t>
      </w:r>
      <w:r>
        <w:rPr>
          <w:rFonts w:hint="eastAsia" w:ascii="仿宋_GB2312" w:hAnsi="仿宋_GB2312" w:eastAsia="仿宋_GB2312" w:cs="仿宋_GB2312"/>
          <w:snapToGrid/>
          <w:color w:val="auto"/>
          <w:kern w:val="2"/>
          <w:sz w:val="32"/>
          <w:szCs w:val="32"/>
          <w:lang w:eastAsia="zh-CN"/>
        </w:rPr>
        <w:fldChar w:fldCharType="end"/>
      </w:r>
      <w:r>
        <w:rPr>
          <w:rFonts w:hint="eastAsia" w:ascii="仿宋_GB2312" w:hAnsi="仿宋_GB2312" w:eastAsia="仿宋_GB2312" w:cs="仿宋_GB2312"/>
          <w:snapToGrid/>
          <w:color w:val="auto"/>
          <w:kern w:val="2"/>
          <w:sz w:val="32"/>
          <w:szCs w:val="32"/>
          <w:lang w:eastAsia="zh-CN"/>
        </w:rPr>
        <w:t>，学信网在线申请）扫描件，否则视为不合格学历，将不予受理。建议申请人提前在学信网验证学历，无法验证的及时申请认证报告。就读于成人教育（自学考试、电大、夜大、函授）、网络教育的人员须毕业并取得国民教育系列学历。</w:t>
      </w:r>
    </w:p>
    <w:p w14:paraId="76AB5DBE">
      <w:pPr>
        <w:pStyle w:val="2"/>
        <w:keepNext w:val="0"/>
        <w:keepLines w:val="0"/>
        <w:pageBreakBefore w:val="0"/>
        <w:wordWrap/>
        <w:overflowPunct/>
        <w:topLinePunct w:val="0"/>
        <w:bidi w:val="0"/>
        <w:spacing w:before="217" w:line="540" w:lineRule="exact"/>
        <w:ind w:left="613"/>
        <w:rPr>
          <w:rFonts w:hint="eastAsia" w:ascii="楷体_GB2312" w:hAnsi="楷体_GB2312" w:eastAsia="楷体_GB2312" w:cs="楷体_GB2312"/>
          <w:snapToGrid/>
          <w:color w:val="auto"/>
          <w:kern w:val="2"/>
          <w:sz w:val="32"/>
          <w:szCs w:val="32"/>
          <w:lang w:eastAsia="zh-CN"/>
        </w:rPr>
      </w:pPr>
      <w:r>
        <w:rPr>
          <w:rFonts w:hint="eastAsia" w:ascii="楷体_GB2312" w:hAnsi="楷体_GB2312" w:eastAsia="楷体_GB2312" w:cs="楷体_GB2312"/>
          <w:snapToGrid/>
          <w:color w:val="auto"/>
          <w:kern w:val="2"/>
          <w:sz w:val="32"/>
          <w:szCs w:val="32"/>
          <w:lang w:eastAsia="zh-CN"/>
        </w:rPr>
        <w:t>（四）普通话条件材料</w:t>
      </w:r>
    </w:p>
    <w:p w14:paraId="656926C9">
      <w:pPr>
        <w:pStyle w:val="2"/>
        <w:keepNext w:val="0"/>
        <w:keepLines w:val="0"/>
        <w:pageBreakBefore w:val="0"/>
        <w:wordWrap/>
        <w:overflowPunct/>
        <w:topLinePunct w:val="0"/>
        <w:bidi w:val="0"/>
        <w:spacing w:before="144" w:line="540" w:lineRule="exact"/>
        <w:ind w:right="97" w:firstLine="686"/>
        <w:jc w:val="both"/>
        <w:rPr>
          <w:rFonts w:ascii="仿宋_GB2312" w:hAnsi="Times New Roman" w:eastAsia="仿宋_GB2312" w:cs="Times New Roman"/>
          <w:snapToGrid/>
          <w:color w:val="auto"/>
          <w:kern w:val="2"/>
          <w:sz w:val="32"/>
          <w:szCs w:val="32"/>
          <w:lang w:eastAsia="zh-CN"/>
        </w:rPr>
      </w:pPr>
      <w:r>
        <w:rPr>
          <w:rFonts w:hint="eastAsia" w:ascii="仿宋_GB2312" w:hAnsi="Times New Roman" w:eastAsia="仿宋_GB2312" w:cs="Times New Roman"/>
          <w:snapToGrid/>
          <w:color w:val="auto"/>
          <w:kern w:val="2"/>
          <w:sz w:val="32"/>
          <w:szCs w:val="32"/>
          <w:lang w:eastAsia="zh-CN"/>
        </w:rPr>
        <w:t>9</w:t>
      </w:r>
      <w:r>
        <w:rPr>
          <w:rFonts w:ascii="仿宋_GB2312" w:hAnsi="Times New Roman" w:eastAsia="仿宋_GB2312" w:cs="Times New Roman"/>
          <w:snapToGrid/>
          <w:color w:val="auto"/>
          <w:kern w:val="2"/>
          <w:sz w:val="32"/>
          <w:szCs w:val="32"/>
          <w:lang w:eastAsia="zh-CN"/>
        </w:rPr>
        <w:t>.经中国教师资格网比对核验成功的可不提交</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中国教师资格网无法比对核验成功的申请人普通话水平测试等级的</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需提交《普通话水平测试等级证书》扫描件。</w:t>
      </w:r>
    </w:p>
    <w:p w14:paraId="2EC6B49A">
      <w:pPr>
        <w:pStyle w:val="2"/>
        <w:keepNext w:val="0"/>
        <w:keepLines w:val="0"/>
        <w:pageBreakBefore w:val="0"/>
        <w:wordWrap/>
        <w:overflowPunct/>
        <w:topLinePunct w:val="0"/>
        <w:bidi w:val="0"/>
        <w:spacing w:before="1" w:line="540" w:lineRule="exact"/>
        <w:ind w:left="652"/>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w:t>
      </w:r>
      <w:r>
        <w:rPr>
          <w:rFonts w:hint="eastAsia" w:ascii="楷体_GB2312" w:hAnsi="楷体_GB2312" w:eastAsia="楷体_GB2312" w:cs="楷体_GB2312"/>
          <w:snapToGrid/>
          <w:color w:val="auto"/>
          <w:kern w:val="2"/>
          <w:sz w:val="32"/>
          <w:szCs w:val="32"/>
          <w:lang w:eastAsia="zh-CN"/>
        </w:rPr>
        <w:t>五）教育教学能力条件材料</w:t>
      </w:r>
    </w:p>
    <w:p w14:paraId="54FF6002">
      <w:pPr>
        <w:pStyle w:val="2"/>
        <w:keepNext w:val="0"/>
        <w:keepLines w:val="0"/>
        <w:pageBreakBefore w:val="0"/>
        <w:wordWrap/>
        <w:overflowPunct/>
        <w:topLinePunct w:val="0"/>
        <w:bidi w:val="0"/>
        <w:spacing w:before="179" w:line="540" w:lineRule="exact"/>
        <w:ind w:left="46" w:right="99" w:firstLine="640"/>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1</w:t>
      </w:r>
      <w:r>
        <w:rPr>
          <w:rFonts w:hint="eastAsia" w:ascii="仿宋_GB2312" w:hAnsi="Times New Roman" w:eastAsia="仿宋_GB2312" w:cs="Times New Roman"/>
          <w:snapToGrid/>
          <w:color w:val="auto"/>
          <w:kern w:val="2"/>
          <w:sz w:val="32"/>
          <w:szCs w:val="32"/>
          <w:lang w:eastAsia="zh-CN"/>
        </w:rPr>
        <w:t>0</w:t>
      </w:r>
      <w:r>
        <w:rPr>
          <w:rFonts w:ascii="仿宋_GB2312" w:hAnsi="Times New Roman" w:eastAsia="仿宋_GB2312" w:cs="Times New Roman"/>
          <w:snapToGrid/>
          <w:color w:val="auto"/>
          <w:kern w:val="2"/>
          <w:sz w:val="32"/>
          <w:szCs w:val="32"/>
          <w:lang w:eastAsia="zh-CN"/>
        </w:rPr>
        <w:t>.《中小学教师资格考试合格证明》或《师范生教师职业能力证书》通过中国教师资格网报名系统比对核验</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无需提交。</w:t>
      </w:r>
    </w:p>
    <w:p w14:paraId="558871DC">
      <w:pPr>
        <w:pStyle w:val="2"/>
        <w:keepNext w:val="0"/>
        <w:keepLines w:val="0"/>
        <w:pageBreakBefore w:val="0"/>
        <w:wordWrap/>
        <w:overflowPunct/>
        <w:topLinePunct w:val="0"/>
        <w:bidi w:val="0"/>
        <w:spacing w:before="1" w:line="540" w:lineRule="exact"/>
        <w:ind w:left="652"/>
        <w:rPr>
          <w:rFonts w:hint="eastAsia" w:ascii="楷体_GB2312" w:hAnsi="楷体_GB2312" w:eastAsia="楷体_GB2312" w:cs="楷体_GB2312"/>
          <w:snapToGrid/>
          <w:color w:val="auto"/>
          <w:kern w:val="2"/>
          <w:sz w:val="32"/>
          <w:szCs w:val="32"/>
          <w:lang w:eastAsia="zh-CN"/>
        </w:rPr>
      </w:pPr>
      <w:r>
        <w:rPr>
          <w:rFonts w:hint="eastAsia" w:ascii="楷体_GB2312" w:hAnsi="楷体_GB2312" w:eastAsia="楷体_GB2312" w:cs="楷体_GB2312"/>
          <w:snapToGrid/>
          <w:color w:val="auto"/>
          <w:kern w:val="2"/>
          <w:sz w:val="32"/>
          <w:szCs w:val="32"/>
          <w:lang w:eastAsia="zh-CN"/>
        </w:rPr>
        <w:t>（六）身体条件材料（认定机构对接体检医院获取）</w:t>
      </w:r>
    </w:p>
    <w:p w14:paraId="4798149A">
      <w:pPr>
        <w:pStyle w:val="2"/>
        <w:keepNext w:val="0"/>
        <w:keepLines w:val="0"/>
        <w:pageBreakBefore w:val="0"/>
        <w:wordWrap/>
        <w:overflowPunct/>
        <w:topLinePunct w:val="0"/>
        <w:bidi w:val="0"/>
        <w:spacing w:before="145" w:line="540" w:lineRule="exact"/>
        <w:ind w:right="50" w:firstLine="648"/>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1</w:t>
      </w:r>
      <w:r>
        <w:rPr>
          <w:rFonts w:hint="eastAsia" w:ascii="仿宋_GB2312" w:hAnsi="Times New Roman" w:eastAsia="仿宋_GB2312" w:cs="Times New Roman"/>
          <w:snapToGrid/>
          <w:color w:val="auto"/>
          <w:kern w:val="2"/>
          <w:sz w:val="32"/>
          <w:szCs w:val="32"/>
          <w:lang w:eastAsia="zh-CN"/>
        </w:rPr>
        <w:t>1</w:t>
      </w:r>
      <w:r>
        <w:rPr>
          <w:rFonts w:ascii="仿宋_GB2312" w:hAnsi="Times New Roman" w:eastAsia="仿宋_GB2312" w:cs="Times New Roman"/>
          <w:snapToGrid/>
          <w:color w:val="auto"/>
          <w:kern w:val="2"/>
          <w:sz w:val="32"/>
          <w:szCs w:val="32"/>
          <w:lang w:eastAsia="zh-CN"/>
        </w:rPr>
        <w:t>.明确标注“合格”或“不合格”体检结论的《新疆生产建设兵团教师资格申请人员体检表</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扫描件（体检结果当次有效）。</w:t>
      </w:r>
    </w:p>
    <w:p w14:paraId="16B61E37">
      <w:pPr>
        <w:pStyle w:val="2"/>
        <w:keepNext w:val="0"/>
        <w:keepLines w:val="0"/>
        <w:pageBreakBefore w:val="0"/>
        <w:wordWrap/>
        <w:overflowPunct/>
        <w:topLinePunct w:val="0"/>
        <w:bidi w:val="0"/>
        <w:spacing w:before="3" w:line="540" w:lineRule="exact"/>
        <w:ind w:left="2" w:firstLine="636"/>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特别提示：体检表必须盖有当地认定机构指定医院的红色印章。</w:t>
      </w:r>
    </w:p>
    <w:p w14:paraId="2783321E">
      <w:pPr>
        <w:pStyle w:val="2"/>
        <w:keepNext w:val="0"/>
        <w:keepLines w:val="0"/>
        <w:pageBreakBefore w:val="0"/>
        <w:wordWrap/>
        <w:overflowPunct/>
        <w:topLinePunct w:val="0"/>
        <w:bidi w:val="0"/>
        <w:spacing w:before="1" w:line="540" w:lineRule="exact"/>
        <w:ind w:left="652"/>
        <w:rPr>
          <w:rFonts w:hint="eastAsia" w:ascii="楷体_GB2312" w:hAnsi="楷体_GB2312" w:eastAsia="楷体_GB2312" w:cs="楷体_GB2312"/>
          <w:snapToGrid/>
          <w:color w:val="auto"/>
          <w:kern w:val="2"/>
          <w:sz w:val="32"/>
          <w:szCs w:val="32"/>
          <w:lang w:eastAsia="zh-CN"/>
        </w:rPr>
      </w:pPr>
      <w:r>
        <w:rPr>
          <w:rFonts w:hint="eastAsia" w:ascii="楷体_GB2312" w:hAnsi="楷体_GB2312" w:eastAsia="楷体_GB2312" w:cs="楷体_GB2312"/>
          <w:snapToGrid/>
          <w:color w:val="auto"/>
          <w:kern w:val="2"/>
          <w:sz w:val="32"/>
          <w:szCs w:val="32"/>
          <w:lang w:eastAsia="zh-CN"/>
        </w:rPr>
        <w:t>（七）无犯罪记录证明</w:t>
      </w:r>
    </w:p>
    <w:p w14:paraId="12C701FB">
      <w:pPr>
        <w:pStyle w:val="2"/>
        <w:keepNext w:val="0"/>
        <w:keepLines w:val="0"/>
        <w:pageBreakBefore w:val="0"/>
        <w:wordWrap/>
        <w:overflowPunct/>
        <w:topLinePunct w:val="0"/>
        <w:bidi w:val="0"/>
        <w:spacing w:before="143" w:line="540" w:lineRule="exact"/>
        <w:ind w:left="1" w:right="170" w:firstLine="646"/>
        <w:jc w:val="both"/>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1</w:t>
      </w:r>
      <w:r>
        <w:rPr>
          <w:rFonts w:hint="eastAsia" w:ascii="仿宋_GB2312" w:hAnsi="Times New Roman" w:eastAsia="仿宋_GB2312" w:cs="Times New Roman"/>
          <w:snapToGrid/>
          <w:color w:val="auto"/>
          <w:kern w:val="2"/>
          <w:sz w:val="32"/>
          <w:szCs w:val="32"/>
          <w:lang w:eastAsia="zh-CN"/>
        </w:rPr>
        <w:t>2</w:t>
      </w:r>
      <w:r>
        <w:rPr>
          <w:rFonts w:ascii="仿宋_GB2312" w:hAnsi="Times New Roman" w:eastAsia="仿宋_GB2312" w:cs="Times New Roman"/>
          <w:snapToGrid/>
          <w:color w:val="auto"/>
          <w:kern w:val="2"/>
          <w:sz w:val="32"/>
          <w:szCs w:val="32"/>
          <w:lang w:eastAsia="zh-CN"/>
        </w:rPr>
        <w:t>.内地（大陆）申请人的无犯罪记录证明由各师认定机构到公安机关统一核查。港澳台居民须由申请人自行前往香港特别行政区 、澳门特别行政区或中国台湾地区的有关部门开具无犯罪记录证明 。香港、澳门申请人需由教育行政部门协助提供函件的，通过各师认定机构与兵团教育局联系出具。</w:t>
      </w:r>
    </w:p>
    <w:p w14:paraId="31E05769">
      <w:pPr>
        <w:pStyle w:val="2"/>
        <w:keepNext w:val="0"/>
        <w:keepLines w:val="0"/>
        <w:pageBreakBefore w:val="0"/>
        <w:wordWrap/>
        <w:overflowPunct/>
        <w:topLinePunct w:val="0"/>
        <w:bidi w:val="0"/>
        <w:spacing w:before="1" w:line="540" w:lineRule="exact"/>
        <w:ind w:left="652"/>
        <w:rPr>
          <w:rFonts w:hint="eastAsia" w:ascii="楷体_GB2312" w:hAnsi="楷体_GB2312" w:eastAsia="楷体_GB2312" w:cs="楷体_GB2312"/>
          <w:snapToGrid/>
          <w:color w:val="auto"/>
          <w:kern w:val="2"/>
          <w:sz w:val="32"/>
          <w:szCs w:val="32"/>
          <w:lang w:eastAsia="zh-CN"/>
        </w:rPr>
      </w:pPr>
      <w:r>
        <w:rPr>
          <w:rFonts w:hint="eastAsia" w:ascii="楷体_GB2312" w:hAnsi="楷体_GB2312" w:eastAsia="楷体_GB2312" w:cs="楷体_GB2312"/>
          <w:snapToGrid/>
          <w:color w:val="auto"/>
          <w:kern w:val="2"/>
          <w:sz w:val="32"/>
          <w:szCs w:val="32"/>
          <w:lang w:eastAsia="zh-CN"/>
        </w:rPr>
        <w:t>（八）其他条件材料</w:t>
      </w:r>
    </w:p>
    <w:p w14:paraId="212E3944">
      <w:pPr>
        <w:pStyle w:val="2"/>
        <w:keepNext w:val="0"/>
        <w:keepLines w:val="0"/>
        <w:pageBreakBefore w:val="0"/>
        <w:wordWrap/>
        <w:overflowPunct/>
        <w:topLinePunct w:val="0"/>
        <w:bidi w:val="0"/>
        <w:spacing w:before="144" w:line="540" w:lineRule="exact"/>
        <w:ind w:right="170" w:firstLine="648"/>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1</w:t>
      </w:r>
      <w:r>
        <w:rPr>
          <w:rFonts w:hint="eastAsia" w:ascii="仿宋_GB2312" w:hAnsi="Times New Roman" w:eastAsia="仿宋_GB2312" w:cs="Times New Roman"/>
          <w:snapToGrid/>
          <w:color w:val="auto"/>
          <w:kern w:val="2"/>
          <w:sz w:val="32"/>
          <w:szCs w:val="32"/>
          <w:lang w:eastAsia="zh-CN"/>
        </w:rPr>
        <w:t>3</w:t>
      </w:r>
      <w:r>
        <w:rPr>
          <w:rFonts w:ascii="仿宋_GB2312" w:hAnsi="Times New Roman" w:eastAsia="仿宋_GB2312" w:cs="Times New Roman"/>
          <w:snapToGrid/>
          <w:color w:val="auto"/>
          <w:kern w:val="2"/>
          <w:sz w:val="32"/>
          <w:szCs w:val="32"/>
          <w:lang w:eastAsia="zh-CN"/>
        </w:rPr>
        <w:t>.申请认定中等职业学校实习指导教师资格者，须提交相当助理工程师及其以上专业技术职务或者中级及其以上工人技术等级证书扫描件。</w:t>
      </w:r>
    </w:p>
    <w:p w14:paraId="408F1E14">
      <w:pPr>
        <w:pStyle w:val="2"/>
        <w:keepNext w:val="0"/>
        <w:keepLines w:val="0"/>
        <w:pageBreakBefore w:val="0"/>
        <w:wordWrap/>
        <w:overflowPunct/>
        <w:topLinePunct w:val="0"/>
        <w:bidi w:val="0"/>
        <w:spacing w:before="135" w:line="540" w:lineRule="exact"/>
        <w:ind w:left="648"/>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1</w:t>
      </w:r>
      <w:r>
        <w:rPr>
          <w:rFonts w:hint="eastAsia" w:ascii="仿宋_GB2312" w:hAnsi="Times New Roman" w:eastAsia="仿宋_GB2312" w:cs="Times New Roman"/>
          <w:snapToGrid/>
          <w:color w:val="auto"/>
          <w:kern w:val="2"/>
          <w:sz w:val="32"/>
          <w:szCs w:val="32"/>
          <w:lang w:eastAsia="zh-CN"/>
        </w:rPr>
        <w:t>4</w:t>
      </w:r>
      <w:r>
        <w:rPr>
          <w:rFonts w:ascii="仿宋_GB2312" w:hAnsi="Times New Roman" w:eastAsia="仿宋_GB2312" w:cs="Times New Roman"/>
          <w:snapToGrid/>
          <w:color w:val="auto"/>
          <w:kern w:val="2"/>
          <w:sz w:val="32"/>
          <w:szCs w:val="32"/>
          <w:lang w:eastAsia="zh-CN"/>
        </w:rPr>
        <w:t>.当地教师资格认定机构要求提供的其他材料。</w:t>
      </w:r>
    </w:p>
    <w:p w14:paraId="30E5569A">
      <w:pPr>
        <w:pStyle w:val="2"/>
        <w:keepNext w:val="0"/>
        <w:keepLines w:val="0"/>
        <w:pageBreakBefore w:val="0"/>
        <w:wordWrap/>
        <w:overflowPunct/>
        <w:topLinePunct w:val="0"/>
        <w:bidi w:val="0"/>
        <w:spacing w:before="134" w:line="540" w:lineRule="exact"/>
        <w:ind w:right="168" w:firstLine="692"/>
        <w:jc w:val="both"/>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申请人在以上任何环节有弄虚作假、骗取教师资格行为的，一经查实</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依照弄虚作假</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骗取教师资格处理</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自发现之日起5年内不得重新申请认定教师资格。</w:t>
      </w:r>
    </w:p>
    <w:p w14:paraId="433A9CCB">
      <w:pPr>
        <w:keepNext w:val="0"/>
        <w:keepLines w:val="0"/>
        <w:pageBreakBefore w:val="0"/>
        <w:wordWrap/>
        <w:overflowPunct/>
        <w:topLinePunct w:val="0"/>
        <w:bidi w:val="0"/>
        <w:spacing w:line="540" w:lineRule="exact"/>
        <w:ind w:left="631"/>
        <w:rPr>
          <w:rFonts w:hint="eastAsia" w:ascii="国标黑体" w:hAnsi="国标黑体" w:eastAsia="国标黑体" w:cs="国标黑体"/>
          <w:b w:val="0"/>
          <w:bCs/>
          <w:snapToGrid/>
          <w:color w:val="auto"/>
          <w:kern w:val="2"/>
          <w:sz w:val="32"/>
          <w:szCs w:val="32"/>
          <w:lang w:eastAsia="zh-CN"/>
        </w:rPr>
      </w:pPr>
      <w:r>
        <w:rPr>
          <w:rFonts w:hint="eastAsia" w:ascii="国标黑体" w:hAnsi="国标黑体" w:eastAsia="国标黑体" w:cs="国标黑体"/>
          <w:b w:val="0"/>
          <w:bCs/>
          <w:snapToGrid/>
          <w:color w:val="auto"/>
          <w:kern w:val="2"/>
          <w:sz w:val="32"/>
          <w:szCs w:val="32"/>
          <w:lang w:eastAsia="zh-CN"/>
        </w:rPr>
        <w:t>三、其他须知事项</w:t>
      </w:r>
    </w:p>
    <w:p w14:paraId="4DDA8667">
      <w:pPr>
        <w:pStyle w:val="2"/>
        <w:keepNext w:val="0"/>
        <w:keepLines w:val="0"/>
        <w:pageBreakBefore w:val="0"/>
        <w:wordWrap/>
        <w:overflowPunct/>
        <w:topLinePunct w:val="0"/>
        <w:bidi w:val="0"/>
        <w:spacing w:before="211" w:line="540" w:lineRule="exact"/>
        <w:ind w:left="1" w:firstLine="613"/>
        <w:jc w:val="both"/>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（一）对于应届毕业生使用学籍信息报名获得教师资格人员，在认定通过且取得毕业证书后</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应及时完成补充学历操作，才能实现在线查询本人本次教师资格证书信息，未完成补充学历信息的申请人不能在线查询本人本次教师资格证书信息</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补充学历操作方法见中国教师资格网（</w:t>
      </w:r>
      <w:r>
        <w:fldChar w:fldCharType="begin"/>
      </w:r>
      <w:r>
        <w:instrText xml:space="preserve"> HYPERLINK "https://www.jszg.edu.cn" </w:instrText>
      </w:r>
      <w:r>
        <w:fldChar w:fldCharType="separate"/>
      </w:r>
      <w:r>
        <w:rPr>
          <w:rFonts w:ascii="仿宋_GB2312" w:hAnsi="Times New Roman" w:eastAsia="仿宋_GB2312" w:cs="Times New Roman"/>
          <w:snapToGrid/>
          <w:color w:val="auto"/>
          <w:kern w:val="2"/>
          <w:sz w:val="32"/>
          <w:szCs w:val="32"/>
          <w:lang w:eastAsia="zh-CN"/>
        </w:rPr>
        <w:t>https://www.jszg.edu.cn</w:t>
      </w:r>
      <w:r>
        <w:rPr>
          <w:rFonts w:ascii="仿宋_GB2312" w:hAnsi="Times New Roman" w:eastAsia="仿宋_GB2312" w:cs="Times New Roman"/>
          <w:snapToGrid/>
          <w:color w:val="auto"/>
          <w:kern w:val="2"/>
          <w:sz w:val="32"/>
          <w:szCs w:val="32"/>
          <w:lang w:eastAsia="zh-CN"/>
        </w:rPr>
        <w:fldChar w:fldCharType="end"/>
      </w:r>
      <w:r>
        <w:rPr>
          <w:rFonts w:ascii="仿宋_GB2312" w:hAnsi="Times New Roman" w:eastAsia="仿宋_GB2312" w:cs="Times New Roman"/>
          <w:snapToGrid/>
          <w:color w:val="auto"/>
          <w:kern w:val="2"/>
          <w:sz w:val="32"/>
          <w:szCs w:val="32"/>
          <w:lang w:eastAsia="zh-CN"/>
        </w:rPr>
        <w:t>）“咨询服务—使用手册”栏目的《教师资格认定申请人使用手册》。</w:t>
      </w:r>
    </w:p>
    <w:p w14:paraId="45923713">
      <w:pPr>
        <w:pStyle w:val="2"/>
        <w:keepNext w:val="0"/>
        <w:keepLines w:val="0"/>
        <w:pageBreakBefore w:val="0"/>
        <w:wordWrap/>
        <w:overflowPunct/>
        <w:topLinePunct w:val="0"/>
        <w:bidi w:val="0"/>
        <w:spacing w:before="3" w:line="540" w:lineRule="exact"/>
        <w:ind w:left="6" w:right="260" w:firstLine="648"/>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没有如期毕业的应届毕业生</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认定机构将在当次认定工作结束后取消认定结论。</w:t>
      </w:r>
    </w:p>
    <w:p w14:paraId="01B6CAA0">
      <w:pPr>
        <w:pStyle w:val="2"/>
        <w:keepNext w:val="0"/>
        <w:keepLines w:val="0"/>
        <w:pageBreakBefore w:val="0"/>
        <w:wordWrap/>
        <w:overflowPunct/>
        <w:topLinePunct w:val="0"/>
        <w:bidi w:val="0"/>
        <w:spacing w:line="540" w:lineRule="exact"/>
        <w:ind w:left="30" w:right="260" w:firstLine="584"/>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（二）申请人每年只能申请认定一种教师资格</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成功认定后的当年在全国范围内不能再申请第二种教师资格。</w:t>
      </w:r>
    </w:p>
    <w:p w14:paraId="7130542F">
      <w:pPr>
        <w:pStyle w:val="2"/>
        <w:keepNext w:val="0"/>
        <w:keepLines w:val="0"/>
        <w:pageBreakBefore w:val="0"/>
        <w:widowControl/>
        <w:kinsoku w:val="0"/>
        <w:wordWrap/>
        <w:overflowPunct/>
        <w:topLinePunct w:val="0"/>
        <w:autoSpaceDE w:val="0"/>
        <w:autoSpaceDN w:val="0"/>
        <w:bidi w:val="0"/>
        <w:adjustRightInd w:val="0"/>
        <w:snapToGrid w:val="0"/>
        <w:spacing w:before="136" w:line="540" w:lineRule="exact"/>
        <w:ind w:left="18" w:right="260" w:firstLine="596"/>
        <w:textAlignment w:val="baseline"/>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（三）禁止委托学校或任何机构代替报名</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对违反规定而影响申请教师资格的</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责任由申请人本人承担。</w:t>
      </w:r>
    </w:p>
    <w:p w14:paraId="72F47732">
      <w:pPr>
        <w:pStyle w:val="2"/>
        <w:keepNext w:val="0"/>
        <w:keepLines w:val="0"/>
        <w:pageBreakBefore w:val="0"/>
        <w:widowControl/>
        <w:kinsoku w:val="0"/>
        <w:wordWrap/>
        <w:overflowPunct/>
        <w:topLinePunct w:val="0"/>
        <w:autoSpaceDE w:val="0"/>
        <w:autoSpaceDN w:val="0"/>
        <w:bidi w:val="0"/>
        <w:adjustRightInd w:val="0"/>
        <w:snapToGrid w:val="0"/>
        <w:spacing w:before="136" w:line="540" w:lineRule="exact"/>
        <w:ind w:left="10" w:right="258" w:firstLine="604"/>
        <w:textAlignment w:val="baseline"/>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（四）申请人需规范扫描上传所需申报材料</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因申请人扫描不规范</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不清楚导致无法审核的</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责任由申请人本人承担。</w:t>
      </w:r>
    </w:p>
    <w:p w14:paraId="26C32422">
      <w:pPr>
        <w:pStyle w:val="2"/>
        <w:keepNext w:val="0"/>
        <w:keepLines w:val="0"/>
        <w:pageBreakBefore w:val="0"/>
        <w:widowControl/>
        <w:kinsoku w:val="0"/>
        <w:wordWrap/>
        <w:overflowPunct/>
        <w:topLinePunct w:val="0"/>
        <w:autoSpaceDE w:val="0"/>
        <w:autoSpaceDN w:val="0"/>
        <w:bidi w:val="0"/>
        <w:adjustRightInd w:val="0"/>
        <w:snapToGrid w:val="0"/>
        <w:spacing w:before="1" w:line="540" w:lineRule="exact"/>
        <w:ind w:firstLine="610"/>
        <w:jc w:val="both"/>
        <w:textAlignment w:val="baseline"/>
        <w:rPr>
          <w:rFonts w:ascii="仿宋_GB2312" w:hAnsi="Times New Roman" w:eastAsia="仿宋_GB2312" w:cs="Times New Roman"/>
          <w:snapToGrid/>
          <w:color w:val="auto"/>
          <w:kern w:val="2"/>
          <w:sz w:val="32"/>
          <w:szCs w:val="32"/>
          <w:lang w:eastAsia="zh-CN"/>
        </w:rPr>
      </w:pPr>
      <w:r>
        <w:rPr>
          <w:rFonts w:ascii="仿宋_GB2312" w:hAnsi="Times New Roman" w:eastAsia="仿宋_GB2312" w:cs="Times New Roman"/>
          <w:snapToGrid/>
          <w:color w:val="auto"/>
          <w:kern w:val="2"/>
          <w:sz w:val="32"/>
          <w:szCs w:val="32"/>
          <w:lang w:eastAsia="zh-CN"/>
        </w:rPr>
        <w:t>（</w:t>
      </w:r>
      <w:r>
        <w:rPr>
          <w:rFonts w:hint="eastAsia" w:ascii="仿宋_GB2312" w:hAnsi="Times New Roman" w:eastAsia="仿宋_GB2312" w:cs="Times New Roman"/>
          <w:snapToGrid/>
          <w:color w:val="auto"/>
          <w:kern w:val="2"/>
          <w:sz w:val="32"/>
          <w:szCs w:val="32"/>
          <w:lang w:eastAsia="zh-CN"/>
        </w:rPr>
        <w:t>五</w:t>
      </w:r>
      <w:r>
        <w:rPr>
          <w:rFonts w:ascii="仿宋_GB2312" w:hAnsi="Times New Roman" w:eastAsia="仿宋_GB2312" w:cs="Times New Roman"/>
          <w:snapToGrid/>
          <w:color w:val="auto"/>
          <w:kern w:val="2"/>
          <w:sz w:val="32"/>
          <w:szCs w:val="32"/>
          <w:lang w:eastAsia="zh-CN"/>
        </w:rPr>
        <w:t>）其他未尽事宜请关注认定机构发布的通知公告，请申请人务必及时查阅</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以免错过认定机构的工作安排</w:t>
      </w:r>
      <w:r>
        <w:rPr>
          <w:rFonts w:hint="eastAsia" w:ascii="仿宋_GB2312" w:hAnsi="Times New Roman" w:eastAsia="仿宋_GB2312" w:cs="Times New Roman"/>
          <w:snapToGrid/>
          <w:color w:val="auto"/>
          <w:kern w:val="2"/>
          <w:sz w:val="32"/>
          <w:szCs w:val="32"/>
          <w:lang w:eastAsia="zh-CN"/>
        </w:rPr>
        <w:t>。</w:t>
      </w:r>
      <w:r>
        <w:rPr>
          <w:rFonts w:ascii="仿宋_GB2312" w:hAnsi="Times New Roman" w:eastAsia="仿宋_GB2312" w:cs="Times New Roman"/>
          <w:snapToGrid/>
          <w:color w:val="auto"/>
          <w:kern w:val="2"/>
          <w:sz w:val="32"/>
          <w:szCs w:val="32"/>
          <w:lang w:eastAsia="zh-CN"/>
        </w:rPr>
        <w:t>如对教师资格认定具体要求有疑问，可咨询认定机构。教师资格申请报名过程中遇到问题可参考“中国教师资格网”—“咨询服务”栏目下“使用手册”和“常见问题”相关说明，或拨打网站咨询电话。</w:t>
      </w:r>
    </w:p>
    <w:sectPr>
      <w:pgSz w:w="11906" w:h="16838"/>
      <w:pgMar w:top="2098" w:right="1417"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roman"/>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国标黑体">
    <w:panose1 w:val="020005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D4C7A"/>
    <w:rsid w:val="000F2828"/>
    <w:rsid w:val="001E2B50"/>
    <w:rsid w:val="002D3E63"/>
    <w:rsid w:val="00333791"/>
    <w:rsid w:val="003F4B9A"/>
    <w:rsid w:val="00525F17"/>
    <w:rsid w:val="00592B69"/>
    <w:rsid w:val="006E1E0A"/>
    <w:rsid w:val="00890A95"/>
    <w:rsid w:val="00BD4C7A"/>
    <w:rsid w:val="00D01DB0"/>
    <w:rsid w:val="00DC629E"/>
    <w:rsid w:val="1CBFA57D"/>
    <w:rsid w:val="42C1437D"/>
    <w:rsid w:val="D95FA140"/>
    <w:rsid w:val="FFE0B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kern w:val="0"/>
      <w:sz w:val="21"/>
      <w:szCs w:val="21"/>
      <w:lang w:val="en-US"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
    <w:semiHidden/>
    <w:qFormat/>
    <w:uiPriority w:val="0"/>
    <w:rPr>
      <w:rFonts w:ascii="微软雅黑" w:hAnsi="微软雅黑" w:eastAsia="微软雅黑" w:cs="微软雅黑"/>
      <w:sz w:val="31"/>
      <w:szCs w:val="31"/>
    </w:rPr>
  </w:style>
  <w:style w:type="character" w:customStyle="1" w:styleId="5">
    <w:name w:val="正文文本 Char"/>
    <w:basedOn w:val="4"/>
    <w:link w:val="2"/>
    <w:semiHidden/>
    <w:qFormat/>
    <w:uiPriority w:val="0"/>
    <w:rPr>
      <w:rFonts w:ascii="微软雅黑" w:hAnsi="微软雅黑" w:eastAsia="微软雅黑" w:cs="微软雅黑"/>
      <w:snapToGrid w:val="0"/>
      <w:color w:val="000000"/>
      <w:kern w:val="0"/>
      <w:sz w:val="31"/>
      <w:szCs w:val="31"/>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2321</Words>
  <Characters>2409</Characters>
  <Lines>18</Lines>
  <Paragraphs>5</Paragraphs>
  <TotalTime>42</TotalTime>
  <ScaleCrop>false</ScaleCrop>
  <LinksUpToDate>false</LinksUpToDate>
  <CharactersWithSpaces>2439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2026-04-08T05:31:00Z</dcterms:created>
  <dc:creator>Administrator</dc:creator>
  <cp:lastModifiedBy>李能能</cp:lastModifiedBy>
  <cp:lastPrinted>2026-11-04T11:20:19Z</cp:lastPrinted>
  <dcterms:modified xsi:type="dcterms:W3CDTF">2026-11-04T11:20:57Z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eyJoZGlkIjoiZGUyYWNmMDQxYTdkYjAwM2VkYTQ3M2E2OTdjNGQ3NTciLCJ1c2VySWQiOiI1NTU4NjQyMTQifQ==</vt:lpwstr>
  </property>
  <property fmtid="{D5CDD505-2E9C-101B-9397-08002B2CF9AE}" pid="3" name="KSOProductBuildVer">
    <vt:lpwstr>2052-12.8.2.1119</vt:lpwstr>
  </property>
  <property fmtid="{D5CDD505-2E9C-101B-9397-08002B2CF9AE}" pid="4" name="ICV">
    <vt:lpwstr>996950485CFA4370AD9F288D21DB06AE_12</vt:lpwstr>
  </property>
</Properties>
</file>