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18B1E2">
      <w:pPr>
        <w:pageBreakBefore w:val="0"/>
        <w:widowControl w:val="0"/>
        <w:kinsoku/>
        <w:topLinePunct w:val="0"/>
        <w:autoSpaceDE/>
        <w:autoSpaceDN/>
        <w:bidi w:val="0"/>
        <w:adjustRightInd/>
        <w:snapToGrid/>
        <w:spacing w:line="560" w:lineRule="exact"/>
        <w:textAlignment w:val="auto"/>
        <w:rPr>
          <w:rFonts w:hint="default" w:ascii="Times New Roman" w:hAnsi="Times New Roman" w:eastAsia="黑体" w:cs="Times New Roman"/>
          <w:b w:val="0"/>
          <w:bCs/>
          <w:color w:val="000000" w:themeColor="text1"/>
          <w:sz w:val="28"/>
          <w:szCs w:val="28"/>
          <w14:textFill>
            <w14:solidFill>
              <w14:schemeClr w14:val="tx1"/>
            </w14:solidFill>
          </w14:textFill>
        </w:rPr>
      </w:pPr>
      <w:r>
        <w:rPr>
          <w:rFonts w:hint="default" w:ascii="Times New Roman" w:hAnsi="Times New Roman" w:eastAsia="黑体" w:cs="Times New Roman"/>
          <w:b w:val="0"/>
          <w:bCs/>
          <w:color w:val="000000" w:themeColor="text1"/>
          <w:sz w:val="28"/>
          <w:szCs w:val="28"/>
          <w14:textFill>
            <w14:solidFill>
              <w14:schemeClr w14:val="tx1"/>
            </w14:solidFill>
          </w14:textFill>
        </w:rPr>
        <w:t>附件1</w:t>
      </w:r>
    </w:p>
    <w:p w14:paraId="0942565D">
      <w:pPr>
        <w:pStyle w:val="3"/>
        <w:pageBreakBefore w:val="0"/>
        <w:widowControl w:val="0"/>
        <w:kinsoku/>
        <w:wordWrap/>
        <w:overflowPunct w:val="0"/>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val="0"/>
          <w:bCs/>
          <w:color w:val="000000" w:themeColor="text1"/>
          <w:sz w:val="44"/>
          <w:szCs w:val="44"/>
          <w14:textFill>
            <w14:solidFill>
              <w14:schemeClr w14:val="tx1"/>
            </w14:solidFill>
          </w14:textFill>
        </w:rPr>
      </w:pPr>
    </w:p>
    <w:p w14:paraId="7C014FB9">
      <w:pPr>
        <w:pStyle w:val="3"/>
        <w:pageBreakBefore w:val="0"/>
        <w:widowControl w:val="0"/>
        <w:kinsoku/>
        <w:wordWrap/>
        <w:overflowPunct w:val="0"/>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val="0"/>
          <w:bCs/>
          <w:color w:val="000000" w:themeColor="text1"/>
          <w:sz w:val="44"/>
          <w:szCs w:val="44"/>
          <w14:textFill>
            <w14:solidFill>
              <w14:schemeClr w14:val="tx1"/>
            </w14:solidFill>
          </w14:textFill>
        </w:rPr>
      </w:pPr>
      <w:bookmarkStart w:id="0" w:name="_GoBack"/>
      <w:r>
        <w:rPr>
          <w:rFonts w:hint="default" w:ascii="Times New Roman" w:hAnsi="Times New Roman" w:eastAsia="方正小标宋简体" w:cs="Times New Roman"/>
          <w:b w:val="0"/>
          <w:bCs/>
          <w:color w:val="000000" w:themeColor="text1"/>
          <w:sz w:val="44"/>
          <w:szCs w:val="44"/>
          <w14:textFill>
            <w14:solidFill>
              <w14:schemeClr w14:val="tx1"/>
            </w14:solidFill>
          </w14:textFill>
        </w:rPr>
        <w:t>工程建设项目招标投标领域交易活动</w:t>
      </w:r>
    </w:p>
    <w:p w14:paraId="30F94182">
      <w:pPr>
        <w:pStyle w:val="3"/>
        <w:pageBreakBefore w:val="0"/>
        <w:widowControl w:val="0"/>
        <w:kinsoku/>
        <w:wordWrap/>
        <w:overflowPunct w:val="0"/>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val="0"/>
          <w:bCs/>
          <w:color w:val="000000" w:themeColor="text1"/>
          <w:sz w:val="44"/>
          <w:szCs w:val="44"/>
          <w14:textFill>
            <w14:solidFill>
              <w14:schemeClr w14:val="tx1"/>
            </w14:solidFill>
          </w14:textFill>
        </w:rPr>
      </w:pPr>
      <w:r>
        <w:rPr>
          <w:rFonts w:hint="default" w:ascii="Times New Roman" w:hAnsi="Times New Roman" w:eastAsia="方正小标宋简体" w:cs="Times New Roman"/>
          <w:b w:val="0"/>
          <w:bCs/>
          <w:color w:val="000000" w:themeColor="text1"/>
          <w:sz w:val="44"/>
          <w:szCs w:val="44"/>
          <w14:textFill>
            <w14:solidFill>
              <w14:schemeClr w14:val="tx1"/>
            </w14:solidFill>
          </w14:textFill>
        </w:rPr>
        <w:t>投诉受理指引</w:t>
      </w:r>
    </w:p>
    <w:bookmarkEnd w:id="0"/>
    <w:p w14:paraId="39035DDD">
      <w:pPr>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000000" w:themeColor="text1"/>
          <w:sz w:val="32"/>
          <w:szCs w:val="32"/>
          <w14:textFill>
            <w14:solidFill>
              <w14:schemeClr w14:val="tx1"/>
            </w14:solidFill>
          </w14:textFill>
        </w:rPr>
      </w:pPr>
    </w:p>
    <w:p w14:paraId="4B33FC9B">
      <w:pPr>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一、受理投诉的范围内容及形式</w:t>
      </w:r>
    </w:p>
    <w:p w14:paraId="576E7CAA">
      <w:pPr>
        <w:keepNext w:val="0"/>
        <w:keepLines w:val="0"/>
        <w:pageBreakBefore w:val="0"/>
        <w:widowControl w:val="0"/>
        <w:kinsoku/>
        <w:wordWrap/>
        <w:overflowPunct w:val="0"/>
        <w:topLinePunct w:val="0"/>
        <w:autoSpaceDE/>
        <w:autoSpaceDN/>
        <w:bidi w:val="0"/>
        <w:adjustRightInd/>
        <w:snapToGrid/>
        <w:spacing w:after="157" w:afterLines="50" w:line="56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师市工程建设项目招标投标等领域投标人（包括竞买人，本指引统称为招标人）或者其他利害关系人认为交易活动不符合法律、法规和规章规定的情形，可书面向师市相关行政监督部门（受理部门）提出投诉，相关领域投诉受理部门和受理范围如下。</w:t>
      </w:r>
    </w:p>
    <w:tbl>
      <w:tblPr>
        <w:tblStyle w:val="8"/>
        <w:tblW w:w="9115"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9"/>
        <w:gridCol w:w="2481"/>
        <w:gridCol w:w="5815"/>
      </w:tblGrid>
      <w:tr w14:paraId="28986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tcPr>
          <w:p w14:paraId="760F53EE">
            <w:pPr>
              <w:keepNext w:val="0"/>
              <w:keepLines w:val="0"/>
              <w:pageBreakBefore w:val="0"/>
              <w:widowControl w:val="0"/>
              <w:kinsoku/>
              <w:wordWrap/>
              <w:overflowPunct w:val="0"/>
              <w:topLinePunct w:val="0"/>
              <w:autoSpaceDE/>
              <w:autoSpaceDN/>
              <w:bidi w:val="0"/>
              <w:adjustRightInd/>
              <w:snapToGrid/>
              <w:spacing w:line="420" w:lineRule="exact"/>
              <w:jc w:val="center"/>
              <w:textAlignment w:val="auto"/>
              <w:outlineLvl w:val="9"/>
              <w:rPr>
                <w:rFonts w:hint="default" w:ascii="Times New Roman" w:hAnsi="Times New Roman" w:eastAsia="黑体" w:cs="Times New Roman"/>
                <w:color w:val="000000" w:themeColor="text1"/>
                <w:sz w:val="24"/>
                <w:szCs w:val="24"/>
                <w14:textFill>
                  <w14:solidFill>
                    <w14:schemeClr w14:val="tx1"/>
                  </w14:solidFill>
                </w14:textFill>
              </w:rPr>
            </w:pPr>
            <w:r>
              <w:rPr>
                <w:rFonts w:hint="default" w:ascii="Times New Roman" w:hAnsi="Times New Roman" w:eastAsia="黑体" w:cs="Times New Roman"/>
                <w:color w:val="000000" w:themeColor="text1"/>
                <w:sz w:val="24"/>
                <w:szCs w:val="24"/>
                <w14:textFill>
                  <w14:solidFill>
                    <w14:schemeClr w14:val="tx1"/>
                  </w14:solidFill>
                </w14:textFill>
              </w:rPr>
              <w:t>序号</w:t>
            </w:r>
          </w:p>
        </w:tc>
        <w:tc>
          <w:tcPr>
            <w:tcW w:w="2481" w:type="dxa"/>
          </w:tcPr>
          <w:p w14:paraId="3A47101C">
            <w:pPr>
              <w:keepNext w:val="0"/>
              <w:keepLines w:val="0"/>
              <w:pageBreakBefore w:val="0"/>
              <w:widowControl w:val="0"/>
              <w:kinsoku/>
              <w:wordWrap/>
              <w:overflowPunct w:val="0"/>
              <w:topLinePunct w:val="0"/>
              <w:autoSpaceDE/>
              <w:autoSpaceDN/>
              <w:bidi w:val="0"/>
              <w:adjustRightInd/>
              <w:snapToGrid/>
              <w:spacing w:line="420" w:lineRule="exact"/>
              <w:jc w:val="center"/>
              <w:textAlignment w:val="auto"/>
              <w:outlineLvl w:val="9"/>
              <w:rPr>
                <w:rFonts w:hint="default" w:ascii="Times New Roman" w:hAnsi="Times New Roman" w:eastAsia="黑体" w:cs="Times New Roman"/>
                <w:color w:val="000000" w:themeColor="text1"/>
                <w:sz w:val="24"/>
                <w:szCs w:val="24"/>
                <w14:textFill>
                  <w14:solidFill>
                    <w14:schemeClr w14:val="tx1"/>
                  </w14:solidFill>
                </w14:textFill>
              </w:rPr>
            </w:pPr>
            <w:r>
              <w:rPr>
                <w:rFonts w:hint="default" w:ascii="Times New Roman" w:hAnsi="Times New Roman" w:eastAsia="黑体" w:cs="Times New Roman"/>
                <w:color w:val="000000" w:themeColor="text1"/>
                <w:sz w:val="24"/>
                <w:szCs w:val="24"/>
                <w14:textFill>
                  <w14:solidFill>
                    <w14:schemeClr w14:val="tx1"/>
                  </w14:solidFill>
                </w14:textFill>
              </w:rPr>
              <w:t>投诉受理部门</w:t>
            </w:r>
          </w:p>
        </w:tc>
        <w:tc>
          <w:tcPr>
            <w:tcW w:w="5815" w:type="dxa"/>
          </w:tcPr>
          <w:p w14:paraId="2DAE4E34">
            <w:pPr>
              <w:keepNext w:val="0"/>
              <w:keepLines w:val="0"/>
              <w:pageBreakBefore w:val="0"/>
              <w:widowControl w:val="0"/>
              <w:kinsoku/>
              <w:wordWrap/>
              <w:overflowPunct w:val="0"/>
              <w:topLinePunct w:val="0"/>
              <w:autoSpaceDE/>
              <w:autoSpaceDN/>
              <w:bidi w:val="0"/>
              <w:adjustRightInd/>
              <w:snapToGrid/>
              <w:spacing w:line="420" w:lineRule="exact"/>
              <w:jc w:val="center"/>
              <w:textAlignment w:val="auto"/>
              <w:outlineLvl w:val="9"/>
              <w:rPr>
                <w:rFonts w:hint="default" w:ascii="Times New Roman" w:hAnsi="Times New Roman" w:eastAsia="黑体" w:cs="Times New Roman"/>
                <w:color w:val="000000" w:themeColor="text1"/>
                <w:sz w:val="24"/>
                <w:szCs w:val="24"/>
                <w14:textFill>
                  <w14:solidFill>
                    <w14:schemeClr w14:val="tx1"/>
                  </w14:solidFill>
                </w14:textFill>
              </w:rPr>
            </w:pPr>
            <w:r>
              <w:rPr>
                <w:rFonts w:hint="default" w:ascii="Times New Roman" w:hAnsi="Times New Roman" w:eastAsia="黑体" w:cs="Times New Roman"/>
                <w:color w:val="000000" w:themeColor="text1"/>
                <w:sz w:val="24"/>
                <w:szCs w:val="24"/>
                <w14:textFill>
                  <w14:solidFill>
                    <w14:schemeClr w14:val="tx1"/>
                  </w14:solidFill>
                </w14:textFill>
              </w:rPr>
              <w:t>受理投诉范围</w:t>
            </w:r>
          </w:p>
        </w:tc>
      </w:tr>
      <w:tr w14:paraId="6CB7C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exact"/>
        </w:trPr>
        <w:tc>
          <w:tcPr>
            <w:tcW w:w="819" w:type="dxa"/>
            <w:vAlign w:val="center"/>
          </w:tcPr>
          <w:p w14:paraId="2BD0AA32">
            <w:pPr>
              <w:keepNext w:val="0"/>
              <w:keepLines w:val="0"/>
              <w:pageBreakBefore w:val="0"/>
              <w:widowControl w:val="0"/>
              <w:kinsoku/>
              <w:wordWrap/>
              <w:overflowPunct w:val="0"/>
              <w:topLinePunct w:val="0"/>
              <w:autoSpaceDE/>
              <w:autoSpaceDN/>
              <w:bidi w:val="0"/>
              <w:adjustRightInd/>
              <w:snapToGrid/>
              <w:spacing w:line="420" w:lineRule="exact"/>
              <w:jc w:val="center"/>
              <w:textAlignment w:val="auto"/>
              <w:outlineLvl w:val="9"/>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1</w:t>
            </w:r>
          </w:p>
        </w:tc>
        <w:tc>
          <w:tcPr>
            <w:tcW w:w="2481" w:type="dxa"/>
            <w:vAlign w:val="center"/>
          </w:tcPr>
          <w:p w14:paraId="1107C32D">
            <w:pPr>
              <w:keepNext w:val="0"/>
              <w:keepLines w:val="0"/>
              <w:pageBreakBefore w:val="0"/>
              <w:widowControl w:val="0"/>
              <w:kinsoku/>
              <w:wordWrap/>
              <w:overflowPunct w:val="0"/>
              <w:topLinePunct w:val="0"/>
              <w:autoSpaceDE/>
              <w:autoSpaceDN/>
              <w:bidi w:val="0"/>
              <w:adjustRightInd/>
              <w:snapToGrid/>
              <w:spacing w:line="420" w:lineRule="exact"/>
              <w:textAlignment w:val="auto"/>
              <w:outlineLvl w:val="9"/>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第十师北屯市住房和城乡建设局</w:t>
            </w:r>
          </w:p>
        </w:tc>
        <w:tc>
          <w:tcPr>
            <w:tcW w:w="5815" w:type="dxa"/>
            <w:vAlign w:val="center"/>
          </w:tcPr>
          <w:p w14:paraId="223FE503">
            <w:pPr>
              <w:keepNext w:val="0"/>
              <w:keepLines w:val="0"/>
              <w:pageBreakBefore w:val="0"/>
              <w:widowControl w:val="0"/>
              <w:kinsoku/>
              <w:wordWrap/>
              <w:overflowPunct w:val="0"/>
              <w:topLinePunct w:val="0"/>
              <w:autoSpaceDE/>
              <w:autoSpaceDN/>
              <w:bidi w:val="0"/>
              <w:adjustRightInd/>
              <w:snapToGrid/>
              <w:spacing w:line="420" w:lineRule="exact"/>
              <w:textAlignment w:val="auto"/>
              <w:outlineLvl w:val="9"/>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房屋建筑和市政基础设施工程招标投标和相关特许经营权交易活动</w:t>
            </w:r>
          </w:p>
        </w:tc>
      </w:tr>
      <w:tr w14:paraId="30A65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 w:hRule="exact"/>
        </w:trPr>
        <w:tc>
          <w:tcPr>
            <w:tcW w:w="819" w:type="dxa"/>
            <w:vAlign w:val="center"/>
          </w:tcPr>
          <w:p w14:paraId="64B266B8">
            <w:pPr>
              <w:keepNext w:val="0"/>
              <w:keepLines w:val="0"/>
              <w:pageBreakBefore w:val="0"/>
              <w:widowControl w:val="0"/>
              <w:kinsoku/>
              <w:wordWrap/>
              <w:overflowPunct w:val="0"/>
              <w:topLinePunct w:val="0"/>
              <w:autoSpaceDE/>
              <w:autoSpaceDN/>
              <w:bidi w:val="0"/>
              <w:adjustRightInd/>
              <w:snapToGrid/>
              <w:spacing w:line="420" w:lineRule="exact"/>
              <w:jc w:val="center"/>
              <w:textAlignment w:val="auto"/>
              <w:outlineLvl w:val="9"/>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2</w:t>
            </w:r>
          </w:p>
        </w:tc>
        <w:tc>
          <w:tcPr>
            <w:tcW w:w="2481" w:type="dxa"/>
            <w:vAlign w:val="center"/>
          </w:tcPr>
          <w:p w14:paraId="2A6B5929">
            <w:pPr>
              <w:keepNext w:val="0"/>
              <w:keepLines w:val="0"/>
              <w:pageBreakBefore w:val="0"/>
              <w:widowControl w:val="0"/>
              <w:kinsoku/>
              <w:wordWrap/>
              <w:overflowPunct w:val="0"/>
              <w:topLinePunct w:val="0"/>
              <w:autoSpaceDE/>
              <w:autoSpaceDN/>
              <w:bidi w:val="0"/>
              <w:adjustRightInd/>
              <w:snapToGrid/>
              <w:spacing w:line="420" w:lineRule="exact"/>
              <w:textAlignment w:val="auto"/>
              <w:outlineLvl w:val="9"/>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第十师北屯市交通运输局</w:t>
            </w:r>
          </w:p>
        </w:tc>
        <w:tc>
          <w:tcPr>
            <w:tcW w:w="5815" w:type="dxa"/>
            <w:vAlign w:val="center"/>
          </w:tcPr>
          <w:p w14:paraId="7D0840BC">
            <w:pPr>
              <w:keepNext w:val="0"/>
              <w:keepLines w:val="0"/>
              <w:pageBreakBefore w:val="0"/>
              <w:widowControl w:val="0"/>
              <w:kinsoku/>
              <w:wordWrap/>
              <w:overflowPunct w:val="0"/>
              <w:topLinePunct w:val="0"/>
              <w:autoSpaceDE/>
              <w:autoSpaceDN/>
              <w:bidi w:val="0"/>
              <w:adjustRightInd/>
              <w:snapToGrid/>
              <w:spacing w:line="420" w:lineRule="exact"/>
              <w:textAlignment w:val="auto"/>
              <w:outlineLvl w:val="9"/>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交通运输工程招标投标和相关特许经营权交易活动</w:t>
            </w:r>
          </w:p>
        </w:tc>
      </w:tr>
      <w:tr w14:paraId="39035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819" w:type="dxa"/>
            <w:vAlign w:val="center"/>
          </w:tcPr>
          <w:p w14:paraId="268D9451">
            <w:pPr>
              <w:keepNext w:val="0"/>
              <w:keepLines w:val="0"/>
              <w:pageBreakBefore w:val="0"/>
              <w:widowControl w:val="0"/>
              <w:kinsoku/>
              <w:wordWrap/>
              <w:overflowPunct w:val="0"/>
              <w:topLinePunct w:val="0"/>
              <w:autoSpaceDE/>
              <w:autoSpaceDN/>
              <w:bidi w:val="0"/>
              <w:adjustRightInd/>
              <w:snapToGrid/>
              <w:spacing w:line="420" w:lineRule="exact"/>
              <w:jc w:val="center"/>
              <w:textAlignment w:val="auto"/>
              <w:outlineLvl w:val="9"/>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3</w:t>
            </w:r>
          </w:p>
        </w:tc>
        <w:tc>
          <w:tcPr>
            <w:tcW w:w="2481" w:type="dxa"/>
            <w:vAlign w:val="center"/>
          </w:tcPr>
          <w:p w14:paraId="23DDAD0E">
            <w:pPr>
              <w:keepNext w:val="0"/>
              <w:keepLines w:val="0"/>
              <w:pageBreakBefore w:val="0"/>
              <w:widowControl w:val="0"/>
              <w:kinsoku/>
              <w:wordWrap/>
              <w:overflowPunct w:val="0"/>
              <w:topLinePunct w:val="0"/>
              <w:autoSpaceDE/>
              <w:autoSpaceDN/>
              <w:bidi w:val="0"/>
              <w:adjustRightInd/>
              <w:snapToGrid/>
              <w:spacing w:line="420" w:lineRule="exact"/>
              <w:textAlignment w:val="auto"/>
              <w:outlineLvl w:val="9"/>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第十师北屯市水利局</w:t>
            </w:r>
          </w:p>
        </w:tc>
        <w:tc>
          <w:tcPr>
            <w:tcW w:w="5815" w:type="dxa"/>
            <w:vAlign w:val="center"/>
          </w:tcPr>
          <w:p w14:paraId="782444C4">
            <w:pPr>
              <w:keepNext w:val="0"/>
              <w:keepLines w:val="0"/>
              <w:pageBreakBefore w:val="0"/>
              <w:widowControl w:val="0"/>
              <w:kinsoku/>
              <w:wordWrap/>
              <w:overflowPunct w:val="0"/>
              <w:topLinePunct w:val="0"/>
              <w:autoSpaceDE/>
              <w:autoSpaceDN/>
              <w:bidi w:val="0"/>
              <w:adjustRightInd/>
              <w:snapToGrid/>
              <w:spacing w:line="420" w:lineRule="exact"/>
              <w:textAlignment w:val="auto"/>
              <w:outlineLvl w:val="9"/>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水利工程招标投标和相关特许经营权交易活动</w:t>
            </w:r>
          </w:p>
        </w:tc>
      </w:tr>
      <w:tr w14:paraId="07394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819" w:type="dxa"/>
            <w:vAlign w:val="center"/>
          </w:tcPr>
          <w:p w14:paraId="30F68F5A">
            <w:pPr>
              <w:keepNext w:val="0"/>
              <w:keepLines w:val="0"/>
              <w:pageBreakBefore w:val="0"/>
              <w:widowControl w:val="0"/>
              <w:kinsoku/>
              <w:wordWrap/>
              <w:overflowPunct w:val="0"/>
              <w:topLinePunct w:val="0"/>
              <w:autoSpaceDE/>
              <w:autoSpaceDN/>
              <w:bidi w:val="0"/>
              <w:adjustRightInd/>
              <w:snapToGrid/>
              <w:spacing w:line="420" w:lineRule="exact"/>
              <w:jc w:val="center"/>
              <w:textAlignment w:val="auto"/>
              <w:outlineLvl w:val="9"/>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4</w:t>
            </w:r>
          </w:p>
        </w:tc>
        <w:tc>
          <w:tcPr>
            <w:tcW w:w="2481" w:type="dxa"/>
            <w:vAlign w:val="center"/>
          </w:tcPr>
          <w:p w14:paraId="5BE309D1">
            <w:pPr>
              <w:keepNext w:val="0"/>
              <w:keepLines w:val="0"/>
              <w:pageBreakBefore w:val="0"/>
              <w:widowControl w:val="0"/>
              <w:kinsoku/>
              <w:wordWrap/>
              <w:overflowPunct w:val="0"/>
              <w:topLinePunct w:val="0"/>
              <w:autoSpaceDE/>
              <w:autoSpaceDN/>
              <w:bidi w:val="0"/>
              <w:adjustRightInd/>
              <w:snapToGrid/>
              <w:spacing w:line="420" w:lineRule="exact"/>
              <w:textAlignment w:val="auto"/>
              <w:outlineLvl w:val="9"/>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第十师北屯市发展和改革委员会</w:t>
            </w:r>
          </w:p>
        </w:tc>
        <w:tc>
          <w:tcPr>
            <w:tcW w:w="5815" w:type="dxa"/>
            <w:vAlign w:val="center"/>
          </w:tcPr>
          <w:p w14:paraId="61895F72">
            <w:pPr>
              <w:keepNext w:val="0"/>
              <w:keepLines w:val="0"/>
              <w:pageBreakBefore w:val="0"/>
              <w:widowControl w:val="0"/>
              <w:kinsoku/>
              <w:wordWrap/>
              <w:overflowPunct w:val="0"/>
              <w:topLinePunct w:val="0"/>
              <w:autoSpaceDE/>
              <w:autoSpaceDN/>
              <w:bidi w:val="0"/>
              <w:adjustRightInd/>
              <w:snapToGrid/>
              <w:spacing w:line="420" w:lineRule="exact"/>
              <w:textAlignment w:val="auto"/>
              <w:outlineLvl w:val="9"/>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能源项目工程招标投标活动</w:t>
            </w:r>
          </w:p>
        </w:tc>
      </w:tr>
      <w:tr w14:paraId="5396B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819" w:type="dxa"/>
            <w:vAlign w:val="center"/>
          </w:tcPr>
          <w:p w14:paraId="60E30D89">
            <w:pPr>
              <w:keepNext w:val="0"/>
              <w:keepLines w:val="0"/>
              <w:pageBreakBefore w:val="0"/>
              <w:widowControl w:val="0"/>
              <w:kinsoku/>
              <w:wordWrap/>
              <w:overflowPunct w:val="0"/>
              <w:topLinePunct w:val="0"/>
              <w:autoSpaceDE/>
              <w:autoSpaceDN/>
              <w:bidi w:val="0"/>
              <w:adjustRightInd/>
              <w:snapToGrid/>
              <w:spacing w:line="420" w:lineRule="exact"/>
              <w:jc w:val="center"/>
              <w:textAlignment w:val="auto"/>
              <w:outlineLvl w:val="9"/>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5</w:t>
            </w:r>
          </w:p>
        </w:tc>
        <w:tc>
          <w:tcPr>
            <w:tcW w:w="2481" w:type="dxa"/>
            <w:vAlign w:val="center"/>
          </w:tcPr>
          <w:p w14:paraId="65BE0ED1">
            <w:pPr>
              <w:keepNext w:val="0"/>
              <w:keepLines w:val="0"/>
              <w:pageBreakBefore w:val="0"/>
              <w:widowControl w:val="0"/>
              <w:kinsoku/>
              <w:wordWrap/>
              <w:overflowPunct w:val="0"/>
              <w:topLinePunct w:val="0"/>
              <w:autoSpaceDE/>
              <w:autoSpaceDN/>
              <w:bidi w:val="0"/>
              <w:adjustRightInd/>
              <w:snapToGrid/>
              <w:spacing w:line="420" w:lineRule="exact"/>
              <w:textAlignment w:val="auto"/>
              <w:outlineLvl w:val="9"/>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第十师北屯市自然资源和规划局</w:t>
            </w:r>
          </w:p>
        </w:tc>
        <w:tc>
          <w:tcPr>
            <w:tcW w:w="5815" w:type="dxa"/>
            <w:vAlign w:val="center"/>
          </w:tcPr>
          <w:p w14:paraId="6D4762B9">
            <w:pPr>
              <w:keepNext w:val="0"/>
              <w:keepLines w:val="0"/>
              <w:pageBreakBefore w:val="0"/>
              <w:widowControl w:val="0"/>
              <w:kinsoku/>
              <w:wordWrap/>
              <w:overflowPunct w:val="0"/>
              <w:topLinePunct w:val="0"/>
              <w:autoSpaceDE/>
              <w:autoSpaceDN/>
              <w:bidi w:val="0"/>
              <w:adjustRightInd/>
              <w:snapToGrid/>
              <w:spacing w:line="420" w:lineRule="exact"/>
              <w:textAlignment w:val="auto"/>
              <w:outlineLvl w:val="9"/>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国有资源工程招标投标和国有土地使用权、矿业权、林权等交易活动</w:t>
            </w:r>
          </w:p>
        </w:tc>
      </w:tr>
      <w:tr w14:paraId="4C670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819" w:type="dxa"/>
            <w:vAlign w:val="center"/>
          </w:tcPr>
          <w:p w14:paraId="313E4AE6">
            <w:pPr>
              <w:keepNext w:val="0"/>
              <w:keepLines w:val="0"/>
              <w:pageBreakBefore w:val="0"/>
              <w:widowControl w:val="0"/>
              <w:kinsoku/>
              <w:wordWrap/>
              <w:overflowPunct w:val="0"/>
              <w:topLinePunct w:val="0"/>
              <w:autoSpaceDE/>
              <w:autoSpaceDN/>
              <w:bidi w:val="0"/>
              <w:adjustRightInd/>
              <w:snapToGrid/>
              <w:spacing w:line="420" w:lineRule="exact"/>
              <w:jc w:val="center"/>
              <w:textAlignment w:val="auto"/>
              <w:outlineLvl w:val="9"/>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6</w:t>
            </w:r>
          </w:p>
        </w:tc>
        <w:tc>
          <w:tcPr>
            <w:tcW w:w="2481" w:type="dxa"/>
            <w:vAlign w:val="center"/>
          </w:tcPr>
          <w:p w14:paraId="2D0ED0C7">
            <w:pPr>
              <w:keepNext w:val="0"/>
              <w:keepLines w:val="0"/>
              <w:pageBreakBefore w:val="0"/>
              <w:widowControl w:val="0"/>
              <w:kinsoku/>
              <w:wordWrap/>
              <w:overflowPunct w:val="0"/>
              <w:topLinePunct w:val="0"/>
              <w:autoSpaceDE/>
              <w:autoSpaceDN/>
              <w:bidi w:val="0"/>
              <w:adjustRightInd/>
              <w:snapToGrid/>
              <w:spacing w:line="420" w:lineRule="exact"/>
              <w:textAlignment w:val="auto"/>
              <w:outlineLvl w:val="9"/>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第十师北屯市农业农村局</w:t>
            </w:r>
          </w:p>
        </w:tc>
        <w:tc>
          <w:tcPr>
            <w:tcW w:w="5815" w:type="dxa"/>
            <w:vAlign w:val="center"/>
          </w:tcPr>
          <w:p w14:paraId="77901156">
            <w:pPr>
              <w:keepNext w:val="0"/>
              <w:keepLines w:val="0"/>
              <w:pageBreakBefore w:val="0"/>
              <w:widowControl w:val="0"/>
              <w:kinsoku/>
              <w:wordWrap/>
              <w:overflowPunct w:val="0"/>
              <w:topLinePunct w:val="0"/>
              <w:autoSpaceDE/>
              <w:autoSpaceDN/>
              <w:bidi w:val="0"/>
              <w:adjustRightInd/>
              <w:snapToGrid/>
              <w:spacing w:line="420" w:lineRule="exact"/>
              <w:textAlignment w:val="auto"/>
              <w:outlineLvl w:val="9"/>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农业工程招标投标</w:t>
            </w:r>
            <w:r>
              <w:rPr>
                <w:rFonts w:hint="eastAsia" w:ascii="Times New Roman" w:hAnsi="Times New Roman" w:eastAsia="仿宋_GB2312" w:cs="Times New Roman"/>
                <w:color w:val="000000" w:themeColor="text1"/>
                <w:sz w:val="24"/>
                <w:szCs w:val="24"/>
                <w:lang w:eastAsia="zh-CN"/>
                <w14:textFill>
                  <w14:solidFill>
                    <w14:schemeClr w14:val="tx1"/>
                  </w14:solidFill>
                </w14:textFill>
              </w:rPr>
              <w:t>和农村集体产权</w:t>
            </w:r>
            <w:r>
              <w:rPr>
                <w:rFonts w:hint="default" w:ascii="Times New Roman" w:hAnsi="Times New Roman" w:eastAsia="仿宋_GB2312" w:cs="Times New Roman"/>
                <w:color w:val="000000" w:themeColor="text1"/>
                <w:sz w:val="24"/>
                <w:szCs w:val="24"/>
                <w:lang w:eastAsia="zh-CN"/>
                <w14:textFill>
                  <w14:solidFill>
                    <w14:schemeClr w14:val="tx1"/>
                  </w14:solidFill>
                </w14:textFill>
              </w:rPr>
              <w:t>等</w:t>
            </w:r>
            <w:r>
              <w:rPr>
                <w:rFonts w:hint="default" w:ascii="Times New Roman" w:hAnsi="Times New Roman" w:eastAsia="仿宋_GB2312" w:cs="Times New Roman"/>
                <w:color w:val="000000" w:themeColor="text1"/>
                <w:sz w:val="24"/>
                <w:szCs w:val="24"/>
                <w14:textFill>
                  <w14:solidFill>
                    <w14:schemeClr w14:val="tx1"/>
                  </w14:solidFill>
                </w14:textFill>
              </w:rPr>
              <w:t>交易活动</w:t>
            </w:r>
          </w:p>
        </w:tc>
      </w:tr>
    </w:tbl>
    <w:p w14:paraId="35444125">
      <w:pPr>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受理形式：书面形式（不限于纸质，可为电子扫描件）</w:t>
      </w:r>
    </w:p>
    <w:p w14:paraId="7887B45E">
      <w:pPr>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二、投诉的提出</w:t>
      </w:r>
    </w:p>
    <w:p w14:paraId="6CA446E4">
      <w:pPr>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投标人或者其他利害关系人认为招标投标活动不符合法律、行政法规规定的，可以自知道或者应当知道之日起10日内向有关行政监督部门投诉。</w:t>
      </w:r>
    </w:p>
    <w:p w14:paraId="40DFA59C">
      <w:pPr>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投诉人投诉时，应当提交投诉书。</w:t>
      </w:r>
    </w:p>
    <w:p w14:paraId="145E82D2">
      <w:pPr>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投诉书应当包括下列内容：</w:t>
      </w:r>
    </w:p>
    <w:p w14:paraId="58B38863">
      <w:pPr>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1.投诉人的名称、地址及有效联系方式；</w:t>
      </w:r>
    </w:p>
    <w:p w14:paraId="1C64318F">
      <w:pPr>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2.被投诉人的名称、地址及有效联系方式；</w:t>
      </w:r>
    </w:p>
    <w:p w14:paraId="466C3245">
      <w:pPr>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3.投诉事项的基本事实；</w:t>
      </w:r>
    </w:p>
    <w:p w14:paraId="2022C282">
      <w:pPr>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4.相关请求及主张；</w:t>
      </w:r>
    </w:p>
    <w:p w14:paraId="294360E0">
      <w:pPr>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5.有效线索和相关证明材料。</w:t>
      </w:r>
    </w:p>
    <w:p w14:paraId="04B44950">
      <w:pPr>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对招标投标法实施条例等法律法规规定应先提出异议的事项进行投诉的，应当附有提出异议的证明材料。已另外向有关行政监督部门投诉的，应当一并说明。</w:t>
      </w:r>
    </w:p>
    <w:p w14:paraId="61F63D82">
      <w:pPr>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投诉人是法人</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单位</w:t>
      </w:r>
      <w:r>
        <w:rPr>
          <w:rFonts w:hint="default" w:ascii="Times New Roman" w:hAnsi="Times New Roman" w:eastAsia="仿宋_GB2312" w:cs="Times New Roman"/>
          <w:color w:val="000000" w:themeColor="text1"/>
          <w:sz w:val="32"/>
          <w:szCs w:val="32"/>
          <w14:textFill>
            <w14:solidFill>
              <w14:schemeClr w14:val="tx1"/>
            </w14:solidFill>
          </w14:textFill>
        </w:rPr>
        <w:t>的，投诉书必须由其法定代表人或者授权代表签字并盖章；其他组织或个人投诉的，投诉书必须由其主要负责人或投诉人本人签字，并附有有效身份证明复印件。</w:t>
      </w:r>
    </w:p>
    <w:p w14:paraId="608F7B15">
      <w:pPr>
        <w:pageBreakBefore w:val="0"/>
        <w:widowControl w:val="0"/>
        <w:kinsoku/>
        <w:wordWrap/>
        <w:overflowPunct w:val="0"/>
        <w:topLinePunct w:val="0"/>
        <w:autoSpaceDE/>
        <w:autoSpaceDN/>
        <w:bidi w:val="0"/>
        <w:adjustRightInd/>
        <w:snapToGrid/>
        <w:spacing w:line="560" w:lineRule="exact"/>
        <w:ind w:firstLine="596" w:firstLineChars="200"/>
        <w:textAlignment w:val="auto"/>
        <w:rPr>
          <w:rFonts w:hint="default" w:ascii="Times New Roman" w:hAnsi="Times New Roman" w:eastAsia="仿宋_GB2312" w:cs="Times New Roman"/>
          <w:color w:val="000000" w:themeColor="text1"/>
          <w:spacing w:val="-11"/>
          <w:sz w:val="32"/>
          <w:szCs w:val="32"/>
          <w14:textFill>
            <w14:solidFill>
              <w14:schemeClr w14:val="tx1"/>
            </w14:solidFill>
          </w14:textFill>
        </w:rPr>
      </w:pPr>
      <w:r>
        <w:rPr>
          <w:rFonts w:hint="default" w:ascii="Times New Roman" w:hAnsi="Times New Roman" w:eastAsia="仿宋_GB2312" w:cs="Times New Roman"/>
          <w:color w:val="000000" w:themeColor="text1"/>
          <w:spacing w:val="-11"/>
          <w:sz w:val="32"/>
          <w:szCs w:val="32"/>
          <w14:textFill>
            <w14:solidFill>
              <w14:schemeClr w14:val="tx1"/>
            </w14:solidFill>
          </w14:textFill>
        </w:rPr>
        <w:t>投诉书有关材料是外文的，投诉人应当同时提供其中文译本。</w:t>
      </w:r>
    </w:p>
    <w:p w14:paraId="28210F88">
      <w:pPr>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三、投诉受理程序及时限</w:t>
      </w:r>
    </w:p>
    <w:p w14:paraId="4A5805B0">
      <w:pPr>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楷体_GB2312" w:cs="Times New Roman"/>
          <w:color w:val="000000" w:themeColor="text1"/>
          <w:sz w:val="32"/>
          <w:szCs w:val="32"/>
          <w14:textFill>
            <w14:solidFill>
              <w14:schemeClr w14:val="tx1"/>
            </w14:solidFill>
          </w14:textFill>
        </w:rPr>
        <w:t>（一）行政监督部门收到投诉书后，应当在3个工作日内进行审查，视情况分别做出以下处理决定：</w:t>
      </w:r>
    </w:p>
    <w:p w14:paraId="411B1E36">
      <w:pPr>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1.不符合投诉处理条件的，决定不予受理，并将不予受理的理由书面告知投诉人。</w:t>
      </w:r>
    </w:p>
    <w:p w14:paraId="4DC8B9A5">
      <w:pPr>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2.对符合投诉处理条件，但不属于本部门受理的投诉，书面告知投诉人向其他行政监督部门提出投诉。</w:t>
      </w:r>
    </w:p>
    <w:p w14:paraId="2DC72382">
      <w:pPr>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对于符合投诉处理条件并决定受理的，收到投诉书之日即为正式受理。自受理投诉之日起30个工作日内，对投诉事项做出处理决定，并以书面形式通知投诉人</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被投诉人和其他与投诉处理结果有关的当事人，情况复杂，不能在规定期限内做出处理决定的，经本部门负责人批准，可以适当延长，并告知投诉人和被投诉人。</w:t>
      </w:r>
    </w:p>
    <w:p w14:paraId="147713DB">
      <w:pPr>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color w:val="000000" w:themeColor="text1"/>
          <w:sz w:val="32"/>
          <w:szCs w:val="32"/>
          <w14:textFill>
            <w14:solidFill>
              <w14:schemeClr w14:val="tx1"/>
            </w14:solidFill>
          </w14:textFill>
        </w:rPr>
      </w:pPr>
      <w:r>
        <w:rPr>
          <w:rFonts w:hint="default" w:ascii="Times New Roman" w:hAnsi="Times New Roman" w:eastAsia="楷体_GB2312" w:cs="Times New Roman"/>
          <w:color w:val="000000" w:themeColor="text1"/>
          <w:sz w:val="32"/>
          <w:szCs w:val="32"/>
          <w14:textFill>
            <w14:solidFill>
              <w14:schemeClr w14:val="tx1"/>
            </w14:solidFill>
          </w14:textFill>
        </w:rPr>
        <w:t>（二）有下列情形之一的投诉，不予受理：</w:t>
      </w:r>
    </w:p>
    <w:p w14:paraId="5FDE9E98">
      <w:pPr>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1.投诉人不是所投诉招标投标活动的参与者，</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或者</w:t>
      </w:r>
      <w:r>
        <w:rPr>
          <w:rFonts w:hint="default" w:ascii="Times New Roman" w:hAnsi="Times New Roman" w:eastAsia="仿宋_GB2312" w:cs="Times New Roman"/>
          <w:color w:val="000000" w:themeColor="text1"/>
          <w:sz w:val="32"/>
          <w:szCs w:val="32"/>
          <w14:textFill>
            <w14:solidFill>
              <w14:schemeClr w14:val="tx1"/>
            </w14:solidFill>
          </w14:textFill>
        </w:rPr>
        <w:t>与投诉项目无任何利害关系；</w:t>
      </w:r>
    </w:p>
    <w:p w14:paraId="2F07BBC1">
      <w:pPr>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2.投诉事项不具体，且未提供有效线索，难以查证的；</w:t>
      </w:r>
    </w:p>
    <w:p w14:paraId="018E3DF9">
      <w:pPr>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3.投诉书未署投诉人真实姓名、签字和有效联系方式的，以法人名义投诉的，投诉书未经法定代表人签字并加盖公章的；</w:t>
      </w:r>
    </w:p>
    <w:p w14:paraId="3EBAA72E">
      <w:pPr>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4.超过投诉时效的；</w:t>
      </w:r>
    </w:p>
    <w:p w14:paraId="4536B2D3">
      <w:pPr>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5.已经</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作出</w:t>
      </w:r>
      <w:r>
        <w:rPr>
          <w:rFonts w:hint="default" w:ascii="Times New Roman" w:hAnsi="Times New Roman" w:eastAsia="仿宋_GB2312" w:cs="Times New Roman"/>
          <w:color w:val="000000" w:themeColor="text1"/>
          <w:sz w:val="32"/>
          <w:szCs w:val="32"/>
          <w14:textFill>
            <w14:solidFill>
              <w14:schemeClr w14:val="tx1"/>
            </w14:solidFill>
          </w14:textFill>
        </w:rPr>
        <w:t>处理决定，并且投诉人没有提出新的证据的；</w:t>
      </w:r>
    </w:p>
    <w:p w14:paraId="6CDE7ED6">
      <w:pPr>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6.投诉事项应先提出异议没有提出异议、已进入行政复议或行政诉讼程序的。</w:t>
      </w:r>
    </w:p>
    <w:p w14:paraId="3B3122AA">
      <w:pPr>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color w:val="000000" w:themeColor="text1"/>
          <w:sz w:val="32"/>
          <w:szCs w:val="32"/>
          <w14:textFill>
            <w14:solidFill>
              <w14:schemeClr w14:val="tx1"/>
            </w14:solidFill>
          </w14:textFill>
        </w:rPr>
      </w:pPr>
      <w:r>
        <w:rPr>
          <w:rFonts w:hint="default" w:ascii="Times New Roman" w:hAnsi="Times New Roman" w:eastAsia="楷体_GB2312" w:cs="Times New Roman"/>
          <w:color w:val="000000" w:themeColor="text1"/>
          <w:sz w:val="32"/>
          <w:szCs w:val="32"/>
          <w14:textFill>
            <w14:solidFill>
              <w14:schemeClr w14:val="tx1"/>
            </w14:solidFill>
          </w14:textFill>
        </w:rPr>
        <w:t>（三）投诉处理决定应当包括下列内容：</w:t>
      </w:r>
    </w:p>
    <w:p w14:paraId="3C33E260">
      <w:pPr>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1.投诉人和被投诉人的名称、地址；</w:t>
      </w:r>
    </w:p>
    <w:p w14:paraId="6CCDCD30">
      <w:pPr>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2.投诉人的投诉事项及主张；</w:t>
      </w:r>
    </w:p>
    <w:p w14:paraId="6C5BFB29">
      <w:pPr>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3.被投诉人的答辩及请求；</w:t>
      </w:r>
    </w:p>
    <w:p w14:paraId="6EFD95EC">
      <w:pPr>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4.调查认定的基本事实；</w:t>
      </w:r>
    </w:p>
    <w:p w14:paraId="3FC88DCD">
      <w:pPr>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5.行政监督部门的处理意见及依据。</w:t>
      </w:r>
    </w:p>
    <w:p w14:paraId="70B69F5A">
      <w:pPr>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其他未尽事宜，参照《工程建设项目招标投标活动投诉处理办法》等相关法律法规执行。</w:t>
      </w:r>
    </w:p>
    <w:p w14:paraId="74E9E12A">
      <w:pPr>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四、投诉受理电话、地址、电子邮箱</w:t>
      </w:r>
    </w:p>
    <w:p w14:paraId="770E16EB">
      <w:pPr>
        <w:keepNext w:val="0"/>
        <w:keepLines w:val="0"/>
        <w:pageBreakBefore w:val="0"/>
        <w:widowControl w:val="0"/>
        <w:kinsoku/>
        <w:wordWrap/>
        <w:overflowPunct w:val="0"/>
        <w:topLinePunct w:val="0"/>
        <w:autoSpaceDE/>
        <w:autoSpaceDN/>
        <w:bidi w:val="0"/>
        <w:adjustRightInd/>
        <w:snapToGrid/>
        <w:spacing w:after="157" w:afterLines="50" w:line="56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各项目除在招标文件、中标候选人公示、中标公告中载明投诉受理渠道外，还需进一步明确本领域</w:t>
      </w:r>
      <w:r>
        <w:rPr>
          <w:rFonts w:hint="default" w:ascii="Times New Roman" w:hAnsi="Times New Roman" w:eastAsia="仿宋_GB2312" w:cs="Times New Roman"/>
          <w:color w:val="000000" w:themeColor="text1"/>
          <w:sz w:val="32"/>
          <w:szCs w:val="32"/>
          <w14:textFill>
            <w14:solidFill>
              <w14:schemeClr w14:val="tx1"/>
            </w14:solidFill>
          </w14:textFill>
        </w:rPr>
        <w:t>投诉受理电话、地址、电子邮箱等信息如下。</w:t>
      </w:r>
    </w:p>
    <w:tbl>
      <w:tblPr>
        <w:tblStyle w:val="8"/>
        <w:tblW w:w="8863" w:type="dxa"/>
        <w:tblInd w:w="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7"/>
        <w:gridCol w:w="1255"/>
        <w:gridCol w:w="2308"/>
        <w:gridCol w:w="1683"/>
        <w:gridCol w:w="987"/>
        <w:gridCol w:w="1853"/>
      </w:tblGrid>
      <w:tr w14:paraId="0DEA4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vAlign w:val="center"/>
          </w:tcPr>
          <w:p w14:paraId="1D12B697">
            <w:pPr>
              <w:keepNext w:val="0"/>
              <w:keepLines w:val="0"/>
              <w:pageBreakBefore w:val="0"/>
              <w:widowControl w:val="0"/>
              <w:kinsoku/>
              <w:wordWrap/>
              <w:overflowPunct w:val="0"/>
              <w:topLinePunct w:val="0"/>
              <w:autoSpaceDE/>
              <w:autoSpaceDN/>
              <w:bidi w:val="0"/>
              <w:adjustRightInd/>
              <w:snapToGrid/>
              <w:spacing w:line="440" w:lineRule="exact"/>
              <w:jc w:val="center"/>
              <w:textAlignment w:val="auto"/>
              <w:outlineLvl w:val="9"/>
              <w:rPr>
                <w:rFonts w:hint="default" w:ascii="Times New Roman" w:hAnsi="Times New Roman" w:eastAsia="黑体" w:cs="Times New Roman"/>
                <w:color w:val="000000" w:themeColor="text1"/>
                <w:sz w:val="24"/>
                <w:szCs w:val="24"/>
                <w14:textFill>
                  <w14:solidFill>
                    <w14:schemeClr w14:val="tx1"/>
                  </w14:solidFill>
                </w14:textFill>
              </w:rPr>
            </w:pPr>
            <w:r>
              <w:rPr>
                <w:rFonts w:hint="default" w:ascii="Times New Roman" w:hAnsi="Times New Roman" w:eastAsia="黑体" w:cs="Times New Roman"/>
                <w:color w:val="000000" w:themeColor="text1"/>
                <w:sz w:val="24"/>
                <w:szCs w:val="24"/>
                <w14:textFill>
                  <w14:solidFill>
                    <w14:schemeClr w14:val="tx1"/>
                  </w14:solidFill>
                </w14:textFill>
              </w:rPr>
              <w:t>序号</w:t>
            </w:r>
          </w:p>
        </w:tc>
        <w:tc>
          <w:tcPr>
            <w:tcW w:w="1255" w:type="dxa"/>
            <w:vAlign w:val="center"/>
          </w:tcPr>
          <w:p w14:paraId="14684DA6">
            <w:pPr>
              <w:keepNext w:val="0"/>
              <w:keepLines w:val="0"/>
              <w:pageBreakBefore w:val="0"/>
              <w:widowControl w:val="0"/>
              <w:kinsoku/>
              <w:wordWrap/>
              <w:overflowPunct w:val="0"/>
              <w:topLinePunct w:val="0"/>
              <w:autoSpaceDE/>
              <w:autoSpaceDN/>
              <w:bidi w:val="0"/>
              <w:adjustRightInd/>
              <w:snapToGrid/>
              <w:spacing w:line="440" w:lineRule="exact"/>
              <w:jc w:val="center"/>
              <w:textAlignment w:val="auto"/>
              <w:outlineLvl w:val="9"/>
              <w:rPr>
                <w:rFonts w:hint="default" w:ascii="Times New Roman" w:hAnsi="Times New Roman" w:eastAsia="黑体" w:cs="Times New Roman"/>
                <w:color w:val="000000" w:themeColor="text1"/>
                <w:sz w:val="24"/>
                <w:szCs w:val="24"/>
                <w14:textFill>
                  <w14:solidFill>
                    <w14:schemeClr w14:val="tx1"/>
                  </w14:solidFill>
                </w14:textFill>
              </w:rPr>
            </w:pPr>
            <w:r>
              <w:rPr>
                <w:rFonts w:hint="default" w:ascii="Times New Roman" w:hAnsi="Times New Roman" w:eastAsia="黑体" w:cs="Times New Roman"/>
                <w:color w:val="000000" w:themeColor="text1"/>
                <w:sz w:val="24"/>
                <w:szCs w:val="24"/>
                <w14:textFill>
                  <w14:solidFill>
                    <w14:schemeClr w14:val="tx1"/>
                  </w14:solidFill>
                </w14:textFill>
              </w:rPr>
              <w:t>部门</w:t>
            </w:r>
          </w:p>
        </w:tc>
        <w:tc>
          <w:tcPr>
            <w:tcW w:w="2308" w:type="dxa"/>
            <w:vAlign w:val="center"/>
          </w:tcPr>
          <w:p w14:paraId="3B81FF65">
            <w:pPr>
              <w:keepNext w:val="0"/>
              <w:keepLines w:val="0"/>
              <w:pageBreakBefore w:val="0"/>
              <w:widowControl w:val="0"/>
              <w:kinsoku/>
              <w:wordWrap/>
              <w:overflowPunct w:val="0"/>
              <w:topLinePunct w:val="0"/>
              <w:autoSpaceDE/>
              <w:autoSpaceDN/>
              <w:bidi w:val="0"/>
              <w:adjustRightInd/>
              <w:snapToGrid/>
              <w:spacing w:line="440" w:lineRule="exact"/>
              <w:jc w:val="center"/>
              <w:textAlignment w:val="auto"/>
              <w:outlineLvl w:val="9"/>
              <w:rPr>
                <w:rFonts w:hint="default" w:ascii="Times New Roman" w:hAnsi="Times New Roman" w:eastAsia="黑体" w:cs="Times New Roman"/>
                <w:color w:val="000000" w:themeColor="text1"/>
                <w:sz w:val="24"/>
                <w:szCs w:val="24"/>
                <w14:textFill>
                  <w14:solidFill>
                    <w14:schemeClr w14:val="tx1"/>
                  </w14:solidFill>
                </w14:textFill>
              </w:rPr>
            </w:pPr>
            <w:r>
              <w:rPr>
                <w:rFonts w:hint="default" w:ascii="Times New Roman" w:hAnsi="Times New Roman" w:eastAsia="黑体" w:cs="Times New Roman"/>
                <w:color w:val="000000" w:themeColor="text1"/>
                <w:sz w:val="24"/>
                <w:szCs w:val="24"/>
                <w14:textFill>
                  <w14:solidFill>
                    <w14:schemeClr w14:val="tx1"/>
                  </w14:solidFill>
                </w14:textFill>
              </w:rPr>
              <w:t>地址</w:t>
            </w:r>
          </w:p>
        </w:tc>
        <w:tc>
          <w:tcPr>
            <w:tcW w:w="1683" w:type="dxa"/>
            <w:vAlign w:val="center"/>
          </w:tcPr>
          <w:p w14:paraId="2ABE1BD0">
            <w:pPr>
              <w:keepNext w:val="0"/>
              <w:keepLines w:val="0"/>
              <w:pageBreakBefore w:val="0"/>
              <w:widowControl w:val="0"/>
              <w:kinsoku/>
              <w:wordWrap/>
              <w:overflowPunct w:val="0"/>
              <w:topLinePunct w:val="0"/>
              <w:autoSpaceDE/>
              <w:autoSpaceDN/>
              <w:bidi w:val="0"/>
              <w:adjustRightInd/>
              <w:snapToGrid/>
              <w:spacing w:line="440" w:lineRule="exact"/>
              <w:jc w:val="center"/>
              <w:textAlignment w:val="auto"/>
              <w:outlineLvl w:val="9"/>
              <w:rPr>
                <w:rFonts w:hint="default" w:ascii="Times New Roman" w:hAnsi="Times New Roman" w:eastAsia="黑体" w:cs="Times New Roman"/>
                <w:color w:val="000000" w:themeColor="text1"/>
                <w:sz w:val="24"/>
                <w:szCs w:val="24"/>
                <w14:textFill>
                  <w14:solidFill>
                    <w14:schemeClr w14:val="tx1"/>
                  </w14:solidFill>
                </w14:textFill>
              </w:rPr>
            </w:pPr>
            <w:r>
              <w:rPr>
                <w:rFonts w:hint="default" w:ascii="Times New Roman" w:hAnsi="Times New Roman" w:eastAsia="黑体" w:cs="Times New Roman"/>
                <w:color w:val="000000" w:themeColor="text1"/>
                <w:sz w:val="24"/>
                <w:szCs w:val="24"/>
                <w14:textFill>
                  <w14:solidFill>
                    <w14:schemeClr w14:val="tx1"/>
                  </w14:solidFill>
                </w14:textFill>
              </w:rPr>
              <w:t>电话</w:t>
            </w:r>
          </w:p>
        </w:tc>
        <w:tc>
          <w:tcPr>
            <w:tcW w:w="987" w:type="dxa"/>
            <w:vAlign w:val="center"/>
          </w:tcPr>
          <w:p w14:paraId="5820E555">
            <w:pPr>
              <w:keepNext w:val="0"/>
              <w:keepLines w:val="0"/>
              <w:pageBreakBefore w:val="0"/>
              <w:widowControl w:val="0"/>
              <w:kinsoku/>
              <w:wordWrap/>
              <w:overflowPunct w:val="0"/>
              <w:topLinePunct w:val="0"/>
              <w:autoSpaceDE/>
              <w:autoSpaceDN/>
              <w:bidi w:val="0"/>
              <w:adjustRightInd/>
              <w:snapToGrid/>
              <w:spacing w:line="440" w:lineRule="exact"/>
              <w:jc w:val="center"/>
              <w:textAlignment w:val="auto"/>
              <w:outlineLvl w:val="9"/>
              <w:rPr>
                <w:rFonts w:hint="default" w:ascii="Times New Roman" w:hAnsi="Times New Roman" w:eastAsia="黑体" w:cs="Times New Roman"/>
                <w:color w:val="000000" w:themeColor="text1"/>
                <w:sz w:val="24"/>
                <w:szCs w:val="24"/>
                <w14:textFill>
                  <w14:solidFill>
                    <w14:schemeClr w14:val="tx1"/>
                  </w14:solidFill>
                </w14:textFill>
              </w:rPr>
            </w:pPr>
            <w:r>
              <w:rPr>
                <w:rFonts w:hint="default" w:ascii="Times New Roman" w:hAnsi="Times New Roman" w:eastAsia="黑体" w:cs="Times New Roman"/>
                <w:color w:val="000000" w:themeColor="text1"/>
                <w:sz w:val="24"/>
                <w:szCs w:val="24"/>
                <w14:textFill>
                  <w14:solidFill>
                    <w14:schemeClr w14:val="tx1"/>
                  </w14:solidFill>
                </w14:textFill>
              </w:rPr>
              <w:t>邮编</w:t>
            </w:r>
          </w:p>
        </w:tc>
        <w:tc>
          <w:tcPr>
            <w:tcW w:w="1853" w:type="dxa"/>
            <w:vAlign w:val="center"/>
          </w:tcPr>
          <w:p w14:paraId="797E9080">
            <w:pPr>
              <w:keepNext w:val="0"/>
              <w:keepLines w:val="0"/>
              <w:pageBreakBefore w:val="0"/>
              <w:widowControl w:val="0"/>
              <w:kinsoku/>
              <w:wordWrap/>
              <w:overflowPunct w:val="0"/>
              <w:topLinePunct w:val="0"/>
              <w:autoSpaceDE/>
              <w:autoSpaceDN/>
              <w:bidi w:val="0"/>
              <w:adjustRightInd/>
              <w:snapToGrid/>
              <w:spacing w:line="440" w:lineRule="exact"/>
              <w:jc w:val="center"/>
              <w:textAlignment w:val="auto"/>
              <w:outlineLvl w:val="9"/>
              <w:rPr>
                <w:rFonts w:hint="default" w:ascii="Times New Roman" w:hAnsi="Times New Roman" w:eastAsia="黑体" w:cs="Times New Roman"/>
                <w:color w:val="000000" w:themeColor="text1"/>
                <w:sz w:val="24"/>
                <w:szCs w:val="24"/>
                <w14:textFill>
                  <w14:solidFill>
                    <w14:schemeClr w14:val="tx1"/>
                  </w14:solidFill>
                </w14:textFill>
              </w:rPr>
            </w:pPr>
            <w:r>
              <w:rPr>
                <w:rFonts w:hint="default" w:ascii="Times New Roman" w:hAnsi="Times New Roman" w:eastAsia="黑体" w:cs="Times New Roman"/>
                <w:color w:val="000000" w:themeColor="text1"/>
                <w:sz w:val="24"/>
                <w:szCs w:val="24"/>
                <w14:textFill>
                  <w14:solidFill>
                    <w14:schemeClr w14:val="tx1"/>
                  </w14:solidFill>
                </w14:textFill>
              </w:rPr>
              <w:t>电子邮箱</w:t>
            </w:r>
          </w:p>
        </w:tc>
      </w:tr>
      <w:tr w14:paraId="51F4A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0" w:hRule="exact"/>
        </w:trPr>
        <w:tc>
          <w:tcPr>
            <w:tcW w:w="777" w:type="dxa"/>
            <w:vAlign w:val="center"/>
          </w:tcPr>
          <w:p w14:paraId="15A69D6E">
            <w:pPr>
              <w:keepNext w:val="0"/>
              <w:keepLines w:val="0"/>
              <w:pageBreakBefore w:val="0"/>
              <w:widowControl w:val="0"/>
              <w:kinsoku/>
              <w:wordWrap/>
              <w:overflowPunct w:val="0"/>
              <w:topLinePunct w:val="0"/>
              <w:autoSpaceDE/>
              <w:autoSpaceDN/>
              <w:bidi w:val="0"/>
              <w:adjustRightInd/>
              <w:snapToGrid/>
              <w:spacing w:line="440" w:lineRule="exact"/>
              <w:jc w:val="center"/>
              <w:textAlignment w:val="auto"/>
              <w:outlineLvl w:val="9"/>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1</w:t>
            </w:r>
          </w:p>
        </w:tc>
        <w:tc>
          <w:tcPr>
            <w:tcW w:w="1255" w:type="dxa"/>
            <w:vAlign w:val="center"/>
          </w:tcPr>
          <w:p w14:paraId="05E1518A">
            <w:pPr>
              <w:keepNext w:val="0"/>
              <w:keepLines w:val="0"/>
              <w:pageBreakBefore w:val="0"/>
              <w:widowControl w:val="0"/>
              <w:kinsoku/>
              <w:wordWrap/>
              <w:overflowPunct w:val="0"/>
              <w:topLinePunct w:val="0"/>
              <w:autoSpaceDE/>
              <w:autoSpaceDN/>
              <w:bidi w:val="0"/>
              <w:adjustRightInd/>
              <w:snapToGrid/>
              <w:spacing w:line="440" w:lineRule="exact"/>
              <w:jc w:val="center"/>
              <w:textAlignment w:val="auto"/>
              <w:outlineLvl w:val="9"/>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住房和城乡建设局</w:t>
            </w:r>
          </w:p>
        </w:tc>
        <w:tc>
          <w:tcPr>
            <w:tcW w:w="2308" w:type="dxa"/>
            <w:vAlign w:val="center"/>
          </w:tcPr>
          <w:p w14:paraId="7AAABB03">
            <w:pPr>
              <w:keepNext w:val="0"/>
              <w:keepLines w:val="0"/>
              <w:pageBreakBefore w:val="0"/>
              <w:widowControl w:val="0"/>
              <w:kinsoku/>
              <w:wordWrap/>
              <w:overflowPunct w:val="0"/>
              <w:topLinePunct w:val="0"/>
              <w:autoSpaceDE/>
              <w:autoSpaceDN/>
              <w:bidi w:val="0"/>
              <w:adjustRightInd/>
              <w:snapToGrid/>
              <w:spacing w:line="440" w:lineRule="exact"/>
              <w:textAlignment w:val="auto"/>
              <w:outlineLvl w:val="9"/>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新疆北屯市新区龙疆东街365号行政服务中心B</w:t>
            </w: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609</w:t>
            </w:r>
            <w:r>
              <w:rPr>
                <w:rFonts w:hint="default" w:ascii="Times New Roman" w:hAnsi="Times New Roman" w:eastAsia="仿宋_GB2312" w:cs="Times New Roman"/>
                <w:color w:val="000000" w:themeColor="text1"/>
                <w:sz w:val="24"/>
                <w:szCs w:val="24"/>
                <w14:textFill>
                  <w14:solidFill>
                    <w14:schemeClr w14:val="tx1"/>
                  </w14:solidFill>
                </w14:textFill>
              </w:rPr>
              <w:t>室</w:t>
            </w:r>
          </w:p>
        </w:tc>
        <w:tc>
          <w:tcPr>
            <w:tcW w:w="1683" w:type="dxa"/>
            <w:vAlign w:val="center"/>
          </w:tcPr>
          <w:p w14:paraId="57777423">
            <w:pPr>
              <w:keepNext w:val="0"/>
              <w:keepLines w:val="0"/>
              <w:pageBreakBefore w:val="0"/>
              <w:widowControl w:val="0"/>
              <w:kinsoku/>
              <w:wordWrap/>
              <w:overflowPunct w:val="0"/>
              <w:topLinePunct w:val="0"/>
              <w:autoSpaceDE/>
              <w:autoSpaceDN/>
              <w:bidi w:val="0"/>
              <w:adjustRightInd/>
              <w:snapToGrid/>
              <w:spacing w:line="440" w:lineRule="exact"/>
              <w:textAlignment w:val="auto"/>
              <w:outlineLvl w:val="9"/>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0906-</w:t>
            </w: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3370109</w:t>
            </w:r>
          </w:p>
        </w:tc>
        <w:tc>
          <w:tcPr>
            <w:tcW w:w="987" w:type="dxa"/>
            <w:vAlign w:val="center"/>
          </w:tcPr>
          <w:p w14:paraId="0C562445">
            <w:pPr>
              <w:keepNext w:val="0"/>
              <w:keepLines w:val="0"/>
              <w:pageBreakBefore w:val="0"/>
              <w:widowControl w:val="0"/>
              <w:kinsoku/>
              <w:wordWrap/>
              <w:overflowPunct w:val="0"/>
              <w:topLinePunct w:val="0"/>
              <w:autoSpaceDE/>
              <w:autoSpaceDN/>
              <w:bidi w:val="0"/>
              <w:adjustRightInd/>
              <w:snapToGrid/>
              <w:spacing w:line="440" w:lineRule="exact"/>
              <w:textAlignment w:val="auto"/>
              <w:outlineLvl w:val="9"/>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836099</w:t>
            </w:r>
          </w:p>
        </w:tc>
        <w:tc>
          <w:tcPr>
            <w:tcW w:w="1853" w:type="dxa"/>
            <w:vAlign w:val="center"/>
          </w:tcPr>
          <w:p w14:paraId="52514A7F">
            <w:pPr>
              <w:keepNext w:val="0"/>
              <w:keepLines w:val="0"/>
              <w:pageBreakBefore w:val="0"/>
              <w:widowControl w:val="0"/>
              <w:kinsoku/>
              <w:wordWrap/>
              <w:overflowPunct w:val="0"/>
              <w:topLinePunct w:val="0"/>
              <w:autoSpaceDE/>
              <w:autoSpaceDN/>
              <w:bidi w:val="0"/>
              <w:adjustRightInd/>
              <w:snapToGrid/>
              <w:spacing w:line="440" w:lineRule="exact"/>
              <w:textAlignment w:val="auto"/>
              <w:outlineLvl w:val="9"/>
              <w:rPr>
                <w:rFonts w:hint="default" w:ascii="Times New Roman" w:hAnsi="Times New Roman" w:eastAsia="仿宋_GB2312" w:cs="Times New Roman"/>
                <w:color w:val="000000" w:themeColor="text1"/>
                <w:sz w:val="24"/>
                <w:szCs w:val="24"/>
                <w14:textFill>
                  <w14:solidFill>
                    <w14:schemeClr w14:val="tx1"/>
                  </w14:solidFill>
                </w14:textFill>
              </w:rPr>
            </w:pPr>
          </w:p>
        </w:tc>
      </w:tr>
      <w:tr w14:paraId="54E45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6" w:hRule="exact"/>
        </w:trPr>
        <w:tc>
          <w:tcPr>
            <w:tcW w:w="777" w:type="dxa"/>
            <w:vAlign w:val="center"/>
          </w:tcPr>
          <w:p w14:paraId="4757856D">
            <w:pPr>
              <w:keepNext w:val="0"/>
              <w:keepLines w:val="0"/>
              <w:pageBreakBefore w:val="0"/>
              <w:widowControl w:val="0"/>
              <w:kinsoku/>
              <w:wordWrap/>
              <w:overflowPunct w:val="0"/>
              <w:topLinePunct w:val="0"/>
              <w:autoSpaceDE/>
              <w:autoSpaceDN/>
              <w:bidi w:val="0"/>
              <w:adjustRightInd/>
              <w:snapToGrid/>
              <w:spacing w:line="440" w:lineRule="exact"/>
              <w:jc w:val="center"/>
              <w:textAlignment w:val="auto"/>
              <w:outlineLvl w:val="9"/>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2</w:t>
            </w:r>
          </w:p>
        </w:tc>
        <w:tc>
          <w:tcPr>
            <w:tcW w:w="1255" w:type="dxa"/>
            <w:vAlign w:val="center"/>
          </w:tcPr>
          <w:p w14:paraId="430CA396">
            <w:pPr>
              <w:keepNext w:val="0"/>
              <w:keepLines w:val="0"/>
              <w:pageBreakBefore w:val="0"/>
              <w:widowControl w:val="0"/>
              <w:kinsoku/>
              <w:wordWrap/>
              <w:overflowPunct w:val="0"/>
              <w:topLinePunct w:val="0"/>
              <w:autoSpaceDE/>
              <w:autoSpaceDN/>
              <w:bidi w:val="0"/>
              <w:adjustRightInd/>
              <w:snapToGrid/>
              <w:spacing w:line="440" w:lineRule="exact"/>
              <w:jc w:val="center"/>
              <w:textAlignment w:val="auto"/>
              <w:outlineLvl w:val="9"/>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交通</w:t>
            </w:r>
          </w:p>
          <w:p w14:paraId="362E3293">
            <w:pPr>
              <w:keepNext w:val="0"/>
              <w:keepLines w:val="0"/>
              <w:pageBreakBefore w:val="0"/>
              <w:widowControl w:val="0"/>
              <w:kinsoku/>
              <w:wordWrap/>
              <w:overflowPunct w:val="0"/>
              <w:topLinePunct w:val="0"/>
              <w:autoSpaceDE/>
              <w:autoSpaceDN/>
              <w:bidi w:val="0"/>
              <w:adjustRightInd/>
              <w:snapToGrid/>
              <w:spacing w:line="440" w:lineRule="exact"/>
              <w:jc w:val="center"/>
              <w:textAlignment w:val="auto"/>
              <w:outlineLvl w:val="9"/>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运输局</w:t>
            </w:r>
          </w:p>
        </w:tc>
        <w:tc>
          <w:tcPr>
            <w:tcW w:w="2308" w:type="dxa"/>
            <w:vAlign w:val="center"/>
          </w:tcPr>
          <w:p w14:paraId="1CB6E533">
            <w:pPr>
              <w:keepNext w:val="0"/>
              <w:keepLines w:val="0"/>
              <w:pageBreakBefore w:val="0"/>
              <w:widowControl w:val="0"/>
              <w:kinsoku/>
              <w:wordWrap/>
              <w:overflowPunct w:val="0"/>
              <w:topLinePunct w:val="0"/>
              <w:autoSpaceDE/>
              <w:autoSpaceDN/>
              <w:bidi w:val="0"/>
              <w:adjustRightInd/>
              <w:snapToGrid/>
              <w:spacing w:line="440" w:lineRule="exact"/>
              <w:textAlignment w:val="auto"/>
              <w:outlineLvl w:val="9"/>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新疆北屯市</w:t>
            </w:r>
            <w:r>
              <w:rPr>
                <w:rFonts w:hint="default" w:ascii="Times New Roman" w:hAnsi="Times New Roman" w:eastAsia="仿宋_GB2312" w:cs="Times New Roman"/>
                <w:color w:val="000000" w:themeColor="text1"/>
                <w:sz w:val="24"/>
                <w:szCs w:val="24"/>
                <w:lang w:eastAsia="zh-CN"/>
                <w14:textFill>
                  <w14:solidFill>
                    <w14:schemeClr w14:val="tx1"/>
                  </w14:solidFill>
                </w14:textFill>
              </w:rPr>
              <w:t>新区龙山路</w:t>
            </w: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306号</w:t>
            </w:r>
          </w:p>
        </w:tc>
        <w:tc>
          <w:tcPr>
            <w:tcW w:w="1683" w:type="dxa"/>
            <w:shd w:val="clear" w:color="auto" w:fill="auto"/>
            <w:vAlign w:val="center"/>
          </w:tcPr>
          <w:p w14:paraId="76FE7D96">
            <w:pPr>
              <w:keepNext w:val="0"/>
              <w:keepLines w:val="0"/>
              <w:pageBreakBefore w:val="0"/>
              <w:widowControl w:val="0"/>
              <w:kinsoku/>
              <w:wordWrap/>
              <w:overflowPunct w:val="0"/>
              <w:topLinePunct w:val="0"/>
              <w:autoSpaceDE/>
              <w:autoSpaceDN/>
              <w:bidi w:val="0"/>
              <w:adjustRightInd/>
              <w:snapToGrid/>
              <w:spacing w:line="440" w:lineRule="exact"/>
              <w:textAlignment w:val="auto"/>
              <w:outlineLvl w:val="9"/>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0906-</w:t>
            </w: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3354396</w:t>
            </w:r>
          </w:p>
        </w:tc>
        <w:tc>
          <w:tcPr>
            <w:tcW w:w="987" w:type="dxa"/>
            <w:shd w:val="clear" w:color="auto" w:fill="auto"/>
            <w:vAlign w:val="center"/>
          </w:tcPr>
          <w:p w14:paraId="783A0C10">
            <w:pPr>
              <w:keepNext w:val="0"/>
              <w:keepLines w:val="0"/>
              <w:pageBreakBefore w:val="0"/>
              <w:widowControl w:val="0"/>
              <w:kinsoku/>
              <w:wordWrap/>
              <w:overflowPunct w:val="0"/>
              <w:topLinePunct w:val="0"/>
              <w:autoSpaceDE/>
              <w:autoSpaceDN/>
              <w:bidi w:val="0"/>
              <w:adjustRightInd/>
              <w:snapToGrid/>
              <w:spacing w:line="440" w:lineRule="exact"/>
              <w:textAlignment w:val="auto"/>
              <w:outlineLvl w:val="9"/>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836099</w:t>
            </w:r>
          </w:p>
        </w:tc>
        <w:tc>
          <w:tcPr>
            <w:tcW w:w="1853" w:type="dxa"/>
            <w:vAlign w:val="center"/>
          </w:tcPr>
          <w:p w14:paraId="342A8760">
            <w:pPr>
              <w:keepNext w:val="0"/>
              <w:keepLines w:val="0"/>
              <w:pageBreakBefore w:val="0"/>
              <w:widowControl w:val="0"/>
              <w:kinsoku/>
              <w:wordWrap/>
              <w:overflowPunct w:val="0"/>
              <w:topLinePunct w:val="0"/>
              <w:autoSpaceDE/>
              <w:autoSpaceDN/>
              <w:bidi w:val="0"/>
              <w:adjustRightInd/>
              <w:snapToGrid/>
              <w:spacing w:line="440" w:lineRule="exact"/>
              <w:textAlignment w:val="auto"/>
              <w:outlineLvl w:val="9"/>
              <w:rPr>
                <w:rFonts w:hint="default" w:ascii="Times New Roman" w:hAnsi="Times New Roman" w:eastAsia="仿宋_GB2312" w:cs="Times New Roman"/>
                <w:color w:val="000000" w:themeColor="text1"/>
                <w:sz w:val="24"/>
                <w:szCs w:val="24"/>
                <w14:textFill>
                  <w14:solidFill>
                    <w14:schemeClr w14:val="tx1"/>
                  </w14:solidFill>
                </w14:textFill>
              </w:rPr>
            </w:pPr>
          </w:p>
        </w:tc>
      </w:tr>
      <w:tr w14:paraId="5A397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8" w:hRule="exact"/>
        </w:trPr>
        <w:tc>
          <w:tcPr>
            <w:tcW w:w="777" w:type="dxa"/>
            <w:vAlign w:val="center"/>
          </w:tcPr>
          <w:p w14:paraId="73A16B9D">
            <w:pPr>
              <w:keepNext w:val="0"/>
              <w:keepLines w:val="0"/>
              <w:pageBreakBefore w:val="0"/>
              <w:widowControl w:val="0"/>
              <w:kinsoku/>
              <w:wordWrap/>
              <w:overflowPunct w:val="0"/>
              <w:topLinePunct w:val="0"/>
              <w:autoSpaceDE/>
              <w:autoSpaceDN/>
              <w:bidi w:val="0"/>
              <w:adjustRightInd/>
              <w:snapToGrid/>
              <w:spacing w:line="440" w:lineRule="exact"/>
              <w:jc w:val="center"/>
              <w:textAlignment w:val="auto"/>
              <w:outlineLvl w:val="9"/>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3</w:t>
            </w:r>
          </w:p>
        </w:tc>
        <w:tc>
          <w:tcPr>
            <w:tcW w:w="1255" w:type="dxa"/>
            <w:vAlign w:val="center"/>
          </w:tcPr>
          <w:p w14:paraId="4E3548CE">
            <w:pPr>
              <w:keepNext w:val="0"/>
              <w:keepLines w:val="0"/>
              <w:pageBreakBefore w:val="0"/>
              <w:widowControl w:val="0"/>
              <w:kinsoku/>
              <w:wordWrap/>
              <w:overflowPunct w:val="0"/>
              <w:topLinePunct w:val="0"/>
              <w:autoSpaceDE/>
              <w:autoSpaceDN/>
              <w:bidi w:val="0"/>
              <w:adjustRightInd/>
              <w:snapToGrid/>
              <w:spacing w:line="440" w:lineRule="exact"/>
              <w:jc w:val="center"/>
              <w:textAlignment w:val="auto"/>
              <w:outlineLvl w:val="9"/>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水利局</w:t>
            </w:r>
          </w:p>
        </w:tc>
        <w:tc>
          <w:tcPr>
            <w:tcW w:w="2308" w:type="dxa"/>
            <w:shd w:val="clear" w:color="auto" w:fill="auto"/>
            <w:vAlign w:val="center"/>
          </w:tcPr>
          <w:p w14:paraId="2AD1DBE8">
            <w:pPr>
              <w:keepNext w:val="0"/>
              <w:keepLines w:val="0"/>
              <w:pageBreakBefore w:val="0"/>
              <w:widowControl w:val="0"/>
              <w:kinsoku/>
              <w:wordWrap/>
              <w:overflowPunct w:val="0"/>
              <w:topLinePunct w:val="0"/>
              <w:autoSpaceDE/>
              <w:autoSpaceDN/>
              <w:bidi w:val="0"/>
              <w:adjustRightInd/>
              <w:snapToGrid/>
              <w:spacing w:line="440" w:lineRule="exact"/>
              <w:textAlignment w:val="auto"/>
              <w:outlineLvl w:val="9"/>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新疆北屯市新区龙疆东街365号行政服务中心B</w:t>
            </w: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425</w:t>
            </w:r>
            <w:r>
              <w:rPr>
                <w:rFonts w:hint="default" w:ascii="Times New Roman" w:hAnsi="Times New Roman" w:eastAsia="仿宋_GB2312" w:cs="Times New Roman"/>
                <w:color w:val="000000" w:themeColor="text1"/>
                <w:sz w:val="24"/>
                <w:szCs w:val="24"/>
                <w14:textFill>
                  <w14:solidFill>
                    <w14:schemeClr w14:val="tx1"/>
                  </w14:solidFill>
                </w14:textFill>
              </w:rPr>
              <w:t>室</w:t>
            </w:r>
          </w:p>
        </w:tc>
        <w:tc>
          <w:tcPr>
            <w:tcW w:w="1683" w:type="dxa"/>
            <w:shd w:val="clear" w:color="auto" w:fill="auto"/>
            <w:vAlign w:val="center"/>
          </w:tcPr>
          <w:p w14:paraId="4FCAE3E8">
            <w:pPr>
              <w:keepNext w:val="0"/>
              <w:keepLines w:val="0"/>
              <w:pageBreakBefore w:val="0"/>
              <w:widowControl w:val="0"/>
              <w:kinsoku/>
              <w:wordWrap/>
              <w:overflowPunct w:val="0"/>
              <w:topLinePunct w:val="0"/>
              <w:autoSpaceDE/>
              <w:autoSpaceDN/>
              <w:bidi w:val="0"/>
              <w:adjustRightInd/>
              <w:snapToGrid/>
              <w:spacing w:line="440" w:lineRule="exact"/>
              <w:textAlignment w:val="auto"/>
              <w:outlineLvl w:val="9"/>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0906-</w:t>
            </w: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3370025</w:t>
            </w:r>
          </w:p>
        </w:tc>
        <w:tc>
          <w:tcPr>
            <w:tcW w:w="987" w:type="dxa"/>
            <w:shd w:val="clear" w:color="auto" w:fill="auto"/>
            <w:vAlign w:val="center"/>
          </w:tcPr>
          <w:p w14:paraId="16E3D657">
            <w:pPr>
              <w:keepNext w:val="0"/>
              <w:keepLines w:val="0"/>
              <w:pageBreakBefore w:val="0"/>
              <w:widowControl w:val="0"/>
              <w:kinsoku/>
              <w:wordWrap/>
              <w:overflowPunct w:val="0"/>
              <w:topLinePunct w:val="0"/>
              <w:autoSpaceDE/>
              <w:autoSpaceDN/>
              <w:bidi w:val="0"/>
              <w:adjustRightInd/>
              <w:snapToGrid/>
              <w:spacing w:line="440" w:lineRule="exact"/>
              <w:textAlignment w:val="auto"/>
              <w:outlineLvl w:val="9"/>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836099</w:t>
            </w:r>
          </w:p>
        </w:tc>
        <w:tc>
          <w:tcPr>
            <w:tcW w:w="1853" w:type="dxa"/>
            <w:vAlign w:val="center"/>
          </w:tcPr>
          <w:p w14:paraId="6339B2A2">
            <w:pPr>
              <w:keepNext w:val="0"/>
              <w:keepLines w:val="0"/>
              <w:pageBreakBefore w:val="0"/>
              <w:widowControl w:val="0"/>
              <w:kinsoku/>
              <w:wordWrap/>
              <w:overflowPunct w:val="0"/>
              <w:topLinePunct w:val="0"/>
              <w:autoSpaceDE/>
              <w:autoSpaceDN/>
              <w:bidi w:val="0"/>
              <w:adjustRightInd/>
              <w:snapToGrid/>
              <w:spacing w:line="440" w:lineRule="exact"/>
              <w:textAlignment w:val="auto"/>
              <w:outlineLvl w:val="9"/>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s3370025@sina.com</w:t>
            </w:r>
          </w:p>
        </w:tc>
      </w:tr>
      <w:tr w14:paraId="4E4A6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6" w:hRule="exact"/>
        </w:trPr>
        <w:tc>
          <w:tcPr>
            <w:tcW w:w="777" w:type="dxa"/>
            <w:vAlign w:val="center"/>
          </w:tcPr>
          <w:p w14:paraId="258B9C20">
            <w:pPr>
              <w:keepNext w:val="0"/>
              <w:keepLines w:val="0"/>
              <w:pageBreakBefore w:val="0"/>
              <w:widowControl w:val="0"/>
              <w:kinsoku/>
              <w:wordWrap/>
              <w:overflowPunct w:val="0"/>
              <w:topLinePunct w:val="0"/>
              <w:autoSpaceDE/>
              <w:autoSpaceDN/>
              <w:bidi w:val="0"/>
              <w:adjustRightInd/>
              <w:snapToGrid/>
              <w:spacing w:line="440" w:lineRule="exact"/>
              <w:jc w:val="center"/>
              <w:textAlignment w:val="auto"/>
              <w:outlineLvl w:val="9"/>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4</w:t>
            </w:r>
          </w:p>
        </w:tc>
        <w:tc>
          <w:tcPr>
            <w:tcW w:w="1255" w:type="dxa"/>
            <w:vAlign w:val="center"/>
          </w:tcPr>
          <w:p w14:paraId="2666F2DD">
            <w:pPr>
              <w:keepNext w:val="0"/>
              <w:keepLines w:val="0"/>
              <w:pageBreakBefore w:val="0"/>
              <w:widowControl w:val="0"/>
              <w:kinsoku/>
              <w:wordWrap/>
              <w:overflowPunct w:val="0"/>
              <w:topLinePunct w:val="0"/>
              <w:autoSpaceDE/>
              <w:autoSpaceDN/>
              <w:bidi w:val="0"/>
              <w:adjustRightInd/>
              <w:snapToGrid/>
              <w:spacing w:line="440" w:lineRule="exact"/>
              <w:jc w:val="center"/>
              <w:textAlignment w:val="auto"/>
              <w:outlineLvl w:val="9"/>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发展和改革委员会</w:t>
            </w:r>
          </w:p>
        </w:tc>
        <w:tc>
          <w:tcPr>
            <w:tcW w:w="2308" w:type="dxa"/>
            <w:shd w:val="clear" w:color="auto" w:fill="auto"/>
            <w:vAlign w:val="center"/>
          </w:tcPr>
          <w:p w14:paraId="392301ED">
            <w:pPr>
              <w:keepNext w:val="0"/>
              <w:keepLines w:val="0"/>
              <w:pageBreakBefore w:val="0"/>
              <w:widowControl w:val="0"/>
              <w:kinsoku/>
              <w:wordWrap/>
              <w:overflowPunct w:val="0"/>
              <w:topLinePunct w:val="0"/>
              <w:autoSpaceDE/>
              <w:autoSpaceDN/>
              <w:bidi w:val="0"/>
              <w:adjustRightInd/>
              <w:snapToGrid/>
              <w:spacing w:line="440" w:lineRule="exact"/>
              <w:textAlignment w:val="auto"/>
              <w:outlineLvl w:val="9"/>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新疆北屯市新区龙疆东街365号行政服务中心B</w:t>
            </w: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213</w:t>
            </w:r>
            <w:r>
              <w:rPr>
                <w:rFonts w:hint="default" w:ascii="Times New Roman" w:hAnsi="Times New Roman" w:eastAsia="仿宋_GB2312" w:cs="Times New Roman"/>
                <w:color w:val="000000" w:themeColor="text1"/>
                <w:sz w:val="24"/>
                <w:szCs w:val="24"/>
                <w14:textFill>
                  <w14:solidFill>
                    <w14:schemeClr w14:val="tx1"/>
                  </w14:solidFill>
                </w14:textFill>
              </w:rPr>
              <w:t>室</w:t>
            </w:r>
          </w:p>
        </w:tc>
        <w:tc>
          <w:tcPr>
            <w:tcW w:w="1683" w:type="dxa"/>
            <w:shd w:val="clear" w:color="auto" w:fill="auto"/>
            <w:vAlign w:val="center"/>
          </w:tcPr>
          <w:p w14:paraId="6CE296FF">
            <w:pPr>
              <w:keepNext w:val="0"/>
              <w:keepLines w:val="0"/>
              <w:pageBreakBefore w:val="0"/>
              <w:widowControl w:val="0"/>
              <w:kinsoku/>
              <w:wordWrap/>
              <w:overflowPunct w:val="0"/>
              <w:topLinePunct w:val="0"/>
              <w:autoSpaceDE/>
              <w:autoSpaceDN/>
              <w:bidi w:val="0"/>
              <w:adjustRightInd/>
              <w:snapToGrid/>
              <w:spacing w:line="440" w:lineRule="exact"/>
              <w:textAlignment w:val="auto"/>
              <w:outlineLvl w:val="9"/>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0906-</w:t>
            </w: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3312956</w:t>
            </w:r>
          </w:p>
        </w:tc>
        <w:tc>
          <w:tcPr>
            <w:tcW w:w="987" w:type="dxa"/>
            <w:shd w:val="clear" w:color="auto" w:fill="auto"/>
            <w:vAlign w:val="center"/>
          </w:tcPr>
          <w:p w14:paraId="4E41E88B">
            <w:pPr>
              <w:keepNext w:val="0"/>
              <w:keepLines w:val="0"/>
              <w:pageBreakBefore w:val="0"/>
              <w:widowControl w:val="0"/>
              <w:kinsoku/>
              <w:wordWrap/>
              <w:overflowPunct w:val="0"/>
              <w:topLinePunct w:val="0"/>
              <w:autoSpaceDE/>
              <w:autoSpaceDN/>
              <w:bidi w:val="0"/>
              <w:adjustRightInd/>
              <w:snapToGrid/>
              <w:spacing w:line="440" w:lineRule="exact"/>
              <w:textAlignment w:val="auto"/>
              <w:outlineLvl w:val="9"/>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836099</w:t>
            </w:r>
          </w:p>
        </w:tc>
        <w:tc>
          <w:tcPr>
            <w:tcW w:w="1853" w:type="dxa"/>
            <w:vAlign w:val="center"/>
          </w:tcPr>
          <w:p w14:paraId="0BEEAB8D">
            <w:pPr>
              <w:keepNext w:val="0"/>
              <w:keepLines w:val="0"/>
              <w:pageBreakBefore w:val="0"/>
              <w:widowControl w:val="0"/>
              <w:kinsoku/>
              <w:wordWrap/>
              <w:overflowPunct w:val="0"/>
              <w:topLinePunct w:val="0"/>
              <w:autoSpaceDE/>
              <w:autoSpaceDN/>
              <w:bidi w:val="0"/>
              <w:adjustRightInd/>
              <w:snapToGrid/>
              <w:spacing w:line="440" w:lineRule="exact"/>
              <w:textAlignment w:val="auto"/>
              <w:outlineLvl w:val="9"/>
              <w:rPr>
                <w:rFonts w:hint="default" w:ascii="Times New Roman" w:hAnsi="Times New Roman" w:eastAsia="仿宋_GB2312" w:cs="Times New Roman"/>
                <w:color w:val="000000" w:themeColor="text1"/>
                <w:sz w:val="24"/>
                <w:szCs w:val="24"/>
                <w14:textFill>
                  <w14:solidFill>
                    <w14:schemeClr w14:val="tx1"/>
                  </w14:solidFill>
                </w14:textFill>
              </w:rPr>
            </w:pPr>
          </w:p>
        </w:tc>
      </w:tr>
      <w:tr w14:paraId="1E0B6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6" w:hRule="exact"/>
        </w:trPr>
        <w:tc>
          <w:tcPr>
            <w:tcW w:w="777" w:type="dxa"/>
            <w:vAlign w:val="center"/>
          </w:tcPr>
          <w:p w14:paraId="74C03F3B">
            <w:pPr>
              <w:keepNext w:val="0"/>
              <w:keepLines w:val="0"/>
              <w:pageBreakBefore w:val="0"/>
              <w:widowControl w:val="0"/>
              <w:kinsoku/>
              <w:wordWrap/>
              <w:overflowPunct w:val="0"/>
              <w:topLinePunct w:val="0"/>
              <w:autoSpaceDE/>
              <w:autoSpaceDN/>
              <w:bidi w:val="0"/>
              <w:adjustRightInd/>
              <w:snapToGrid/>
              <w:spacing w:line="440" w:lineRule="exact"/>
              <w:jc w:val="center"/>
              <w:textAlignment w:val="auto"/>
              <w:outlineLvl w:val="9"/>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5</w:t>
            </w:r>
          </w:p>
        </w:tc>
        <w:tc>
          <w:tcPr>
            <w:tcW w:w="1255" w:type="dxa"/>
            <w:vAlign w:val="center"/>
          </w:tcPr>
          <w:p w14:paraId="0028C347">
            <w:pPr>
              <w:keepNext w:val="0"/>
              <w:keepLines w:val="0"/>
              <w:pageBreakBefore w:val="0"/>
              <w:widowControl w:val="0"/>
              <w:kinsoku/>
              <w:wordWrap/>
              <w:overflowPunct w:val="0"/>
              <w:topLinePunct w:val="0"/>
              <w:autoSpaceDE/>
              <w:autoSpaceDN/>
              <w:bidi w:val="0"/>
              <w:adjustRightInd/>
              <w:snapToGrid/>
              <w:spacing w:line="440" w:lineRule="exact"/>
              <w:jc w:val="center"/>
              <w:textAlignment w:val="auto"/>
              <w:outlineLvl w:val="9"/>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自然资源和规划局</w:t>
            </w:r>
          </w:p>
        </w:tc>
        <w:tc>
          <w:tcPr>
            <w:tcW w:w="2308" w:type="dxa"/>
            <w:vAlign w:val="center"/>
          </w:tcPr>
          <w:p w14:paraId="1183F52C">
            <w:pPr>
              <w:keepNext w:val="0"/>
              <w:keepLines w:val="0"/>
              <w:pageBreakBefore w:val="0"/>
              <w:widowControl w:val="0"/>
              <w:kinsoku/>
              <w:wordWrap/>
              <w:overflowPunct w:val="0"/>
              <w:topLinePunct w:val="0"/>
              <w:autoSpaceDE/>
              <w:autoSpaceDN/>
              <w:bidi w:val="0"/>
              <w:adjustRightInd/>
              <w:snapToGrid/>
              <w:spacing w:line="440" w:lineRule="exact"/>
              <w:textAlignment w:val="auto"/>
              <w:outlineLvl w:val="9"/>
              <w:rPr>
                <w:rFonts w:hint="default" w:ascii="Times New Roman" w:hAnsi="Times New Roman" w:eastAsia="仿宋_GB2312" w:cs="Times New Roman"/>
                <w:color w:val="000000" w:themeColor="text1"/>
                <w:sz w:val="24"/>
                <w:szCs w:val="24"/>
                <w:lang w:val="en-US"/>
                <w14:textFill>
                  <w14:solidFill>
                    <w14:schemeClr w14:val="tx1"/>
                  </w14:solidFill>
                </w14:textFill>
              </w:rPr>
            </w:pPr>
            <w:r>
              <w:rPr>
                <w:rFonts w:hint="default" w:ascii="Times New Roman" w:hAnsi="Times New Roman" w:eastAsia="仿宋_GB2312" w:cs="Times New Roman"/>
                <w:color w:val="000000" w:themeColor="text1"/>
                <w:sz w:val="24"/>
                <w:szCs w:val="24"/>
                <w:lang w:eastAsia="zh-CN"/>
                <w14:textFill>
                  <w14:solidFill>
                    <w14:schemeClr w14:val="tx1"/>
                  </w14:solidFill>
                </w14:textFill>
              </w:rPr>
              <w:t>新疆</w:t>
            </w: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北屯市新区龙山路206号</w:t>
            </w:r>
            <w:r>
              <w:rPr>
                <w:rFonts w:hint="default" w:ascii="Times New Roman" w:hAnsi="Times New Roman" w:eastAsia="仿宋_GB2312" w:cs="Times New Roman"/>
                <w:color w:val="000000" w:themeColor="text1"/>
                <w:sz w:val="24"/>
                <w:szCs w:val="24"/>
                <w:lang w:eastAsia="zh-CN"/>
                <w14:textFill>
                  <w14:solidFill>
                    <w14:schemeClr w14:val="tx1"/>
                  </w14:solidFill>
                </w14:textFill>
              </w:rPr>
              <w:t>土地学会楼</w:t>
            </w: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4楼</w:t>
            </w:r>
          </w:p>
        </w:tc>
        <w:tc>
          <w:tcPr>
            <w:tcW w:w="1683" w:type="dxa"/>
            <w:shd w:val="clear" w:color="auto" w:fill="auto"/>
            <w:vAlign w:val="center"/>
          </w:tcPr>
          <w:p w14:paraId="7A1FAC28">
            <w:pPr>
              <w:keepNext w:val="0"/>
              <w:keepLines w:val="0"/>
              <w:pageBreakBefore w:val="0"/>
              <w:widowControl w:val="0"/>
              <w:kinsoku/>
              <w:wordWrap/>
              <w:overflowPunct w:val="0"/>
              <w:topLinePunct w:val="0"/>
              <w:autoSpaceDE/>
              <w:autoSpaceDN/>
              <w:bidi w:val="0"/>
              <w:adjustRightInd/>
              <w:snapToGrid/>
              <w:spacing w:line="440" w:lineRule="exact"/>
              <w:textAlignment w:val="auto"/>
              <w:outlineLvl w:val="9"/>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0906-</w:t>
            </w: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3370002</w:t>
            </w:r>
          </w:p>
        </w:tc>
        <w:tc>
          <w:tcPr>
            <w:tcW w:w="987" w:type="dxa"/>
            <w:shd w:val="clear" w:color="auto" w:fill="auto"/>
            <w:vAlign w:val="center"/>
          </w:tcPr>
          <w:p w14:paraId="71B56EDD">
            <w:pPr>
              <w:keepNext w:val="0"/>
              <w:keepLines w:val="0"/>
              <w:pageBreakBefore w:val="0"/>
              <w:widowControl w:val="0"/>
              <w:kinsoku/>
              <w:wordWrap/>
              <w:overflowPunct w:val="0"/>
              <w:topLinePunct w:val="0"/>
              <w:autoSpaceDE/>
              <w:autoSpaceDN/>
              <w:bidi w:val="0"/>
              <w:adjustRightInd/>
              <w:snapToGrid/>
              <w:spacing w:line="440" w:lineRule="exact"/>
              <w:textAlignment w:val="auto"/>
              <w:outlineLvl w:val="9"/>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836099</w:t>
            </w:r>
          </w:p>
        </w:tc>
        <w:tc>
          <w:tcPr>
            <w:tcW w:w="1853" w:type="dxa"/>
            <w:vAlign w:val="center"/>
          </w:tcPr>
          <w:p w14:paraId="1E1C24E9">
            <w:pPr>
              <w:keepNext w:val="0"/>
              <w:keepLines w:val="0"/>
              <w:pageBreakBefore w:val="0"/>
              <w:widowControl w:val="0"/>
              <w:kinsoku/>
              <w:wordWrap/>
              <w:overflowPunct w:val="0"/>
              <w:topLinePunct w:val="0"/>
              <w:autoSpaceDE/>
              <w:autoSpaceDN/>
              <w:bidi w:val="0"/>
              <w:adjustRightInd/>
              <w:snapToGrid/>
              <w:spacing w:line="440" w:lineRule="exact"/>
              <w:textAlignment w:val="auto"/>
              <w:outlineLvl w:val="9"/>
              <w:rPr>
                <w:rFonts w:hint="default" w:ascii="Times New Roman" w:hAnsi="Times New Roman" w:eastAsia="仿宋_GB2312" w:cs="Times New Roman"/>
                <w:color w:val="000000" w:themeColor="text1"/>
                <w:sz w:val="24"/>
                <w:szCs w:val="24"/>
                <w14:textFill>
                  <w14:solidFill>
                    <w14:schemeClr w14:val="tx1"/>
                  </w14:solidFill>
                </w14:textFill>
              </w:rPr>
            </w:pPr>
          </w:p>
        </w:tc>
      </w:tr>
      <w:tr w14:paraId="2A938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2" w:hRule="exact"/>
        </w:trPr>
        <w:tc>
          <w:tcPr>
            <w:tcW w:w="777" w:type="dxa"/>
            <w:vAlign w:val="center"/>
          </w:tcPr>
          <w:p w14:paraId="2D09BBC4">
            <w:pPr>
              <w:keepNext w:val="0"/>
              <w:keepLines w:val="0"/>
              <w:pageBreakBefore w:val="0"/>
              <w:widowControl w:val="0"/>
              <w:kinsoku/>
              <w:wordWrap/>
              <w:overflowPunct w:val="0"/>
              <w:topLinePunct w:val="0"/>
              <w:autoSpaceDE/>
              <w:autoSpaceDN/>
              <w:bidi w:val="0"/>
              <w:adjustRightInd/>
              <w:snapToGrid/>
              <w:spacing w:line="440" w:lineRule="exact"/>
              <w:jc w:val="center"/>
              <w:textAlignment w:val="auto"/>
              <w:outlineLvl w:val="9"/>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6</w:t>
            </w:r>
          </w:p>
        </w:tc>
        <w:tc>
          <w:tcPr>
            <w:tcW w:w="1255" w:type="dxa"/>
            <w:vAlign w:val="center"/>
          </w:tcPr>
          <w:p w14:paraId="522F160C">
            <w:pPr>
              <w:keepNext w:val="0"/>
              <w:keepLines w:val="0"/>
              <w:pageBreakBefore w:val="0"/>
              <w:widowControl w:val="0"/>
              <w:kinsoku/>
              <w:wordWrap/>
              <w:overflowPunct w:val="0"/>
              <w:topLinePunct w:val="0"/>
              <w:autoSpaceDE/>
              <w:autoSpaceDN/>
              <w:bidi w:val="0"/>
              <w:adjustRightInd/>
              <w:snapToGrid/>
              <w:spacing w:line="440" w:lineRule="exact"/>
              <w:jc w:val="center"/>
              <w:textAlignment w:val="auto"/>
              <w:outlineLvl w:val="9"/>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农业</w:t>
            </w:r>
          </w:p>
          <w:p w14:paraId="733FF38B">
            <w:pPr>
              <w:keepNext w:val="0"/>
              <w:keepLines w:val="0"/>
              <w:pageBreakBefore w:val="0"/>
              <w:widowControl w:val="0"/>
              <w:kinsoku/>
              <w:wordWrap/>
              <w:overflowPunct w:val="0"/>
              <w:topLinePunct w:val="0"/>
              <w:autoSpaceDE/>
              <w:autoSpaceDN/>
              <w:bidi w:val="0"/>
              <w:adjustRightInd/>
              <w:snapToGrid/>
              <w:spacing w:line="440" w:lineRule="exact"/>
              <w:jc w:val="center"/>
              <w:textAlignment w:val="auto"/>
              <w:outlineLvl w:val="9"/>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农村局</w:t>
            </w:r>
          </w:p>
        </w:tc>
        <w:tc>
          <w:tcPr>
            <w:tcW w:w="2308" w:type="dxa"/>
            <w:shd w:val="clear" w:color="auto" w:fill="auto"/>
            <w:vAlign w:val="center"/>
          </w:tcPr>
          <w:p w14:paraId="3D580E56">
            <w:pPr>
              <w:keepNext w:val="0"/>
              <w:keepLines w:val="0"/>
              <w:pageBreakBefore w:val="0"/>
              <w:widowControl w:val="0"/>
              <w:kinsoku/>
              <w:wordWrap/>
              <w:overflowPunct w:val="0"/>
              <w:topLinePunct w:val="0"/>
              <w:autoSpaceDE/>
              <w:autoSpaceDN/>
              <w:bidi w:val="0"/>
              <w:adjustRightInd/>
              <w:snapToGrid/>
              <w:spacing w:line="440" w:lineRule="exact"/>
              <w:textAlignment w:val="auto"/>
              <w:outlineLvl w:val="9"/>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新疆北屯市新区龙疆东街365号行政服务中心</w:t>
            </w:r>
            <w:r>
              <w:rPr>
                <w:rFonts w:hint="default" w:ascii="Times New Roman" w:hAnsi="Times New Roman" w:eastAsia="仿宋_GB2312" w:cs="Times New Roman"/>
                <w:color w:val="000000" w:themeColor="text1"/>
                <w:sz w:val="24"/>
                <w:szCs w:val="24"/>
                <w:lang w:eastAsia="zh-CN"/>
                <w14:textFill>
                  <w14:solidFill>
                    <w14:schemeClr w14:val="tx1"/>
                  </w14:solidFill>
                </w14:textFill>
              </w:rPr>
              <w:t>西四楼</w:t>
            </w:r>
          </w:p>
        </w:tc>
        <w:tc>
          <w:tcPr>
            <w:tcW w:w="1683" w:type="dxa"/>
            <w:shd w:val="clear" w:color="auto" w:fill="auto"/>
            <w:vAlign w:val="center"/>
          </w:tcPr>
          <w:p w14:paraId="117C0421">
            <w:pPr>
              <w:keepNext w:val="0"/>
              <w:keepLines w:val="0"/>
              <w:pageBreakBefore w:val="0"/>
              <w:widowControl w:val="0"/>
              <w:kinsoku/>
              <w:wordWrap/>
              <w:overflowPunct w:val="0"/>
              <w:topLinePunct w:val="0"/>
              <w:autoSpaceDE/>
              <w:autoSpaceDN/>
              <w:bidi w:val="0"/>
              <w:adjustRightInd/>
              <w:snapToGrid/>
              <w:spacing w:line="440" w:lineRule="exact"/>
              <w:textAlignment w:val="auto"/>
              <w:outlineLvl w:val="9"/>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0906-</w:t>
            </w: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3377940</w:t>
            </w:r>
          </w:p>
        </w:tc>
        <w:tc>
          <w:tcPr>
            <w:tcW w:w="987" w:type="dxa"/>
            <w:vAlign w:val="center"/>
          </w:tcPr>
          <w:p w14:paraId="373170E9">
            <w:pPr>
              <w:keepNext w:val="0"/>
              <w:keepLines w:val="0"/>
              <w:pageBreakBefore w:val="0"/>
              <w:widowControl w:val="0"/>
              <w:kinsoku/>
              <w:wordWrap/>
              <w:overflowPunct w:val="0"/>
              <w:topLinePunct w:val="0"/>
              <w:autoSpaceDE/>
              <w:autoSpaceDN/>
              <w:bidi w:val="0"/>
              <w:adjustRightInd/>
              <w:snapToGrid/>
              <w:spacing w:line="440" w:lineRule="exact"/>
              <w:textAlignment w:val="auto"/>
              <w:outlineLvl w:val="9"/>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836099</w:t>
            </w:r>
          </w:p>
        </w:tc>
        <w:tc>
          <w:tcPr>
            <w:tcW w:w="1853" w:type="dxa"/>
            <w:vAlign w:val="center"/>
          </w:tcPr>
          <w:p w14:paraId="43C6AFA6">
            <w:pPr>
              <w:keepNext w:val="0"/>
              <w:keepLines w:val="0"/>
              <w:pageBreakBefore w:val="0"/>
              <w:widowControl w:val="0"/>
              <w:kinsoku/>
              <w:wordWrap/>
              <w:overflowPunct w:val="0"/>
              <w:topLinePunct w:val="0"/>
              <w:autoSpaceDE/>
              <w:autoSpaceDN/>
              <w:bidi w:val="0"/>
              <w:adjustRightInd/>
              <w:snapToGrid/>
              <w:spacing w:line="440" w:lineRule="exact"/>
              <w:textAlignment w:val="auto"/>
              <w:outlineLvl w:val="9"/>
              <w:rPr>
                <w:rFonts w:hint="default" w:ascii="Times New Roman" w:hAnsi="Times New Roman" w:eastAsia="仿宋_GB2312" w:cs="Times New Roman"/>
                <w:color w:val="000000" w:themeColor="text1"/>
                <w:sz w:val="24"/>
                <w:szCs w:val="24"/>
                <w14:textFill>
                  <w14:solidFill>
                    <w14:schemeClr w14:val="tx1"/>
                  </w14:solidFill>
                </w14:textFill>
              </w:rPr>
            </w:pPr>
          </w:p>
        </w:tc>
      </w:tr>
    </w:tbl>
    <w:p w14:paraId="63CE1D5A">
      <w:pPr>
        <w:pageBreakBefore w:val="0"/>
        <w:widowControl w:val="0"/>
        <w:kinsoku/>
        <w:wordWrap/>
        <w:overflowPunct w:val="0"/>
        <w:topLinePunct w:val="0"/>
        <w:autoSpaceDE/>
        <w:autoSpaceDN/>
        <w:bidi w:val="0"/>
        <w:adjustRightInd/>
        <w:snapToGrid/>
        <w:spacing w:line="560" w:lineRule="exact"/>
        <w:textAlignment w:val="auto"/>
        <w:rPr>
          <w:rFonts w:hint="default" w:ascii="Times New Roman" w:hAnsi="Times New Roman" w:cs="Times New Roman"/>
          <w:color w:val="000000" w:themeColor="text1"/>
          <w:sz w:val="40"/>
          <w14:textFill>
            <w14:solidFill>
              <w14:schemeClr w14:val="tx1"/>
            </w14:solidFill>
          </w14:textFill>
        </w:rPr>
      </w:pPr>
      <w:r>
        <w:rPr>
          <w:rFonts w:hint="default" w:ascii="Times New Roman" w:hAnsi="Times New Roman" w:cs="Times New Roman"/>
          <w:color w:val="000000" w:themeColor="text1"/>
          <w:sz w:val="40"/>
          <w14:textFill>
            <w14:solidFill>
              <w14:schemeClr w14:val="tx1"/>
            </w14:solidFill>
          </w14:textFill>
        </w:rPr>
        <w:br w:type="page"/>
      </w:r>
    </w:p>
    <w:p w14:paraId="03A33652">
      <w:pPr>
        <w:pStyle w:val="2"/>
        <w:pageBreakBefore w:val="0"/>
        <w:widowControl w:val="0"/>
        <w:kinsoku/>
        <w:wordWrap/>
        <w:overflowPunct w:val="0"/>
        <w:topLinePunct w:val="0"/>
        <w:autoSpaceDE/>
        <w:autoSpaceDN/>
        <w:bidi w:val="0"/>
        <w:adjustRightInd/>
        <w:snapToGrid/>
        <w:spacing w:line="560" w:lineRule="exact"/>
        <w:textAlignment w:val="auto"/>
        <w:rPr>
          <w:rFonts w:hint="default" w:ascii="Times New Roman" w:hAnsi="Times New Roman" w:eastAsia="黑体" w:cs="Times New Roman"/>
          <w:b w:val="0"/>
          <w:bCs/>
          <w:color w:val="000000" w:themeColor="text1"/>
          <w:sz w:val="28"/>
          <w:szCs w:val="28"/>
          <w14:textFill>
            <w14:solidFill>
              <w14:schemeClr w14:val="tx1"/>
            </w14:solidFill>
          </w14:textFill>
        </w:rPr>
      </w:pPr>
      <w:r>
        <w:rPr>
          <w:rFonts w:hint="default" w:ascii="Times New Roman" w:hAnsi="Times New Roman" w:eastAsia="黑体" w:cs="Times New Roman"/>
          <w:b w:val="0"/>
          <w:bCs/>
          <w:color w:val="000000" w:themeColor="text1"/>
          <w:sz w:val="28"/>
          <w:szCs w:val="28"/>
          <w14:textFill>
            <w14:solidFill>
              <w14:schemeClr w14:val="tx1"/>
            </w14:solidFill>
          </w14:textFill>
        </w:rPr>
        <w:t>附件2</w:t>
      </w:r>
    </w:p>
    <w:p w14:paraId="66C67A88">
      <w:pPr>
        <w:pStyle w:val="3"/>
        <w:pageBreakBefore w:val="0"/>
        <w:widowControl w:val="0"/>
        <w:kinsoku/>
        <w:wordWrap/>
        <w:overflowPunct w:val="0"/>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val="0"/>
          <w:bCs/>
          <w:color w:val="000000" w:themeColor="text1"/>
          <w:sz w:val="44"/>
          <w:szCs w:val="44"/>
          <w14:textFill>
            <w14:solidFill>
              <w14:schemeClr w14:val="tx1"/>
            </w14:solidFill>
          </w14:textFill>
        </w:rPr>
      </w:pPr>
    </w:p>
    <w:p w14:paraId="161B7A8B">
      <w:pPr>
        <w:pStyle w:val="3"/>
        <w:pageBreakBefore w:val="0"/>
        <w:widowControl w:val="0"/>
        <w:kinsoku/>
        <w:wordWrap/>
        <w:overflowPunct w:val="0"/>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val="0"/>
          <w:bCs/>
          <w:color w:val="000000" w:themeColor="text1"/>
          <w:sz w:val="44"/>
          <w:szCs w:val="44"/>
          <w14:textFill>
            <w14:solidFill>
              <w14:schemeClr w14:val="tx1"/>
            </w14:solidFill>
          </w14:textFill>
        </w:rPr>
      </w:pPr>
      <w:r>
        <w:rPr>
          <w:rFonts w:hint="default" w:ascii="Times New Roman" w:hAnsi="Times New Roman" w:eastAsia="方正小标宋简体" w:cs="Times New Roman"/>
          <w:b w:val="0"/>
          <w:bCs/>
          <w:color w:val="000000" w:themeColor="text1"/>
          <w:sz w:val="44"/>
          <w:szCs w:val="44"/>
          <w14:textFill>
            <w14:solidFill>
              <w14:schemeClr w14:val="tx1"/>
            </w14:solidFill>
          </w14:textFill>
        </w:rPr>
        <w:t>政府采购、国有产权领域交易活动</w:t>
      </w:r>
    </w:p>
    <w:p w14:paraId="0D40884E">
      <w:pPr>
        <w:pStyle w:val="3"/>
        <w:pageBreakBefore w:val="0"/>
        <w:widowControl w:val="0"/>
        <w:kinsoku/>
        <w:wordWrap/>
        <w:overflowPunct w:val="0"/>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val="0"/>
          <w:bCs/>
          <w:color w:val="000000" w:themeColor="text1"/>
          <w:sz w:val="44"/>
          <w:szCs w:val="44"/>
          <w14:textFill>
            <w14:solidFill>
              <w14:schemeClr w14:val="tx1"/>
            </w14:solidFill>
          </w14:textFill>
        </w:rPr>
      </w:pPr>
      <w:r>
        <w:rPr>
          <w:rFonts w:hint="default" w:ascii="Times New Roman" w:hAnsi="Times New Roman" w:eastAsia="方正小标宋简体" w:cs="Times New Roman"/>
          <w:b w:val="0"/>
          <w:bCs/>
          <w:color w:val="000000" w:themeColor="text1"/>
          <w:sz w:val="44"/>
          <w:szCs w:val="44"/>
          <w14:textFill>
            <w14:solidFill>
              <w14:schemeClr w14:val="tx1"/>
            </w14:solidFill>
          </w14:textFill>
        </w:rPr>
        <w:t>投诉受理指引</w:t>
      </w:r>
    </w:p>
    <w:p w14:paraId="16BAF803">
      <w:pPr>
        <w:pageBreakBefore w:val="0"/>
        <w:widowControl w:val="0"/>
        <w:kinsoku/>
        <w:wordWrap/>
        <w:overflowPunct w:val="0"/>
        <w:topLinePunct w:val="0"/>
        <w:autoSpaceDE/>
        <w:autoSpaceDN/>
        <w:bidi w:val="0"/>
        <w:adjustRightInd/>
        <w:snapToGrid/>
        <w:spacing w:line="560" w:lineRule="exact"/>
        <w:ind w:firstLine="620"/>
        <w:textAlignment w:val="auto"/>
        <w:rPr>
          <w:rFonts w:hint="default" w:ascii="Times New Roman" w:hAnsi="Times New Roman" w:eastAsia="黑体" w:cs="Times New Roman"/>
          <w:color w:val="000000" w:themeColor="text1"/>
          <w:sz w:val="32"/>
          <w:szCs w:val="32"/>
          <w14:textFill>
            <w14:solidFill>
              <w14:schemeClr w14:val="tx1"/>
            </w14:solidFill>
          </w14:textFill>
        </w:rPr>
      </w:pPr>
    </w:p>
    <w:p w14:paraId="6C684E91">
      <w:pPr>
        <w:pageBreakBefore w:val="0"/>
        <w:widowControl w:val="0"/>
        <w:kinsoku/>
        <w:wordWrap/>
        <w:overflowPunct w:val="0"/>
        <w:topLinePunct w:val="0"/>
        <w:autoSpaceDE/>
        <w:autoSpaceDN/>
        <w:bidi w:val="0"/>
        <w:adjustRightInd/>
        <w:snapToGrid/>
        <w:spacing w:line="560" w:lineRule="exact"/>
        <w:ind w:firstLine="620"/>
        <w:textAlignment w:val="auto"/>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一、受理投诉的范围内容及形式</w:t>
      </w:r>
    </w:p>
    <w:p w14:paraId="59F1EFB8">
      <w:pPr>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受理范围：第十师北屯市政府采购、国有产权交易等本领域内交易活动不符合政府采购、国有产权交易等相关法律法规和规章规定的情形。</w:t>
      </w:r>
    </w:p>
    <w:p w14:paraId="5303A524">
      <w:pPr>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受理部门：</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第十师北屯市</w:t>
      </w:r>
      <w:r>
        <w:rPr>
          <w:rFonts w:hint="default" w:ascii="Times New Roman" w:hAnsi="Times New Roman" w:eastAsia="仿宋_GB2312" w:cs="Times New Roman"/>
          <w:color w:val="000000" w:themeColor="text1"/>
          <w:sz w:val="32"/>
          <w:szCs w:val="32"/>
          <w14:textFill>
            <w14:solidFill>
              <w14:schemeClr w14:val="tx1"/>
            </w14:solidFill>
          </w14:textFill>
        </w:rPr>
        <w:t>财政局（国资委）</w:t>
      </w:r>
    </w:p>
    <w:p w14:paraId="4A1F0823">
      <w:pPr>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受理形式：书面形式（不限于纸质，可为电子扫描件）</w:t>
      </w:r>
    </w:p>
    <w:p w14:paraId="1F64E4C8">
      <w:pPr>
        <w:pageBreakBefore w:val="0"/>
        <w:widowControl w:val="0"/>
        <w:kinsoku/>
        <w:wordWrap/>
        <w:overflowPunct w:val="0"/>
        <w:topLinePunct w:val="0"/>
        <w:autoSpaceDE/>
        <w:autoSpaceDN/>
        <w:bidi w:val="0"/>
        <w:adjustRightInd/>
        <w:snapToGrid/>
        <w:spacing w:line="560" w:lineRule="exact"/>
        <w:ind w:firstLine="620"/>
        <w:textAlignment w:val="auto"/>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二、投诉的提出</w:t>
      </w:r>
    </w:p>
    <w:p w14:paraId="778C6C88">
      <w:pPr>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供应商（竞买人）</w:t>
      </w:r>
      <w:r>
        <w:rPr>
          <w:rFonts w:hint="default" w:ascii="Times New Roman" w:hAnsi="Times New Roman" w:eastAsia="仿宋_GB2312" w:cs="Times New Roman"/>
          <w:color w:val="000000" w:themeColor="text1"/>
          <w:sz w:val="32"/>
          <w:szCs w:val="32"/>
          <w14:textFill>
            <w14:solidFill>
              <w14:schemeClr w14:val="tx1"/>
            </w14:solidFill>
          </w14:textFill>
        </w:rPr>
        <w:t>认为采购（交易）文件、采购（交易）过程、中标或者成交结果使自己的权益受到损害的，可以在知道或者应知其权益受到损害之日起7个工作日内，以书面形式向采购人（出让人）、采购（拍卖）代理机构提出质疑。质疑供应商对采购人（出让人）、采购（拍卖）代理机构的答复不满意，或者采购人（出让人）、采购（拍卖）代理机构未在规定时间内</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作出</w:t>
      </w:r>
      <w:r>
        <w:rPr>
          <w:rFonts w:hint="default" w:ascii="Times New Roman" w:hAnsi="Times New Roman" w:eastAsia="仿宋_GB2312" w:cs="Times New Roman"/>
          <w:color w:val="000000" w:themeColor="text1"/>
          <w:sz w:val="32"/>
          <w:szCs w:val="32"/>
          <w14:textFill>
            <w14:solidFill>
              <w14:schemeClr w14:val="tx1"/>
            </w14:solidFill>
          </w14:textFill>
        </w:rPr>
        <w:t>答复的，可以在质疑答复期满后15个工作日内向财政部门提出投诉。</w:t>
      </w:r>
    </w:p>
    <w:p w14:paraId="388126D9">
      <w:pPr>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投诉人投诉时，应当提交投诉书和必要的证明材料，并按照被投诉采购人（出让人）、采购（拍卖）代理机构（以下简称被投诉人）和与投诉事项有关的供应商（竞买人）数量提供投诉书的副本。</w:t>
      </w:r>
    </w:p>
    <w:p w14:paraId="799E24E2">
      <w:pPr>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投诉书应当包括下列内容：</w:t>
      </w:r>
    </w:p>
    <w:p w14:paraId="3D8B2531">
      <w:pPr>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1.投诉人和被投诉人的姓名或者名称、通讯地址、邮编、联系人及联系电话；</w:t>
      </w:r>
    </w:p>
    <w:p w14:paraId="6F823625">
      <w:pPr>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2.质疑和质疑答复情况说明及相关证明材料；</w:t>
      </w:r>
    </w:p>
    <w:p w14:paraId="69D33C0A">
      <w:pPr>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3.具体、明确的投诉事项和与投诉事项相关的投诉请求；</w:t>
      </w:r>
    </w:p>
    <w:p w14:paraId="0BECF4DC">
      <w:pPr>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4.事实依据；</w:t>
      </w:r>
    </w:p>
    <w:p w14:paraId="38FEB248">
      <w:pPr>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5.法律依据；</w:t>
      </w:r>
    </w:p>
    <w:p w14:paraId="5426B33E">
      <w:pPr>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6.提起投诉的日期。</w:t>
      </w:r>
    </w:p>
    <w:p w14:paraId="39335FED">
      <w:pPr>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投诉人为自然人的，应当由本人签字；投诉人为法人</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单位</w:t>
      </w:r>
      <w:r>
        <w:rPr>
          <w:rFonts w:hint="default" w:ascii="Times New Roman" w:hAnsi="Times New Roman" w:eastAsia="仿宋_GB2312" w:cs="Times New Roman"/>
          <w:color w:val="000000" w:themeColor="text1"/>
          <w:sz w:val="32"/>
          <w:szCs w:val="32"/>
          <w14:textFill>
            <w14:solidFill>
              <w14:schemeClr w14:val="tx1"/>
            </w14:solidFill>
          </w14:textFill>
        </w:rPr>
        <w:t>或者其他组织的，应当由法定代表人、主要负责人，或者其授权代表签字或者盖章，并加盖公章。</w:t>
      </w:r>
    </w:p>
    <w:p w14:paraId="48B9C8A8">
      <w:pPr>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“兵团政府采购网”的“办事指南”栏目中提供统一规范的投诉质疑模板，相关供应商可下载《政府采购供应商投诉书范本》，并按说明制作投诉书。</w:t>
      </w:r>
    </w:p>
    <w:p w14:paraId="51A50FAD">
      <w:pPr>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三、投诉受理程序及时限</w:t>
      </w:r>
    </w:p>
    <w:p w14:paraId="7D82B19A">
      <w:pPr>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color w:val="000000" w:themeColor="text1"/>
          <w:sz w:val="32"/>
          <w:szCs w:val="32"/>
          <w14:textFill>
            <w14:solidFill>
              <w14:schemeClr w14:val="tx1"/>
            </w14:solidFill>
          </w14:textFill>
        </w:rPr>
      </w:pPr>
      <w:r>
        <w:rPr>
          <w:rFonts w:hint="default" w:ascii="Times New Roman" w:hAnsi="Times New Roman" w:eastAsia="楷体_GB2312" w:cs="Times New Roman"/>
          <w:color w:val="000000" w:themeColor="text1"/>
          <w:sz w:val="32"/>
          <w:szCs w:val="32"/>
          <w14:textFill>
            <w14:solidFill>
              <w14:schemeClr w14:val="tx1"/>
            </w14:solidFill>
          </w14:textFill>
        </w:rPr>
        <w:t>（一）财政部门收到投诉书后，应当在5个工作日内进行审查，审查后按照下列情况处理：</w:t>
      </w:r>
    </w:p>
    <w:p w14:paraId="38C7AEDE">
      <w:pPr>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1.投诉书内容不符合投诉书规定的，应当在收到投诉书5个工作日内一次性书面通知投诉人补正。补正通知应当载明需要补正的事项和合理的补正期限。未按照补正期限进行补正或者补正后仍不符合规定的，不予受理。</w:t>
      </w:r>
    </w:p>
    <w:p w14:paraId="02F33E13">
      <w:pPr>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2.投诉不符合本办法规定条件的，应当在3个工作日内书面告知投诉人不予受理，并说明理由。</w:t>
      </w:r>
    </w:p>
    <w:p w14:paraId="04E00C06">
      <w:pPr>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3.投诉不属于本部门管辖的，应当在3个工作日内书面告知投诉人向有管辖权的部门提起投诉。</w:t>
      </w:r>
    </w:p>
    <w:p w14:paraId="6FE13D83">
      <w:pPr>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4.财政部门自收到投诉书之日起即为受理，并在收到投诉后8个工作日内向被投诉人和其他与投诉事项有关的当事人发出投诉答复通知书及投诉书副本。</w:t>
      </w:r>
    </w:p>
    <w:p w14:paraId="59D02B26">
      <w:pPr>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5.被投诉人和其他与投诉事项有关的当事人应当在收到投诉答复通知书及投诉书副本之日起5个工作日内，以书面形式向财政部门</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作出</w:t>
      </w:r>
      <w:r>
        <w:rPr>
          <w:rFonts w:hint="default" w:ascii="Times New Roman" w:hAnsi="Times New Roman" w:eastAsia="仿宋_GB2312" w:cs="Times New Roman"/>
          <w:color w:val="000000" w:themeColor="text1"/>
          <w:sz w:val="32"/>
          <w:szCs w:val="32"/>
          <w14:textFill>
            <w14:solidFill>
              <w14:schemeClr w14:val="tx1"/>
            </w14:solidFill>
          </w14:textFill>
        </w:rPr>
        <w:t>说明，并提交相关证据、依据和其他有关材料。</w:t>
      </w:r>
    </w:p>
    <w:p w14:paraId="0D8AFACA">
      <w:pPr>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6.财政部门处理投诉事项原则上采用书面审查的方式。财政部门认为有必要时，可以进行调查取证或者组织质证。财政部门可以根据法律、法规规定或者职责权限，委托相关单位或者第三方开展调查取证、检验、检测、鉴定。质证应当通知相关</w:t>
      </w:r>
      <w:r>
        <w:rPr>
          <w:rFonts w:hint="default" w:ascii="Times New Roman" w:hAnsi="Times New Roman" w:eastAsia="仿宋_GB2312" w:cs="Times New Roman"/>
          <w:color w:val="000000" w:themeColor="text1"/>
          <w:spacing w:val="-6"/>
          <w:sz w:val="32"/>
          <w:szCs w:val="32"/>
          <w14:textFill>
            <w14:solidFill>
              <w14:schemeClr w14:val="tx1"/>
            </w14:solidFill>
          </w14:textFill>
        </w:rPr>
        <w:t>当事人到场，并制作质证笔录。质证笔录应当由当事人签字确认。</w:t>
      </w:r>
    </w:p>
    <w:p w14:paraId="0EE2CCBD">
      <w:pPr>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7.财政部门依法进行调查取证时，投诉人、被投诉人以及与投诉事项有关的单位及人员应当如实反映情况，并提供财政部门所需要的相关材料。</w:t>
      </w:r>
    </w:p>
    <w:p w14:paraId="3CB03EEC">
      <w:pPr>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8.应当由投诉人承担举证责任的投诉事项，投诉人未提供相关证据、依据和其他有关材料的，视为该投诉事项不成立；被投诉人未按照投诉答复通知书要求提交相关证据、依据和其他有关材料的，视同其放弃说明权利，依法承担不利后果。</w:t>
      </w:r>
    </w:p>
    <w:p w14:paraId="7634E557">
      <w:pPr>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9.财政部门应当自收到投诉之日起30个工作日内，对投诉事项做出处理决定。</w:t>
      </w:r>
    </w:p>
    <w:p w14:paraId="76ED79DC">
      <w:pPr>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10.财政部门处理投诉事项，需要检验、检测、鉴定、专家评审以及需要投诉人补正材料的，所需时间不计算在投诉处理期限内。前款所称所需时间，是指财政部门向相关单位、第三方、投诉人发出相关文书、补正通知之日至收到相关反馈文书或材料之日。财政部门向相关单位、第三方开展检验、检测、鉴定、专家评审的，应当将所需时间告知投诉人。</w:t>
      </w:r>
    </w:p>
    <w:p w14:paraId="01C5D688">
      <w:pPr>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11.财政部门在处理投诉事项期间，可以视具体情况书面通知被投诉人暂停采购（交易）活动，暂停采购活动时间最长不得超过30日。被投诉人收到暂停采购（交易）活动通知后应当立即中止采购（交易）活动，在法定的暂停期限结束前或者财政部门发出恢复采购（交易）活动通知前，不得进行该项采购（交易）活动。</w:t>
      </w:r>
    </w:p>
    <w:p w14:paraId="1DA3B6E8">
      <w:pPr>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color w:val="000000" w:themeColor="text1"/>
          <w:sz w:val="32"/>
          <w:szCs w:val="32"/>
          <w14:textFill>
            <w14:solidFill>
              <w14:schemeClr w14:val="tx1"/>
            </w14:solidFill>
          </w14:textFill>
        </w:rPr>
      </w:pPr>
      <w:r>
        <w:rPr>
          <w:rFonts w:hint="default" w:ascii="Times New Roman" w:hAnsi="Times New Roman" w:eastAsia="楷体_GB2312" w:cs="Times New Roman"/>
          <w:color w:val="000000" w:themeColor="text1"/>
          <w:sz w:val="32"/>
          <w:szCs w:val="32"/>
          <w14:textFill>
            <w14:solidFill>
              <w14:schemeClr w14:val="tx1"/>
            </w14:solidFill>
          </w14:textFill>
        </w:rPr>
        <w:t>（二）有下列情形之一的投诉，不予受理：</w:t>
      </w:r>
    </w:p>
    <w:p w14:paraId="22A61FA8">
      <w:pPr>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1.受理后发现投诉不符合法定受理条件；</w:t>
      </w:r>
    </w:p>
    <w:p w14:paraId="110D400B">
      <w:pPr>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2.投诉事项缺乏事实依据，投诉事项不成立；</w:t>
      </w:r>
    </w:p>
    <w:p w14:paraId="07E8E452">
      <w:pPr>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3.投诉人捏造事实或者提供虚假材料；</w:t>
      </w:r>
    </w:p>
    <w:p w14:paraId="14EF6200">
      <w:pPr>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4.投诉人以非法手段取得证明材料。证据来源的合法性存在明显疑问，投诉人无法证明其取得方式合法的，视为以非法手段取得证明材料。</w:t>
      </w:r>
    </w:p>
    <w:p w14:paraId="46E66293">
      <w:pPr>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color w:val="000000" w:themeColor="text1"/>
          <w:sz w:val="32"/>
          <w:szCs w:val="32"/>
          <w14:textFill>
            <w14:solidFill>
              <w14:schemeClr w14:val="tx1"/>
            </w14:solidFill>
          </w14:textFill>
        </w:rPr>
      </w:pPr>
      <w:r>
        <w:rPr>
          <w:rFonts w:hint="default" w:ascii="Times New Roman" w:hAnsi="Times New Roman" w:eastAsia="楷体_GB2312" w:cs="Times New Roman"/>
          <w:color w:val="000000" w:themeColor="text1"/>
          <w:sz w:val="32"/>
          <w:szCs w:val="32"/>
          <w14:textFill>
            <w14:solidFill>
              <w14:schemeClr w14:val="tx1"/>
            </w14:solidFill>
          </w14:textFill>
        </w:rPr>
        <w:t>（三）投诉处理决定应当包括下列内容：</w:t>
      </w:r>
    </w:p>
    <w:p w14:paraId="60154111">
      <w:pPr>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财政部门做出处理决定，应当制作投诉处理决定书，并加盖公章。投诉处理决定书应当包括下列内容：</w:t>
      </w:r>
    </w:p>
    <w:p w14:paraId="12C2AEB9">
      <w:pPr>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1.投诉人和被投诉人的姓名或者名称、通讯地址等；</w:t>
      </w:r>
    </w:p>
    <w:p w14:paraId="032F7CD9">
      <w:pPr>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2.处理决定查明的事实和相关依据，具体处理决定和法律依据；</w:t>
      </w:r>
    </w:p>
    <w:p w14:paraId="5D1F9A17">
      <w:pPr>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3.告知相关当事人申请行政复议的权利，行政复议机关和行政复议申请期限，以及提起行政诉讼的权利和起诉期限；</w:t>
      </w:r>
    </w:p>
    <w:p w14:paraId="26BE9607">
      <w:pPr>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4.做出处理决定的日期。</w:t>
      </w:r>
    </w:p>
    <w:p w14:paraId="5BF97648">
      <w:pPr>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其他未尽事宜，参照《政府采购质疑和投诉办法》、国有产权交易等相关法律法规执行。</w:t>
      </w:r>
    </w:p>
    <w:p w14:paraId="06041B36">
      <w:pPr>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四、投诉受理电话、地址、电子邮箱</w:t>
      </w:r>
    </w:p>
    <w:p w14:paraId="68EF9586">
      <w:pPr>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各项目除在采购（交易）文件、兵团政府采购网载明投诉受理渠道外，还需进一步明确本领域投诉受理电话、地址、电子邮箱等信息如下。</w:t>
      </w:r>
    </w:p>
    <w:p w14:paraId="3AC566EA">
      <w:pPr>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部门：</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师市</w:t>
      </w:r>
      <w:r>
        <w:rPr>
          <w:rFonts w:hint="default" w:ascii="Times New Roman" w:hAnsi="Times New Roman" w:eastAsia="仿宋_GB2312" w:cs="Times New Roman"/>
          <w:color w:val="000000" w:themeColor="text1"/>
          <w:sz w:val="32"/>
          <w:szCs w:val="32"/>
          <w14:textFill>
            <w14:solidFill>
              <w14:schemeClr w14:val="tx1"/>
            </w14:solidFill>
          </w14:textFill>
        </w:rPr>
        <w:t>财政局（国资委）</w:t>
      </w:r>
    </w:p>
    <w:p w14:paraId="5ED0FBA8">
      <w:pPr>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电话：0906-</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3377427</w:t>
      </w:r>
    </w:p>
    <w:p w14:paraId="3D74C46F">
      <w:pPr>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地址：</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新疆</w:t>
      </w:r>
      <w:r>
        <w:rPr>
          <w:rFonts w:hint="default" w:ascii="Times New Roman" w:hAnsi="Times New Roman" w:eastAsia="仿宋_GB2312" w:cs="Times New Roman"/>
          <w:color w:val="000000" w:themeColor="text1"/>
          <w:sz w:val="32"/>
          <w:szCs w:val="32"/>
          <w14:textFill>
            <w14:solidFill>
              <w14:schemeClr w14:val="tx1"/>
            </w14:solidFill>
          </w14:textFill>
        </w:rPr>
        <w:t>北屯市新区龙疆东街365号行政服务中心</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三楼</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B307室</w:t>
      </w:r>
    </w:p>
    <w:p w14:paraId="66D68C77">
      <w:pPr>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邮编：</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836099</w:t>
      </w:r>
    </w:p>
    <w:p w14:paraId="2DC29D20">
      <w:pPr>
        <w:pageBreakBefore w:val="0"/>
        <w:widowControl w:val="0"/>
        <w:kinsoku/>
        <w:wordWrap/>
        <w:overflowPunct w:val="0"/>
        <w:topLinePunct w:val="0"/>
        <w:autoSpaceDE/>
        <w:autoSpaceDN/>
        <w:bidi w:val="0"/>
        <w:adjustRightInd/>
        <w:snapToGrid/>
        <w:spacing w:line="560" w:lineRule="exact"/>
        <w:ind w:firstLine="840"/>
        <w:textAlignment w:val="auto"/>
        <w:rPr>
          <w:rFonts w:hint="default" w:ascii="Times New Roman" w:hAnsi="Times New Roman" w:cs="Times New Roman"/>
          <w:color w:val="000000" w:themeColor="text1"/>
          <w:sz w:val="32"/>
          <w:szCs w:val="32"/>
          <w14:textFill>
            <w14:solidFill>
              <w14:schemeClr w14:val="tx1"/>
            </w14:solidFill>
          </w14:textFill>
        </w:rPr>
      </w:pPr>
    </w:p>
    <w:p w14:paraId="26C39EBA">
      <w:pPr>
        <w:pageBreakBefore w:val="0"/>
        <w:widowControl w:val="0"/>
        <w:kinsoku/>
        <w:wordWrap/>
        <w:overflowPunct w:val="0"/>
        <w:topLinePunct w:val="0"/>
        <w:autoSpaceDE/>
        <w:autoSpaceDN/>
        <w:bidi w:val="0"/>
        <w:adjustRightInd/>
        <w:snapToGrid/>
        <w:spacing w:line="560" w:lineRule="exact"/>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br w:type="page"/>
      </w:r>
    </w:p>
    <w:p w14:paraId="03EE440E">
      <w:pPr>
        <w:pStyle w:val="2"/>
        <w:pageBreakBefore w:val="0"/>
        <w:widowControl w:val="0"/>
        <w:kinsoku/>
        <w:wordWrap/>
        <w:overflowPunct w:val="0"/>
        <w:topLinePunct w:val="0"/>
        <w:autoSpaceDE/>
        <w:autoSpaceDN/>
        <w:bidi w:val="0"/>
        <w:adjustRightInd/>
        <w:snapToGrid/>
        <w:spacing w:line="560" w:lineRule="exact"/>
        <w:textAlignment w:val="auto"/>
        <w:rPr>
          <w:rFonts w:hint="default" w:ascii="Times New Roman" w:hAnsi="Times New Roman" w:eastAsia="黑体" w:cs="Times New Roman"/>
          <w:b w:val="0"/>
          <w:bCs/>
          <w:color w:val="000000" w:themeColor="text1"/>
          <w:sz w:val="28"/>
          <w:szCs w:val="28"/>
          <w14:textFill>
            <w14:solidFill>
              <w14:schemeClr w14:val="tx1"/>
            </w14:solidFill>
          </w14:textFill>
        </w:rPr>
      </w:pPr>
      <w:r>
        <w:rPr>
          <w:rFonts w:hint="default" w:ascii="Times New Roman" w:hAnsi="Times New Roman" w:eastAsia="黑体" w:cs="Times New Roman"/>
          <w:b w:val="0"/>
          <w:bCs/>
          <w:color w:val="000000" w:themeColor="text1"/>
          <w:sz w:val="28"/>
          <w:szCs w:val="28"/>
          <w14:textFill>
            <w14:solidFill>
              <w14:schemeClr w14:val="tx1"/>
            </w14:solidFill>
          </w14:textFill>
        </w:rPr>
        <w:t>附件3</w:t>
      </w:r>
    </w:p>
    <w:p w14:paraId="67A9AD8C">
      <w:pPr>
        <w:pStyle w:val="3"/>
        <w:pageBreakBefore w:val="0"/>
        <w:widowControl w:val="0"/>
        <w:kinsoku/>
        <w:wordWrap/>
        <w:overflowPunct w:val="0"/>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val="0"/>
          <w:bCs/>
          <w:color w:val="000000" w:themeColor="text1"/>
          <w:sz w:val="44"/>
          <w:szCs w:val="44"/>
          <w14:textFill>
            <w14:solidFill>
              <w14:schemeClr w14:val="tx1"/>
            </w14:solidFill>
          </w14:textFill>
        </w:rPr>
      </w:pPr>
    </w:p>
    <w:p w14:paraId="6545D569">
      <w:pPr>
        <w:pStyle w:val="3"/>
        <w:pageBreakBefore w:val="0"/>
        <w:widowControl w:val="0"/>
        <w:kinsoku/>
        <w:wordWrap/>
        <w:overflowPunct w:val="0"/>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val="0"/>
          <w:bCs/>
          <w:color w:val="000000" w:themeColor="text1"/>
          <w:sz w:val="44"/>
          <w:szCs w:val="44"/>
          <w14:textFill>
            <w14:solidFill>
              <w14:schemeClr w14:val="tx1"/>
            </w14:solidFill>
          </w14:textFill>
        </w:rPr>
      </w:pPr>
      <w:r>
        <w:rPr>
          <w:rFonts w:hint="default" w:ascii="Times New Roman" w:hAnsi="Times New Roman" w:eastAsia="方正小标宋简体" w:cs="Times New Roman"/>
          <w:b w:val="0"/>
          <w:bCs/>
          <w:color w:val="000000" w:themeColor="text1"/>
          <w:sz w:val="44"/>
          <w:szCs w:val="44"/>
          <w14:textFill>
            <w14:solidFill>
              <w14:schemeClr w14:val="tx1"/>
            </w14:solidFill>
          </w14:textFill>
        </w:rPr>
        <w:t>其他公共资源领域交易活动</w:t>
      </w:r>
    </w:p>
    <w:p w14:paraId="227B5258">
      <w:pPr>
        <w:pStyle w:val="3"/>
        <w:pageBreakBefore w:val="0"/>
        <w:widowControl w:val="0"/>
        <w:kinsoku/>
        <w:wordWrap/>
        <w:overflowPunct w:val="0"/>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val="0"/>
          <w:bCs/>
          <w:color w:val="000000" w:themeColor="text1"/>
          <w:sz w:val="44"/>
          <w:szCs w:val="44"/>
          <w14:textFill>
            <w14:solidFill>
              <w14:schemeClr w14:val="tx1"/>
            </w14:solidFill>
          </w14:textFill>
        </w:rPr>
      </w:pPr>
      <w:r>
        <w:rPr>
          <w:rFonts w:hint="default" w:ascii="Times New Roman" w:hAnsi="Times New Roman" w:eastAsia="方正小标宋简体" w:cs="Times New Roman"/>
          <w:b w:val="0"/>
          <w:bCs/>
          <w:color w:val="000000" w:themeColor="text1"/>
          <w:sz w:val="44"/>
          <w:szCs w:val="44"/>
          <w14:textFill>
            <w14:solidFill>
              <w14:schemeClr w14:val="tx1"/>
            </w14:solidFill>
          </w14:textFill>
        </w:rPr>
        <w:t>投诉举报受理指引</w:t>
      </w:r>
    </w:p>
    <w:p w14:paraId="348DBAD2">
      <w:pPr>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000000" w:themeColor="text1"/>
          <w:sz w:val="32"/>
          <w:szCs w:val="32"/>
          <w14:textFill>
            <w14:solidFill>
              <w14:schemeClr w14:val="tx1"/>
            </w14:solidFill>
          </w14:textFill>
        </w:rPr>
      </w:pPr>
    </w:p>
    <w:p w14:paraId="49AE4E99">
      <w:pPr>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一、受理投诉的范围内容及形式</w:t>
      </w:r>
    </w:p>
    <w:p w14:paraId="0366640F">
      <w:pPr>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受理范围：</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负责</w:t>
      </w:r>
      <w:r>
        <w:rPr>
          <w:rFonts w:hint="default" w:ascii="Times New Roman" w:hAnsi="Times New Roman" w:eastAsia="仿宋_GB2312" w:cs="Times New Roman"/>
          <w:color w:val="000000" w:themeColor="text1"/>
          <w:sz w:val="32"/>
          <w:szCs w:val="32"/>
          <w14:textFill>
            <w14:solidFill>
              <w14:schemeClr w14:val="tx1"/>
            </w14:solidFill>
          </w14:textFill>
        </w:rPr>
        <w:t>新型领域交易项目</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、数字信息化交易项目</w:t>
      </w:r>
      <w:r>
        <w:rPr>
          <w:rFonts w:hint="default" w:ascii="Times New Roman" w:hAnsi="Times New Roman" w:eastAsia="仿宋_GB2312" w:cs="Times New Roman"/>
          <w:color w:val="000000" w:themeColor="text1"/>
          <w:sz w:val="32"/>
          <w:szCs w:val="32"/>
          <w14:textFill>
            <w14:solidFill>
              <w14:schemeClr w14:val="tx1"/>
            </w14:solidFill>
          </w14:textFill>
        </w:rPr>
        <w:t>及</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协助集中接受尚</w:t>
      </w:r>
      <w:r>
        <w:rPr>
          <w:rFonts w:hint="default" w:ascii="Times New Roman" w:hAnsi="Times New Roman" w:eastAsia="仿宋_GB2312" w:cs="Times New Roman"/>
          <w:color w:val="000000" w:themeColor="text1"/>
          <w:sz w:val="32"/>
          <w:szCs w:val="32"/>
          <w14:textFill>
            <w14:solidFill>
              <w14:schemeClr w14:val="tx1"/>
            </w14:solidFill>
          </w14:textFill>
        </w:rPr>
        <w:t>未明确监督管理部门的其他领域交易</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依照规定理清监督管理部门责任后，及时转相关行政监督管理部门受理</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竞争主体或者其他利害关系人认为交易活动不符合</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法律法规</w:t>
      </w:r>
      <w:r>
        <w:rPr>
          <w:rFonts w:hint="default" w:ascii="Times New Roman" w:hAnsi="Times New Roman" w:eastAsia="仿宋_GB2312" w:cs="Times New Roman"/>
          <w:color w:val="000000" w:themeColor="text1"/>
          <w:sz w:val="32"/>
          <w:szCs w:val="32"/>
          <w14:textFill>
            <w14:solidFill>
              <w14:schemeClr w14:val="tx1"/>
            </w14:solidFill>
          </w14:textFill>
        </w:rPr>
        <w:t>和规章规定的情形。</w:t>
      </w:r>
    </w:p>
    <w:p w14:paraId="5E083A11">
      <w:pPr>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受理部门：</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第十师北屯市</w:t>
      </w:r>
      <w:r>
        <w:rPr>
          <w:rFonts w:hint="default" w:ascii="Times New Roman" w:hAnsi="Times New Roman" w:eastAsia="仿宋_GB2312" w:cs="Times New Roman"/>
          <w:color w:val="000000" w:themeColor="text1"/>
          <w:sz w:val="32"/>
          <w:szCs w:val="32"/>
          <w14:textFill>
            <w14:solidFill>
              <w14:schemeClr w14:val="tx1"/>
            </w14:solidFill>
          </w14:textFill>
        </w:rPr>
        <w:t>政务服务和大数据局</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，各行业</w:t>
      </w:r>
      <w:r>
        <w:rPr>
          <w:rFonts w:hint="default" w:ascii="Times New Roman" w:hAnsi="Times New Roman" w:eastAsia="仿宋_GB2312" w:cs="Times New Roman"/>
          <w:color w:val="000000" w:themeColor="text1"/>
          <w:sz w:val="32"/>
          <w:szCs w:val="32"/>
          <w14:textFill>
            <w14:solidFill>
              <w14:schemeClr w14:val="tx1"/>
            </w14:solidFill>
          </w14:textFill>
        </w:rPr>
        <w:t>行政监督管理部门</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p>
    <w:p w14:paraId="2F411A7A">
      <w:pPr>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受理形式：书面（不限于纸质，可为电子扫描件）</w:t>
      </w:r>
    </w:p>
    <w:p w14:paraId="0CE999BA">
      <w:pPr>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二、投诉的提出</w:t>
      </w:r>
    </w:p>
    <w:p w14:paraId="3541B8BE">
      <w:pPr>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竞争主体（各类工程建设招标项目的投标人、政府采购项目的供应商、国有产权交易项目的竞买人、国有建设用地出让项目的竞买人、矿业权出让项目的竞买人、其他新类型交易项目参与竞争响应方等的统称）认为交易文件、交易过程、中标或者成交结果使自己的权益受到损害的，可以在知道或者应知其权益受到损害之日起，在各交易领域法定的异议、投诉时限内，以书面形式向项目单位（采购人、出让人、招标采购拍卖代理机构的统称）提出质疑（异议、争议）。有关竞争主体对项目单位的答复不满意，或者项目单位未在规定时间内</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作出</w:t>
      </w:r>
      <w:r>
        <w:rPr>
          <w:rFonts w:hint="default" w:ascii="Times New Roman" w:hAnsi="Times New Roman" w:eastAsia="仿宋_GB2312" w:cs="Times New Roman"/>
          <w:color w:val="000000" w:themeColor="text1"/>
          <w:sz w:val="32"/>
          <w:szCs w:val="32"/>
          <w14:textFill>
            <w14:solidFill>
              <w14:schemeClr w14:val="tx1"/>
            </w14:solidFill>
          </w14:textFill>
        </w:rPr>
        <w:t>答复的，且项目交易文件、相关公告中未明确（或无法明确）投诉受理的行政监督部门的，可以在异议答复期满后法定的时限内向政务服务和大数据局提出投诉。</w:t>
      </w:r>
    </w:p>
    <w:p w14:paraId="0D59D18D">
      <w:pPr>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投诉人投诉时，应当提交投诉书和必要的证明材料。</w:t>
      </w:r>
    </w:p>
    <w:p w14:paraId="4322CAC8">
      <w:pPr>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投诉书应当包括下列内容：</w:t>
      </w:r>
    </w:p>
    <w:p w14:paraId="67DA2A1B">
      <w:pPr>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1.投诉人和被投诉人的姓名或者名称、通讯地址、邮编、联系人及联系电话；</w:t>
      </w:r>
    </w:p>
    <w:p w14:paraId="0AD2CEC5">
      <w:pPr>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2.质疑（异议、争议）和答复情况说明及相关证明材料；</w:t>
      </w:r>
    </w:p>
    <w:p w14:paraId="63E595AE">
      <w:pPr>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3.具体、明确的投诉事项和与投诉事项相关的投诉请求；</w:t>
      </w:r>
    </w:p>
    <w:p w14:paraId="0B175C08">
      <w:pPr>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4.事实依据；</w:t>
      </w:r>
    </w:p>
    <w:p w14:paraId="72C197AB">
      <w:pPr>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5.法律依据；</w:t>
      </w:r>
    </w:p>
    <w:p w14:paraId="05DD67CA">
      <w:pPr>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6.提起投诉的日期。</w:t>
      </w:r>
    </w:p>
    <w:p w14:paraId="5FEF0701">
      <w:pPr>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投诉人为自然人的，应当由本人签字；投诉人为法人或者其他组织的，应当由法定代表人、主要负责人，或者其授权代表签字或者盖章，并加盖公章。</w:t>
      </w:r>
    </w:p>
    <w:p w14:paraId="40B6A778">
      <w:pPr>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三、投诉受理程序及时限</w:t>
      </w:r>
    </w:p>
    <w:p w14:paraId="1538B510">
      <w:pPr>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投诉受理程序及时限依据相关法律法规执行，无相关规定的参照</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关于集中公开第十师北屯市公共资源交易领域违法违规行为投诉举报渠道的公告</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附件1</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、附件</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2</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中</w:t>
      </w:r>
      <w:r>
        <w:rPr>
          <w:rFonts w:hint="default" w:ascii="Times New Roman" w:hAnsi="Times New Roman" w:eastAsia="仿宋_GB2312" w:cs="Times New Roman"/>
          <w:color w:val="000000" w:themeColor="text1"/>
          <w:sz w:val="32"/>
          <w:szCs w:val="32"/>
          <w14:textFill>
            <w14:solidFill>
              <w14:schemeClr w14:val="tx1"/>
            </w14:solidFill>
          </w14:textFill>
        </w:rPr>
        <w:t>的各领域投诉受理程序及时限执行。</w:t>
      </w:r>
    </w:p>
    <w:p w14:paraId="060CA092">
      <w:pPr>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四、举报的提出、受理程序及时限</w:t>
      </w:r>
    </w:p>
    <w:p w14:paraId="7FFFA128">
      <w:pPr>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举报：指自然人、法人或者其他组织反映公共资源交易领域交易参与方（项目单位、竞争主体、代理机构、评标专家、监督管理部门、交易中心的统称）涉嫌违反法律、法规、规章线索的行为。</w:t>
      </w:r>
    </w:p>
    <w:p w14:paraId="1E20E169">
      <w:pPr>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举报的提出：举报人的举报方式不受限制，鼓励举报人使用真实姓名、工作单位、住址或提供其他通讯方式，并如实提供举报事项必要的证明材料和问题线索，以便核查情况。</w:t>
      </w:r>
    </w:p>
    <w:p w14:paraId="6EA53B7E">
      <w:pPr>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举报收件：政务服务和大数据局集中接收公共资源交易活动中违法行为举报。政务服务和大数据局遵循为举报人保密、及时受理、快速处理、迅速反馈的原则，指定专人负责接收各类举报。</w:t>
      </w:r>
    </w:p>
    <w:p w14:paraId="1C749462">
      <w:pPr>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举报的受理程序及时限：接到举报时,最先收件的人员应当详细记录相关信息，对来访举报的，应指派专人接待;对电话举报的，应指派专人听取内容并做好记录;对书面举报的，应做好登记并后附原件。政务服务和大数据局及时协调相关</w:t>
      </w: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行政监督部门、纪检监察机关或司法机关</w:t>
      </w:r>
      <w:r>
        <w:rPr>
          <w:rFonts w:hint="default" w:ascii="Times New Roman" w:hAnsi="Times New Roman" w:eastAsia="仿宋_GB2312" w:cs="Times New Roman"/>
          <w:color w:val="000000" w:themeColor="text1"/>
          <w:sz w:val="32"/>
          <w:szCs w:val="32"/>
          <w14:textFill>
            <w14:solidFill>
              <w14:schemeClr w14:val="tx1"/>
            </w14:solidFill>
          </w14:textFill>
        </w:rPr>
        <w:t>，明确是否受理、转送受理部门（机关）；受理部门（机关）依据法定时限，将举报受理情况、处理结果及时书面反馈举报人，无法反馈的予以注明。</w:t>
      </w:r>
    </w:p>
    <w:p w14:paraId="66B3C6C2">
      <w:pPr>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五、投诉举报受理电话、地址、电子邮箱</w:t>
      </w:r>
    </w:p>
    <w:p w14:paraId="524A14C5">
      <w:pPr>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部门：政务服务和大数据局</w:t>
      </w:r>
    </w:p>
    <w:p w14:paraId="6704DCEF">
      <w:pPr>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电话：0906-</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3180005</w:t>
      </w:r>
    </w:p>
    <w:p w14:paraId="1B821B83">
      <w:pPr>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地址：新疆</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北屯市新区龙山路206号</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土地学会楼</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3楼304室</w:t>
      </w:r>
    </w:p>
    <w:p w14:paraId="6FCC959B">
      <w:pPr>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邮编：</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836099</w:t>
      </w:r>
    </w:p>
    <w:p w14:paraId="34B1D574">
      <w:pPr>
        <w:pageBreakBefore w:val="0"/>
        <w:widowControl w:val="0"/>
        <w:kinsoku/>
        <w:topLinePunct w:val="0"/>
        <w:autoSpaceDE/>
        <w:autoSpaceDN/>
        <w:bidi w:val="0"/>
        <w:adjustRightInd/>
        <w:snapToGrid/>
        <w:spacing w:line="560" w:lineRule="exact"/>
        <w:textAlignment w:val="auto"/>
        <w:rPr>
          <w:rFonts w:hint="default" w:ascii="Times New Roman" w:hAnsi="Times New Roman" w:cs="Times New Roman"/>
        </w:rPr>
      </w:pPr>
    </w:p>
    <w:sectPr>
      <w:footerReference r:id="rId4" w:type="default"/>
      <w:headerReference r:id="rId3" w:type="even"/>
      <w:footerReference r:id="rId5" w:type="even"/>
      <w:pgSz w:w="11850" w:h="16783"/>
      <w:pgMar w:top="2098" w:right="1531" w:bottom="1984" w:left="1531" w:header="851" w:footer="992" w:gutter="0"/>
      <w:pgNumType w:fmt="decimal"/>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CD134F">
    <w:pPr>
      <w:pStyle w:val="5"/>
    </w:pPr>
    <w:r>
      <w:rPr>
        <w:sz w:val="18"/>
      </w:rPr>
      <mc:AlternateContent>
        <mc:Choice Requires="wps">
          <w:drawing>
            <wp:anchor distT="0" distB="0" distL="114300" distR="114300" simplePos="0" relativeHeight="251659264" behindDoc="0" locked="0" layoutInCell="1" allowOverlap="1">
              <wp:simplePos x="0" y="0"/>
              <wp:positionH relativeFrom="margin">
                <wp:posOffset>4696460</wp:posOffset>
              </wp:positionH>
              <wp:positionV relativeFrom="paragraph">
                <wp:posOffset>0</wp:posOffset>
              </wp:positionV>
              <wp:extent cx="919480" cy="324485"/>
              <wp:effectExtent l="0" t="0" r="0" b="0"/>
              <wp:wrapNone/>
              <wp:docPr id="1" name="文本框 1"/>
              <wp:cNvGraphicFramePr/>
              <a:graphic xmlns:a="http://schemas.openxmlformats.org/drawingml/2006/main">
                <a:graphicData uri="http://schemas.microsoft.com/office/word/2010/wordprocessingShape">
                  <wps:wsp>
                    <wps:cNvSpPr txBox="1"/>
                    <wps:spPr>
                      <a:xfrm>
                        <a:off x="0" y="0"/>
                        <a:ext cx="919480" cy="32448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85C1E7">
                          <w:pPr>
                            <w:pStyle w:val="5"/>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369.8pt;margin-top:0pt;height:25.55pt;width:72.4pt;mso-position-horizontal-relative:margin;z-index:251659264;mso-width-relative:page;mso-height-relative:page;" filled="f" stroked="f" coordsize="21600,21600" o:gfxdata="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BfGCcJ1gAAAAcBAAAPAAAAAAAAAAEAIAAAACIAAABkcnMvZG93bnJl&#10;di54bWxQSwECFAAUAAAACACHTuJAwH7yDjgCAABhBAAADgAAAAAAAAABACAAAAAlAQAAZHJzL2Uy&#10;b0RvYy54bWxQSwUGAAAAAAYABgBZAQAAzwUAAAAA&#10;">
              <v:fill on="f" focussize="0,0"/>
              <v:stroke on="f" weight="0.5pt"/>
              <v:imagedata o:title=""/>
              <o:lock v:ext="edit" aspectratio="f"/>
              <v:textbox inset="0mm,0mm,0mm,0mm">
                <w:txbxContent>
                  <w:p w14:paraId="0C85C1E7">
                    <w:pPr>
                      <w:pStyle w:val="5"/>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BD1149">
    <w:pPr>
      <w:pStyle w:val="5"/>
    </w:pPr>
    <w:r>
      <w:rPr>
        <w:sz w:val="18"/>
      </w:rPr>
      <mc:AlternateContent>
        <mc:Choice Requires="wps">
          <w:drawing>
            <wp:anchor distT="0" distB="0" distL="114300" distR="114300" simplePos="0" relativeHeight="251660288" behindDoc="0" locked="0" layoutInCell="1" allowOverlap="1">
              <wp:simplePos x="0" y="0"/>
              <wp:positionH relativeFrom="margin">
                <wp:posOffset>238125</wp:posOffset>
              </wp:positionH>
              <wp:positionV relativeFrom="paragraph">
                <wp:posOffset>-81915</wp:posOffset>
              </wp:positionV>
              <wp:extent cx="895350" cy="334645"/>
              <wp:effectExtent l="0" t="0" r="0" b="0"/>
              <wp:wrapNone/>
              <wp:docPr id="2" name="文本框 2"/>
              <wp:cNvGraphicFramePr/>
              <a:graphic xmlns:a="http://schemas.openxmlformats.org/drawingml/2006/main">
                <a:graphicData uri="http://schemas.microsoft.com/office/word/2010/wordprocessingShape">
                  <wps:wsp>
                    <wps:cNvSpPr txBox="1"/>
                    <wps:spPr>
                      <a:xfrm>
                        <a:off x="0" y="0"/>
                        <a:ext cx="895350" cy="33464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0E2CEE">
                          <w:pPr>
                            <w:pStyle w:val="5"/>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18.75pt;margin-top:-6.45pt;height:26.35pt;width:70.5pt;mso-position-horizontal-relative:margin;z-index:251660288;mso-width-relative:page;mso-height-relative:page;" filled="f" stroked="f" coordsize="21600,21600" o:gfxdata="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CDQ/Kk2AAAAAkBAAAPAAAAAAAAAAEAIAAAACIAAABkcnMvZG93bnJl&#10;di54bWxQSwECFAAUAAAACACHTuJAGzBRbDYCAABhBAAADgAAAAAAAAABACAAAAAnAQAAZHJzL2Uy&#10;b0RvYy54bWxQSwUGAAAAAAYABgBZAQAAzwUAAAAA&#10;">
              <v:fill on="f" focussize="0,0"/>
              <v:stroke on="f" weight="0.5pt"/>
              <v:imagedata o:title=""/>
              <o:lock v:ext="edit" aspectratio="f"/>
              <v:textbox inset="0mm,0mm,0mm,0mm">
                <w:txbxContent>
                  <w:p w14:paraId="410E2CEE">
                    <w:pPr>
                      <w:pStyle w:val="5"/>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ACA10A">
    <w:pPr>
      <w:pStyle w:val="6"/>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E86212"/>
    <w:rsid w:val="004426DA"/>
    <w:rsid w:val="00517100"/>
    <w:rsid w:val="00526E48"/>
    <w:rsid w:val="005357CA"/>
    <w:rsid w:val="00770982"/>
    <w:rsid w:val="008F24FE"/>
    <w:rsid w:val="00A30B98"/>
    <w:rsid w:val="00AE418E"/>
    <w:rsid w:val="03596718"/>
    <w:rsid w:val="07E86212"/>
    <w:rsid w:val="09326E79"/>
    <w:rsid w:val="09F23D82"/>
    <w:rsid w:val="0D694772"/>
    <w:rsid w:val="0E417D6E"/>
    <w:rsid w:val="10211D87"/>
    <w:rsid w:val="127276B4"/>
    <w:rsid w:val="15CD44D1"/>
    <w:rsid w:val="179661DE"/>
    <w:rsid w:val="184D185B"/>
    <w:rsid w:val="1C4A7145"/>
    <w:rsid w:val="1C5841A4"/>
    <w:rsid w:val="1C677BA6"/>
    <w:rsid w:val="1ED969C3"/>
    <w:rsid w:val="1FAB0A8F"/>
    <w:rsid w:val="224D3AD2"/>
    <w:rsid w:val="240122DF"/>
    <w:rsid w:val="27F07B94"/>
    <w:rsid w:val="2D213C93"/>
    <w:rsid w:val="30A1043B"/>
    <w:rsid w:val="32F23803"/>
    <w:rsid w:val="346D6068"/>
    <w:rsid w:val="34C71782"/>
    <w:rsid w:val="361E3A18"/>
    <w:rsid w:val="3E297D2E"/>
    <w:rsid w:val="3E526106"/>
    <w:rsid w:val="41263FC1"/>
    <w:rsid w:val="42C666A7"/>
    <w:rsid w:val="44794496"/>
    <w:rsid w:val="48054B3C"/>
    <w:rsid w:val="49F21FE2"/>
    <w:rsid w:val="4D4B7912"/>
    <w:rsid w:val="4FBF47D5"/>
    <w:rsid w:val="51AF655A"/>
    <w:rsid w:val="52EA3C9D"/>
    <w:rsid w:val="5881052C"/>
    <w:rsid w:val="59451828"/>
    <w:rsid w:val="5C7A6807"/>
    <w:rsid w:val="5E2E223C"/>
    <w:rsid w:val="5E6F3E87"/>
    <w:rsid w:val="624E2C7B"/>
    <w:rsid w:val="627A49A8"/>
    <w:rsid w:val="62BC71DB"/>
    <w:rsid w:val="649F696F"/>
    <w:rsid w:val="68F35E24"/>
    <w:rsid w:val="6D433CD2"/>
    <w:rsid w:val="6DA24B6A"/>
    <w:rsid w:val="6E2570A2"/>
    <w:rsid w:val="77060B4F"/>
    <w:rsid w:val="78971765"/>
    <w:rsid w:val="7A917FCA"/>
    <w:rsid w:val="7B183F2A"/>
    <w:rsid w:val="7D0A3A5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line="576" w:lineRule="auto"/>
      <w:outlineLvl w:val="0"/>
    </w:pPr>
    <w:rPr>
      <w:b/>
      <w:kern w:val="44"/>
      <w:sz w:val="44"/>
    </w:rPr>
  </w:style>
  <w:style w:type="paragraph" w:styleId="3">
    <w:name w:val="heading 2"/>
    <w:basedOn w:val="1"/>
    <w:next w:val="1"/>
    <w:unhideWhenUsed/>
    <w:qFormat/>
    <w:uiPriority w:val="0"/>
    <w:pPr>
      <w:keepNext/>
      <w:keepLines/>
      <w:spacing w:line="413" w:lineRule="auto"/>
      <w:outlineLvl w:val="1"/>
    </w:pPr>
    <w:rPr>
      <w:rFonts w:ascii="Arial" w:hAnsi="Arial" w:eastAsia="黑体"/>
      <w:b/>
      <w:sz w:val="32"/>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footer"/>
    <w:basedOn w:val="1"/>
    <w:link w:val="11"/>
    <w:qFormat/>
    <w:uiPriority w:val="0"/>
    <w:pPr>
      <w:tabs>
        <w:tab w:val="center" w:pos="4153"/>
        <w:tab w:val="right" w:pos="8306"/>
      </w:tabs>
      <w:snapToGrid w:val="0"/>
      <w:jc w:val="left"/>
    </w:pPr>
    <w:rPr>
      <w:sz w:val="18"/>
      <w:szCs w:val="18"/>
    </w:rPr>
  </w:style>
  <w:style w:type="paragraph" w:styleId="6">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页眉 Char"/>
    <w:basedOn w:val="9"/>
    <w:link w:val="6"/>
    <w:qFormat/>
    <w:uiPriority w:val="0"/>
    <w:rPr>
      <w:rFonts w:asciiTheme="minorHAnsi" w:hAnsiTheme="minorHAnsi" w:eastAsiaTheme="minorEastAsia" w:cstheme="minorBidi"/>
      <w:kern w:val="2"/>
      <w:sz w:val="18"/>
      <w:szCs w:val="18"/>
    </w:rPr>
  </w:style>
  <w:style w:type="character" w:customStyle="1" w:styleId="11">
    <w:name w:val="页脚 Char"/>
    <w:basedOn w:val="9"/>
    <w:link w:val="5"/>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5429</Words>
  <Characters>5669</Characters>
  <Lines>38</Lines>
  <Paragraphs>10</Paragraphs>
  <TotalTime>105</TotalTime>
  <ScaleCrop>false</ScaleCrop>
  <LinksUpToDate>false</LinksUpToDate>
  <CharactersWithSpaces>5677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2024-12-01T03:58:00Z</dcterms:created>
  <dc:creator>葛仁亮</dc:creator>
  <cp:lastModifiedBy>方圆</cp:lastModifiedBy>
  <cp:lastPrinted>2025-01-08T03:03:00Z</cp:lastPrinted>
  <dcterms:modified xsi:type="dcterms:W3CDTF">2025-05-08T05:13:35Z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AC4F4BF116E74086AA39B871D3323963_13</vt:lpwstr>
  </property>
  <property fmtid="{D5CDD505-2E9C-101B-9397-08002B2CF9AE}" pid="4" name="KSOTemplateDocerSaveRecord">
    <vt:lpwstr>eyJoZGlkIjoiYzJkMjgzODZhNTRkZWNlYWM2NDE0ZjAxZTg4ZDVhMTUiLCJ1c2VySWQiOiI2ODE0MzkyOTAifQ==</vt:lpwstr>
  </property>
</Properties>
</file>