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0" w:line="219" w:lineRule="auto"/>
        <w:jc w:val="center"/>
        <w:rPr>
          <w:rFonts w:ascii="宋体" w:hAnsi="宋体" w:eastAsia="宋体" w:cs="宋体"/>
          <w:sz w:val="33"/>
          <w:szCs w:val="33"/>
        </w:rPr>
      </w:pPr>
      <w:bookmarkStart w:id="0" w:name="_GoBack"/>
      <w:r>
        <w:rPr>
          <w:rFonts w:hint="eastAsia" w:ascii="方正小标宋简体" w:hAnsi="方正小标宋简体" w:eastAsia="方正小标宋简体" w:cs="方正小标宋简体"/>
          <w:b w:val="0"/>
          <w:bCs w:val="0"/>
          <w:spacing w:val="29"/>
          <w:sz w:val="44"/>
          <w:szCs w:val="44"/>
          <w:lang w:eastAsia="zh-CN"/>
        </w:rPr>
        <w:t>第十师文体广旅局</w:t>
      </w:r>
      <w:r>
        <w:rPr>
          <w:rFonts w:hint="eastAsia" w:ascii="方正小标宋简体" w:hAnsi="方正小标宋简体" w:eastAsia="方正小标宋简体" w:cs="方正小标宋简体"/>
          <w:b w:val="0"/>
          <w:bCs w:val="0"/>
          <w:spacing w:val="29"/>
          <w:sz w:val="44"/>
          <w:szCs w:val="44"/>
        </w:rPr>
        <w:t>公示内容制作说明</w:t>
      </w:r>
    </w:p>
    <w:bookmarkEnd w:id="0"/>
    <w:p>
      <w:pPr>
        <w:spacing w:line="281" w:lineRule="auto"/>
        <w:rPr>
          <w:rFonts w:ascii="Arial"/>
          <w:sz w:val="21"/>
        </w:rPr>
      </w:pPr>
    </w:p>
    <w:p>
      <w:pPr>
        <w:spacing w:line="282" w:lineRule="auto"/>
        <w:rPr>
          <w:rFonts w:ascii="Arial"/>
          <w:sz w:val="21"/>
        </w:rPr>
      </w:pPr>
    </w:p>
    <w:p>
      <w:pPr>
        <w:spacing w:before="107" w:line="225" w:lineRule="auto"/>
        <w:ind w:left="739"/>
        <w:outlineLvl w:val="1"/>
        <w:rPr>
          <w:rFonts w:hint="eastAsia" w:ascii="黑体" w:hAnsi="黑体" w:eastAsia="黑体" w:cs="黑体"/>
          <w:sz w:val="32"/>
          <w:szCs w:val="32"/>
        </w:rPr>
      </w:pPr>
      <w:r>
        <w:rPr>
          <w:rFonts w:hint="eastAsia" w:ascii="黑体" w:hAnsi="黑体" w:eastAsia="黑体" w:cs="黑体"/>
          <w:b/>
          <w:bCs/>
          <w:spacing w:val="9"/>
          <w:sz w:val="32"/>
          <w:szCs w:val="32"/>
        </w:rPr>
        <w:t>一</w:t>
      </w:r>
      <w:r>
        <w:rPr>
          <w:rFonts w:hint="eastAsia" w:ascii="黑体" w:hAnsi="黑体" w:eastAsia="黑体" w:cs="黑体"/>
          <w:b/>
          <w:bCs/>
          <w:spacing w:val="9"/>
          <w:sz w:val="32"/>
          <w:szCs w:val="32"/>
          <w:lang w:eastAsia="zh-CN"/>
        </w:rPr>
        <w:t>、</w:t>
      </w:r>
      <w:r>
        <w:rPr>
          <w:rFonts w:hint="eastAsia" w:ascii="黑体" w:hAnsi="黑体" w:eastAsia="黑体" w:cs="黑体"/>
          <w:b/>
          <w:bCs/>
          <w:spacing w:val="9"/>
          <w:sz w:val="32"/>
          <w:szCs w:val="32"/>
        </w:rPr>
        <w:t>基本信息</w:t>
      </w:r>
    </w:p>
    <w:p>
      <w:pPr>
        <w:pStyle w:val="2"/>
        <w:spacing w:before="2" w:line="321" w:lineRule="auto"/>
        <w:ind w:left="55" w:firstLine="609"/>
        <w:rPr>
          <w:rFonts w:hint="eastAsia" w:ascii="楷体_GB2312" w:hAnsi="楷体_GB2312" w:eastAsia="楷体_GB2312" w:cs="楷体_GB2312"/>
          <w:spacing w:val="19"/>
          <w:sz w:val="32"/>
          <w:szCs w:val="32"/>
          <w:lang w:eastAsia="zh-CN"/>
        </w:rPr>
      </w:pPr>
      <w:r>
        <w:rPr>
          <w:rFonts w:hint="eastAsia" w:ascii="楷体_GB2312" w:hAnsi="楷体_GB2312" w:eastAsia="楷体_GB2312" w:cs="楷体_GB2312"/>
          <w:spacing w:val="19"/>
          <w:sz w:val="32"/>
          <w:szCs w:val="32"/>
          <w:lang w:eastAsia="zh-CN"/>
        </w:rPr>
        <w:t>（一）主体基本信息</w:t>
      </w:r>
    </w:p>
    <w:p>
      <w:pPr>
        <w:pStyle w:val="2"/>
        <w:spacing w:before="2" w:line="321" w:lineRule="auto"/>
        <w:ind w:left="55" w:firstLine="609"/>
        <w:rPr>
          <w:rFonts w:hint="default" w:ascii="Times New Roman" w:hAnsi="Times New Roman" w:eastAsia="仿宋_GB2312" w:cs="Times New Roman"/>
          <w:spacing w:val="25"/>
          <w:sz w:val="32"/>
          <w:szCs w:val="32"/>
          <w:lang w:eastAsia="zh-CN"/>
        </w:rPr>
      </w:pPr>
      <w:r>
        <w:rPr>
          <w:rFonts w:hint="default" w:ascii="Times New Roman" w:hAnsi="Times New Roman" w:eastAsia="仿宋_GB2312" w:cs="Times New Roman"/>
          <w:spacing w:val="19"/>
          <w:sz w:val="32"/>
          <w:szCs w:val="32"/>
        </w:rPr>
        <w:t>1.</w:t>
      </w:r>
      <w:r>
        <w:rPr>
          <w:rFonts w:hint="default" w:ascii="Times New Roman" w:hAnsi="Times New Roman" w:eastAsia="仿宋_GB2312" w:cs="Times New Roman"/>
          <w:spacing w:val="25"/>
          <w:sz w:val="32"/>
          <w:szCs w:val="32"/>
          <w:lang w:eastAsia="zh-CN"/>
        </w:rPr>
        <w:t>行政执法主体名称：新疆生产建设兵团第十师文化体育广电和旅游局（北屯市文化体育广电和旅游局）</w:t>
      </w:r>
    </w:p>
    <w:p>
      <w:pPr>
        <w:pStyle w:val="2"/>
        <w:spacing w:before="2" w:line="321" w:lineRule="auto"/>
        <w:ind w:left="55" w:firstLine="609"/>
        <w:rPr>
          <w:rFonts w:hint="default" w:ascii="Times New Roman" w:hAnsi="Times New Roman" w:eastAsia="仿宋_GB2312" w:cs="Times New Roman"/>
          <w:spacing w:val="25"/>
          <w:sz w:val="32"/>
          <w:szCs w:val="32"/>
          <w:lang w:eastAsia="zh-CN"/>
        </w:rPr>
      </w:pPr>
      <w:r>
        <w:rPr>
          <w:rFonts w:hint="default" w:ascii="Times New Roman" w:hAnsi="Times New Roman" w:eastAsia="仿宋_GB2312" w:cs="Times New Roman"/>
          <w:spacing w:val="25"/>
          <w:sz w:val="32"/>
          <w:szCs w:val="32"/>
          <w:lang w:eastAsia="zh-CN"/>
        </w:rPr>
        <w:t>具体职责：指导师市文化体育广电和旅游市场发展，对师市文化体育广电和旅游市场经营进行行业监督，推进文化体育广电和旅游行业信用体系建设，依法规范文化体育广电和旅游市场；指导师市文化体育广电旅游市场综合执法，会同有关部门组织查处跨区域文化、体育、广播电视、旅游、文物等市场的违法行为，督办大案要案，维护市场秩序。</w:t>
      </w:r>
    </w:p>
    <w:p>
      <w:pPr>
        <w:pStyle w:val="2"/>
        <w:spacing w:before="2" w:line="321" w:lineRule="auto"/>
        <w:ind w:left="55" w:firstLine="609"/>
        <w:rPr>
          <w:rFonts w:hint="default" w:ascii="Times New Roman" w:hAnsi="Times New Roman" w:eastAsia="仿宋_GB2312" w:cs="Times New Roman"/>
          <w:spacing w:val="25"/>
          <w:sz w:val="32"/>
          <w:szCs w:val="32"/>
          <w:lang w:val="en-US" w:eastAsia="zh-CN"/>
        </w:rPr>
      </w:pPr>
      <w:r>
        <w:rPr>
          <w:rFonts w:hint="default" w:ascii="Times New Roman" w:hAnsi="Times New Roman" w:eastAsia="仿宋_GB2312" w:cs="Times New Roman"/>
          <w:spacing w:val="25"/>
          <w:sz w:val="32"/>
          <w:szCs w:val="32"/>
          <w:lang w:eastAsia="zh-CN"/>
        </w:rPr>
        <w:t>内设执法机构：综合科（电话</w:t>
      </w:r>
      <w:r>
        <w:rPr>
          <w:rFonts w:hint="default" w:ascii="Times New Roman" w:hAnsi="Times New Roman" w:eastAsia="仿宋_GB2312" w:cs="Times New Roman"/>
          <w:spacing w:val="25"/>
          <w:sz w:val="32"/>
          <w:szCs w:val="32"/>
          <w:lang w:val="en-US" w:eastAsia="zh-CN"/>
        </w:rPr>
        <w:t xml:space="preserve"> 0906-3322315）</w:t>
      </w:r>
    </w:p>
    <w:p>
      <w:pPr>
        <w:pStyle w:val="2"/>
        <w:spacing w:before="2" w:line="321" w:lineRule="auto"/>
        <w:ind w:left="55" w:firstLine="609"/>
        <w:rPr>
          <w:rFonts w:hint="default" w:ascii="Times New Roman" w:hAnsi="Times New Roman" w:eastAsia="仿宋_GB2312" w:cs="Times New Roman"/>
          <w:spacing w:val="25"/>
          <w:sz w:val="32"/>
          <w:szCs w:val="32"/>
          <w:lang w:eastAsia="zh-CN"/>
        </w:rPr>
      </w:pPr>
      <w:r>
        <w:rPr>
          <w:rFonts w:hint="default" w:ascii="Times New Roman" w:hAnsi="Times New Roman" w:eastAsia="仿宋_GB2312" w:cs="Times New Roman"/>
          <w:spacing w:val="25"/>
          <w:sz w:val="32"/>
          <w:szCs w:val="32"/>
          <w:lang w:eastAsia="zh-CN"/>
        </w:rPr>
        <w:t>职责分工：承担文体广旅局主要职责，及文体广旅局交办的其他工作。</w:t>
      </w:r>
    </w:p>
    <w:p>
      <w:pPr>
        <w:pStyle w:val="2"/>
        <w:spacing w:before="2" w:line="321" w:lineRule="auto"/>
        <w:ind w:left="55" w:firstLine="609"/>
        <w:rPr>
          <w:rFonts w:hint="default" w:ascii="Times New Roman" w:hAnsi="Times New Roman" w:eastAsia="仿宋_GB2312" w:cs="Times New Roman"/>
          <w:spacing w:val="25"/>
          <w:sz w:val="32"/>
          <w:szCs w:val="32"/>
          <w:lang w:eastAsia="zh-CN"/>
        </w:rPr>
      </w:pPr>
      <w:r>
        <w:rPr>
          <w:rFonts w:hint="default" w:ascii="Times New Roman" w:hAnsi="Times New Roman" w:eastAsia="仿宋_GB2312" w:cs="Times New Roman"/>
          <w:spacing w:val="25"/>
          <w:sz w:val="32"/>
          <w:szCs w:val="32"/>
          <w:lang w:eastAsia="zh-CN"/>
        </w:rPr>
        <w:t>管辖范围：依据自治区、兵团授权和相关法律、法规</w:t>
      </w:r>
      <w:r>
        <w:rPr>
          <w:rFonts w:hint="eastAsia" w:ascii="Times New Roman" w:hAnsi="Times New Roman" w:eastAsia="仿宋_GB2312" w:cs="Times New Roman"/>
          <w:spacing w:val="25"/>
          <w:sz w:val="32"/>
          <w:szCs w:val="32"/>
          <w:lang w:eastAsia="zh-CN"/>
        </w:rPr>
        <w:t>，</w:t>
      </w:r>
      <w:r>
        <w:rPr>
          <w:rFonts w:hint="default" w:ascii="Times New Roman" w:hAnsi="Times New Roman" w:eastAsia="仿宋_GB2312" w:cs="Times New Roman"/>
          <w:spacing w:val="25"/>
          <w:sz w:val="32"/>
          <w:szCs w:val="32"/>
          <w:lang w:eastAsia="zh-CN"/>
        </w:rPr>
        <w:t>在新疆生产建设兵团第十师所属辖区内，对文化体育广电和旅游行政业务涉及的行政许可、行政检查、行政处罚、行政给付、行政奖励及部分其他行政权力等事项进行管辖。</w:t>
      </w:r>
    </w:p>
    <w:p>
      <w:pPr>
        <w:pStyle w:val="2"/>
        <w:spacing w:before="2" w:line="321" w:lineRule="auto"/>
        <w:ind w:left="55" w:firstLine="609"/>
        <w:rPr>
          <w:rFonts w:hint="default" w:ascii="Times New Roman" w:hAnsi="Times New Roman" w:eastAsia="仿宋_GB2312" w:cs="Times New Roman"/>
          <w:spacing w:val="25"/>
          <w:sz w:val="32"/>
          <w:szCs w:val="32"/>
          <w:lang w:eastAsia="zh-CN"/>
        </w:rPr>
      </w:pPr>
      <w:r>
        <w:rPr>
          <w:rFonts w:hint="default" w:ascii="Times New Roman" w:hAnsi="Times New Roman" w:eastAsia="仿宋_GB2312" w:cs="Times New Roman"/>
          <w:spacing w:val="25"/>
          <w:sz w:val="32"/>
          <w:szCs w:val="32"/>
          <w:lang w:eastAsia="zh-CN"/>
        </w:rPr>
        <w:t>执法区域：新疆生产建设兵团第十师所属辖区</w:t>
      </w:r>
    </w:p>
    <w:p>
      <w:pPr>
        <w:pStyle w:val="2"/>
        <w:spacing w:before="2" w:line="321" w:lineRule="auto"/>
        <w:ind w:left="55" w:firstLine="609"/>
        <w:rPr>
          <w:rFonts w:hint="default" w:ascii="Times New Roman" w:hAnsi="Times New Roman" w:eastAsia="仿宋_GB2312" w:cs="Times New Roman"/>
          <w:spacing w:val="25"/>
          <w:sz w:val="32"/>
          <w:szCs w:val="32"/>
          <w:lang w:val="en-US" w:eastAsia="zh-CN"/>
        </w:rPr>
      </w:pPr>
      <w:r>
        <w:rPr>
          <w:rFonts w:hint="default" w:ascii="Times New Roman" w:hAnsi="Times New Roman" w:eastAsia="仿宋_GB2312" w:cs="Times New Roman"/>
          <w:spacing w:val="25"/>
          <w:sz w:val="32"/>
          <w:szCs w:val="32"/>
          <w:lang w:eastAsia="zh-CN"/>
        </w:rPr>
        <w:t>地址：新疆生产建设兵团第十师北屯市新区龙疆东街</w:t>
      </w:r>
      <w:r>
        <w:rPr>
          <w:rFonts w:hint="default" w:ascii="Times New Roman" w:hAnsi="Times New Roman" w:eastAsia="仿宋_GB2312" w:cs="Times New Roman"/>
          <w:spacing w:val="25"/>
          <w:sz w:val="32"/>
          <w:szCs w:val="32"/>
          <w:lang w:val="en-US" w:eastAsia="zh-CN"/>
        </w:rPr>
        <w:t>458号第十师博物馆四楼综合科办公室</w:t>
      </w:r>
    </w:p>
    <w:p>
      <w:pPr>
        <w:pStyle w:val="2"/>
        <w:spacing w:before="2" w:line="321" w:lineRule="auto"/>
        <w:ind w:left="55" w:firstLine="609"/>
        <w:rPr>
          <w:rFonts w:hint="default" w:ascii="Times New Roman" w:hAnsi="Times New Roman" w:eastAsia="仿宋_GB2312" w:cs="Times New Roman"/>
          <w:spacing w:val="25"/>
          <w:sz w:val="32"/>
          <w:szCs w:val="32"/>
          <w:lang w:val="en-US" w:eastAsia="zh-CN"/>
        </w:rPr>
      </w:pPr>
      <w:r>
        <w:rPr>
          <w:rFonts w:hint="default" w:ascii="Times New Roman" w:hAnsi="Times New Roman" w:eastAsia="仿宋_GB2312" w:cs="Times New Roman"/>
          <w:spacing w:val="25"/>
          <w:sz w:val="32"/>
          <w:szCs w:val="32"/>
          <w:lang w:val="en-US" w:eastAsia="zh-CN"/>
        </w:rPr>
        <w:t>办公时间：周一至周五</w:t>
      </w:r>
    </w:p>
    <w:p>
      <w:pPr>
        <w:pStyle w:val="2"/>
        <w:spacing w:before="2" w:line="321" w:lineRule="auto"/>
        <w:ind w:left="55" w:firstLine="609"/>
        <w:rPr>
          <w:rFonts w:hint="default" w:ascii="Times New Roman" w:hAnsi="Times New Roman" w:eastAsia="仿宋_GB2312" w:cs="Times New Roman"/>
          <w:spacing w:val="25"/>
          <w:sz w:val="32"/>
          <w:szCs w:val="32"/>
          <w:lang w:val="en-US" w:eastAsia="zh-CN"/>
        </w:rPr>
      </w:pPr>
      <w:r>
        <w:rPr>
          <w:rFonts w:hint="default" w:ascii="Times New Roman" w:hAnsi="Times New Roman" w:eastAsia="仿宋_GB2312" w:cs="Times New Roman"/>
          <w:spacing w:val="25"/>
          <w:sz w:val="32"/>
          <w:szCs w:val="32"/>
          <w:lang w:val="en-US" w:eastAsia="zh-CN"/>
        </w:rPr>
        <w:t>夏季：上午10：00-14：00,下午16：00-20：00</w:t>
      </w:r>
    </w:p>
    <w:p>
      <w:pPr>
        <w:pStyle w:val="2"/>
        <w:spacing w:before="2" w:line="321" w:lineRule="auto"/>
        <w:ind w:left="55" w:firstLine="609"/>
        <w:rPr>
          <w:rFonts w:hint="default" w:ascii="Times New Roman" w:hAnsi="Times New Roman" w:eastAsia="仿宋_GB2312" w:cs="Times New Roman"/>
          <w:spacing w:val="25"/>
          <w:sz w:val="32"/>
          <w:szCs w:val="32"/>
          <w:lang w:val="en-US" w:eastAsia="zh-CN"/>
        </w:rPr>
      </w:pPr>
      <w:r>
        <w:rPr>
          <w:rFonts w:hint="default" w:ascii="Times New Roman" w:hAnsi="Times New Roman" w:eastAsia="仿宋_GB2312" w:cs="Times New Roman"/>
          <w:spacing w:val="25"/>
          <w:sz w:val="32"/>
          <w:szCs w:val="32"/>
          <w:lang w:val="en-US" w:eastAsia="zh-CN"/>
        </w:rPr>
        <w:t>冬季：上午10：00-14：00,下午15：30-19：30</w:t>
      </w:r>
    </w:p>
    <w:p>
      <w:pPr>
        <w:pStyle w:val="2"/>
        <w:spacing w:before="1" w:line="323" w:lineRule="auto"/>
        <w:ind w:left="55" w:right="61" w:firstLine="609"/>
        <w:rPr>
          <w:rFonts w:hint="eastAsia" w:ascii="楷体_GB2312" w:hAnsi="楷体_GB2312" w:eastAsia="楷体_GB2312" w:cs="楷体_GB2312"/>
          <w:spacing w:val="-3"/>
          <w:sz w:val="32"/>
          <w:szCs w:val="32"/>
          <w:lang w:eastAsia="zh-CN"/>
        </w:rPr>
      </w:pPr>
      <w:r>
        <w:rPr>
          <w:rFonts w:hint="eastAsia" w:ascii="楷体_GB2312" w:hAnsi="楷体_GB2312" w:eastAsia="楷体_GB2312" w:cs="楷体_GB2312"/>
          <w:spacing w:val="-3"/>
          <w:sz w:val="32"/>
          <w:szCs w:val="32"/>
          <w:lang w:eastAsia="zh-CN"/>
        </w:rPr>
        <w:t>（二）</w:t>
      </w:r>
      <w:r>
        <w:rPr>
          <w:rFonts w:hint="eastAsia" w:ascii="楷体_GB2312" w:hAnsi="楷体_GB2312" w:eastAsia="楷体_GB2312" w:cs="楷体_GB2312"/>
          <w:spacing w:val="-3"/>
          <w:sz w:val="32"/>
          <w:szCs w:val="32"/>
        </w:rPr>
        <w:t>执法事项</w:t>
      </w:r>
      <w:r>
        <w:rPr>
          <w:rFonts w:hint="eastAsia" w:ascii="楷体_GB2312" w:hAnsi="楷体_GB2312" w:eastAsia="楷体_GB2312" w:cs="楷体_GB2312"/>
          <w:spacing w:val="-3"/>
          <w:sz w:val="32"/>
          <w:szCs w:val="32"/>
          <w:lang w:eastAsia="zh-CN"/>
        </w:rPr>
        <w:t>清单及执法依据</w:t>
      </w:r>
    </w:p>
    <w:p>
      <w:pPr>
        <w:pStyle w:val="2"/>
        <w:spacing w:before="1" w:line="323" w:lineRule="auto"/>
        <w:ind w:left="55" w:right="61" w:firstLine="609"/>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第十师北屯市</w:t>
      </w:r>
      <w:r>
        <w:rPr>
          <w:rFonts w:hint="eastAsia" w:ascii="仿宋_GB2312" w:hAnsi="仿宋_GB2312" w:eastAsia="仿宋_GB2312" w:cs="仿宋_GB2312"/>
          <w:spacing w:val="-3"/>
          <w:sz w:val="32"/>
          <w:szCs w:val="32"/>
          <w:lang w:eastAsia="zh-CN"/>
        </w:rPr>
        <w:t>文化体育广电和旅游局执法事项</w:t>
      </w:r>
      <w:r>
        <w:rPr>
          <w:rFonts w:hint="eastAsia" w:ascii="仿宋_GB2312" w:hAnsi="仿宋_GB2312" w:eastAsia="仿宋_GB2312" w:cs="仿宋_GB2312"/>
          <w:spacing w:val="-3"/>
          <w:sz w:val="32"/>
          <w:szCs w:val="32"/>
        </w:rPr>
        <w:t>清单</w:t>
      </w:r>
      <w:r>
        <w:rPr>
          <w:rFonts w:hint="eastAsia" w:ascii="仿宋_GB2312" w:hAnsi="仿宋_GB2312" w:eastAsia="仿宋_GB2312" w:cs="仿宋_GB2312"/>
          <w:spacing w:val="-3"/>
          <w:sz w:val="32"/>
          <w:szCs w:val="32"/>
          <w:lang w:eastAsia="zh-CN"/>
        </w:rPr>
        <w:t>（见附件</w:t>
      </w:r>
      <w:r>
        <w:rPr>
          <w:rFonts w:hint="eastAsia" w:ascii="仿宋_GB2312" w:hAnsi="仿宋_GB2312" w:eastAsia="仿宋_GB2312" w:cs="仿宋_GB2312"/>
          <w:spacing w:val="-3"/>
          <w:sz w:val="32"/>
          <w:szCs w:val="32"/>
          <w:lang w:val="en-US" w:eastAsia="zh-CN"/>
        </w:rPr>
        <w:t>1）</w:t>
      </w:r>
    </w:p>
    <w:p>
      <w:pPr>
        <w:spacing w:before="108" w:line="224" w:lineRule="auto"/>
        <w:ind w:left="830"/>
        <w:outlineLvl w:val="1"/>
        <w:rPr>
          <w:rFonts w:hint="eastAsia" w:ascii="黑体" w:hAnsi="黑体" w:eastAsia="黑体" w:cs="黑体"/>
          <w:sz w:val="32"/>
          <w:szCs w:val="32"/>
        </w:rPr>
      </w:pPr>
      <w:r>
        <w:rPr>
          <w:rFonts w:hint="eastAsia" w:ascii="黑体" w:hAnsi="黑体" w:eastAsia="黑体" w:cs="黑体"/>
          <w:b/>
          <w:bCs/>
          <w:spacing w:val="8"/>
          <w:sz w:val="32"/>
          <w:szCs w:val="32"/>
          <w:lang w:eastAsia="zh-CN"/>
        </w:rPr>
        <w:t>二、</w:t>
      </w:r>
      <w:r>
        <w:rPr>
          <w:rFonts w:hint="eastAsia" w:ascii="黑体" w:hAnsi="黑体" w:eastAsia="黑体" w:cs="黑体"/>
          <w:b/>
          <w:bCs/>
          <w:spacing w:val="8"/>
          <w:sz w:val="32"/>
          <w:szCs w:val="32"/>
        </w:rPr>
        <w:t>事前公示模块</w:t>
      </w:r>
    </w:p>
    <w:p>
      <w:pPr>
        <w:pStyle w:val="2"/>
        <w:spacing w:line="277" w:lineRule="auto"/>
        <w:ind w:left="55" w:right="85" w:firstLine="609"/>
        <w:rPr>
          <w:rFonts w:hint="eastAsia" w:ascii="楷体_GB2312" w:hAnsi="楷体_GB2312" w:eastAsia="楷体_GB2312" w:cs="楷体_GB2312"/>
          <w:spacing w:val="26"/>
          <w:sz w:val="32"/>
          <w:szCs w:val="32"/>
        </w:rPr>
      </w:pPr>
      <w:r>
        <w:rPr>
          <w:rFonts w:hint="eastAsia" w:ascii="楷体_GB2312" w:hAnsi="楷体_GB2312" w:eastAsia="楷体_GB2312" w:cs="楷体_GB2312"/>
          <w:spacing w:val="-10"/>
          <w:sz w:val="32"/>
          <w:szCs w:val="32"/>
          <w:lang w:eastAsia="zh-CN"/>
        </w:rPr>
        <w:t>（一）</w:t>
      </w:r>
      <w:r>
        <w:rPr>
          <w:rFonts w:hint="eastAsia" w:ascii="楷体_GB2312" w:hAnsi="楷体_GB2312" w:eastAsia="楷体_GB2312" w:cs="楷体_GB2312"/>
          <w:spacing w:val="-10"/>
          <w:sz w:val="32"/>
          <w:szCs w:val="32"/>
        </w:rPr>
        <w:t>随机抽查事项清单</w:t>
      </w:r>
    </w:p>
    <w:tbl>
      <w:tblPr>
        <w:tblStyle w:val="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79"/>
        <w:gridCol w:w="1080"/>
        <w:gridCol w:w="1080"/>
        <w:gridCol w:w="1080"/>
        <w:gridCol w:w="1080"/>
        <w:gridCol w:w="16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79" w:type="dxa"/>
            <w:vMerge w:val="restart"/>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序号</w:t>
            </w:r>
          </w:p>
        </w:tc>
        <w:tc>
          <w:tcPr>
            <w:tcW w:w="2159" w:type="dxa"/>
            <w:gridSpan w:val="2"/>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抽插项目内容</w:t>
            </w:r>
          </w:p>
        </w:tc>
        <w:tc>
          <w:tcPr>
            <w:tcW w:w="1080" w:type="dxa"/>
            <w:vMerge w:val="restart"/>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抽查对象</w:t>
            </w:r>
          </w:p>
        </w:tc>
        <w:tc>
          <w:tcPr>
            <w:tcW w:w="1080" w:type="dxa"/>
            <w:vMerge w:val="restart"/>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抽查方式</w:t>
            </w:r>
          </w:p>
        </w:tc>
        <w:tc>
          <w:tcPr>
            <w:tcW w:w="1080" w:type="dxa"/>
            <w:vMerge w:val="restart"/>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抽查主体</w:t>
            </w:r>
          </w:p>
        </w:tc>
        <w:tc>
          <w:tcPr>
            <w:tcW w:w="1601" w:type="dxa"/>
            <w:vMerge w:val="restart"/>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抽查依据</w:t>
            </w:r>
          </w:p>
        </w:tc>
        <w:tc>
          <w:tcPr>
            <w:tcW w:w="1095" w:type="dxa"/>
            <w:vMerge w:val="restart"/>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 w:eastAsia="zh-CN" w:bidi="ar"/>
              </w:rPr>
            </w:pPr>
            <w:r>
              <w:rPr>
                <w:rFonts w:hint="eastAsia" w:ascii="宋体" w:hAnsi="宋体" w:eastAsia="宋体" w:cs="宋体"/>
                <w:i w:val="0"/>
                <w:snapToGrid w:val="0"/>
                <w:color w:val="000000"/>
                <w:kern w:val="0"/>
                <w:sz w:val="22"/>
                <w:szCs w:val="22"/>
                <w:u w:val="none"/>
                <w:lang w:val="en-US" w:eastAsia="zh-CN" w:bidi="ar"/>
              </w:rPr>
              <w:t>抽查比例</w:t>
            </w:r>
            <w:r>
              <w:rPr>
                <w:rFonts w:hint="default" w:ascii="宋体" w:hAnsi="宋体" w:eastAsia="宋体" w:cs="宋体"/>
                <w:i w:val="0"/>
                <w:snapToGrid w:val="0"/>
                <w:color w:val="000000"/>
                <w:kern w:val="0"/>
                <w:sz w:val="22"/>
                <w:szCs w:val="22"/>
                <w:u w:val="none"/>
                <w:lang w:val="en" w:eastAsia="zh-CN" w:bidi="ar"/>
              </w:rPr>
              <w:t>/</w:t>
            </w:r>
            <w:r>
              <w:rPr>
                <w:rFonts w:hint="eastAsia" w:ascii="宋体" w:hAnsi="宋体" w:eastAsia="宋体" w:cs="宋体"/>
                <w:i w:val="0"/>
                <w:snapToGrid w:val="0"/>
                <w:color w:val="000000"/>
                <w:kern w:val="0"/>
                <w:sz w:val="22"/>
                <w:szCs w:val="22"/>
                <w:u w:val="none"/>
                <w:lang w:val="en" w:eastAsia="zh-CN" w:bidi="ar"/>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抽查类别</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抽查事项</w:t>
            </w:r>
          </w:p>
        </w:tc>
        <w:tc>
          <w:tcPr>
            <w:tcW w:w="1080"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080"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080"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601"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095"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w:t>
            </w:r>
          </w:p>
        </w:tc>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娱乐场所</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对娱乐场所的监督检查</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娱乐场所</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现场检查</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师市文体广旅局</w:t>
            </w:r>
          </w:p>
        </w:tc>
        <w:tc>
          <w:tcPr>
            <w:tcW w:w="1601"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《娱乐场所管理条例》</w:t>
            </w:r>
          </w:p>
        </w:tc>
        <w:tc>
          <w:tcPr>
            <w:tcW w:w="1095" w:type="dxa"/>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2</w:t>
            </w:r>
          </w:p>
        </w:tc>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营业性演出</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对营业性演出的监督检查</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营业性演出</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现场检查或书面检查</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师市文体广旅局</w:t>
            </w:r>
          </w:p>
        </w:tc>
        <w:tc>
          <w:tcPr>
            <w:tcW w:w="1601"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《营业性演出管理条例</w:t>
            </w:r>
          </w:p>
        </w:tc>
        <w:tc>
          <w:tcPr>
            <w:tcW w:w="1095" w:type="dxa"/>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3</w:t>
            </w:r>
          </w:p>
        </w:tc>
        <w:tc>
          <w:tcPr>
            <w:tcW w:w="1079"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互联网上网服务营业场所</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对互联网上网服务营业场所的监督检查</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互联网上网服务营业性场所</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现场检查</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师市文体广旅局</w:t>
            </w:r>
          </w:p>
        </w:tc>
        <w:tc>
          <w:tcPr>
            <w:tcW w:w="1601"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《互联网上网服务营业场所管理条例》</w:t>
            </w:r>
          </w:p>
        </w:tc>
        <w:tc>
          <w:tcPr>
            <w:tcW w:w="1095" w:type="dxa"/>
            <w:vAlign w:val="center"/>
          </w:tcPr>
          <w:p>
            <w:pPr>
              <w:widowControl w:val="0"/>
              <w:jc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4</w:t>
            </w:r>
          </w:p>
        </w:tc>
        <w:tc>
          <w:tcPr>
            <w:tcW w:w="1079"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旅游市场</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对旅游市场的监督检查</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星级酒店、农家乐、旅行社、景区</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现场检查</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师市文体广旅局</w:t>
            </w:r>
          </w:p>
        </w:tc>
        <w:tc>
          <w:tcPr>
            <w:tcW w:w="1601"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《中华人民共和国旅游法》</w:t>
            </w:r>
          </w:p>
        </w:tc>
        <w:tc>
          <w:tcPr>
            <w:tcW w:w="1095"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100%</w:t>
            </w:r>
          </w:p>
        </w:tc>
      </w:tr>
    </w:tbl>
    <w:p>
      <w:pPr>
        <w:pStyle w:val="2"/>
        <w:spacing w:before="113" w:line="291" w:lineRule="auto"/>
        <w:ind w:right="6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执法人员信息</w:t>
      </w:r>
    </w:p>
    <w:p>
      <w:pPr>
        <w:pStyle w:val="2"/>
        <w:spacing w:before="144" w:line="271" w:lineRule="auto"/>
        <w:ind w:left="84" w:right="295" w:firstLine="66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eastAsia="zh-CN"/>
        </w:rPr>
        <w:t>师市文体广旅局</w:t>
      </w:r>
      <w:r>
        <w:rPr>
          <w:rFonts w:hint="eastAsia" w:ascii="仿宋_GB2312" w:hAnsi="仿宋_GB2312" w:eastAsia="仿宋_GB2312" w:cs="仿宋_GB2312"/>
          <w:spacing w:val="10"/>
          <w:sz w:val="32"/>
          <w:szCs w:val="32"/>
          <w:lang w:val="en-US" w:eastAsia="zh-CN"/>
        </w:rPr>
        <w:t xml:space="preserve"> 马紫涵 女 文体广旅局综合科副科长 32001021003 2025.8.1 </w:t>
      </w:r>
    </w:p>
    <w:p>
      <w:pPr>
        <w:pStyle w:val="2"/>
        <w:spacing w:before="144" w:line="271" w:lineRule="auto"/>
        <w:ind w:left="84" w:right="295" w:firstLine="660"/>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eastAsia="zh-CN"/>
        </w:rPr>
        <w:t>师市文体广旅局</w:t>
      </w:r>
      <w:r>
        <w:rPr>
          <w:rFonts w:hint="eastAsia" w:ascii="仿宋_GB2312" w:hAnsi="仿宋_GB2312" w:eastAsia="仿宋_GB2312" w:cs="仿宋_GB2312"/>
          <w:spacing w:val="10"/>
          <w:sz w:val="32"/>
          <w:szCs w:val="32"/>
          <w:lang w:val="en-US" w:eastAsia="zh-CN"/>
        </w:rPr>
        <w:t xml:space="preserve"> 毕振凯 男 文体广旅局综合科四级主任科员 32001021004 2025.8.1</w:t>
      </w:r>
    </w:p>
    <w:p>
      <w:pPr>
        <w:pStyle w:val="2"/>
        <w:spacing w:before="113" w:line="291" w:lineRule="auto"/>
        <w:ind w:right="6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执法证件样式</w:t>
      </w:r>
    </w:p>
    <w:p>
      <w:pPr>
        <w:pStyle w:val="2"/>
        <w:spacing w:before="144" w:line="271" w:lineRule="auto"/>
        <w:ind w:left="84" w:right="295" w:firstLine="66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eastAsia="zh-CN"/>
        </w:rPr>
        <w:t>执法证件样式（见附件</w:t>
      </w:r>
      <w:r>
        <w:rPr>
          <w:rFonts w:hint="eastAsia" w:ascii="仿宋_GB2312" w:hAnsi="仿宋_GB2312" w:eastAsia="仿宋_GB2312" w:cs="仿宋_GB2312"/>
          <w:spacing w:val="10"/>
          <w:sz w:val="32"/>
          <w:szCs w:val="32"/>
          <w:lang w:val="en-US" w:eastAsia="zh-CN"/>
        </w:rPr>
        <w:t>2）</w:t>
      </w:r>
    </w:p>
    <w:p>
      <w:pPr>
        <w:pStyle w:val="2"/>
        <w:spacing w:before="113" w:line="291" w:lineRule="auto"/>
        <w:ind w:right="6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执法服装标识样式</w:t>
      </w:r>
    </w:p>
    <w:p>
      <w:pPr>
        <w:pStyle w:val="2"/>
        <w:spacing w:before="144" w:line="271" w:lineRule="auto"/>
        <w:ind w:left="84" w:right="295" w:firstLine="66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无</w:t>
      </w:r>
    </w:p>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（五）执法流程和执法程序</w:t>
      </w:r>
    </w:p>
    <w:p>
      <w:pPr>
        <w:pStyle w:val="2"/>
        <w:spacing w:before="144" w:line="271" w:lineRule="auto"/>
        <w:ind w:left="84" w:right="295" w:firstLine="660"/>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eastAsia="zh-CN"/>
        </w:rPr>
        <w:t>执法流程和执法程序（见附件</w:t>
      </w:r>
      <w:r>
        <w:rPr>
          <w:rFonts w:hint="eastAsia" w:ascii="仿宋_GB2312" w:hAnsi="仿宋_GB2312" w:eastAsia="仿宋_GB2312" w:cs="仿宋_GB2312"/>
          <w:spacing w:val="10"/>
          <w:sz w:val="32"/>
          <w:szCs w:val="32"/>
          <w:lang w:val="en-US" w:eastAsia="zh-CN"/>
        </w:rPr>
        <w:t>3）</w:t>
      </w:r>
    </w:p>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（六）立案依据</w:t>
      </w:r>
    </w:p>
    <w:p>
      <w:pPr>
        <w:pStyle w:val="2"/>
        <w:spacing w:before="144" w:line="271" w:lineRule="auto"/>
        <w:ind w:left="84" w:right="295" w:firstLine="66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立案依据（见附件</w:t>
      </w:r>
      <w:r>
        <w:rPr>
          <w:rFonts w:hint="eastAsia" w:ascii="仿宋_GB2312" w:hAnsi="仿宋_GB2312" w:eastAsia="仿宋_GB2312" w:cs="仿宋_GB2312"/>
          <w:spacing w:val="10"/>
          <w:sz w:val="32"/>
          <w:szCs w:val="32"/>
          <w:lang w:val="en-US" w:eastAsia="zh-CN"/>
        </w:rPr>
        <w:t>4）</w:t>
      </w:r>
    </w:p>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（七）听证标准</w:t>
      </w:r>
    </w:p>
    <w:p>
      <w:pPr>
        <w:pStyle w:val="2"/>
        <w:spacing w:before="144" w:line="271" w:lineRule="auto"/>
        <w:ind w:left="84" w:right="295" w:firstLine="66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依据《娱乐场所管理办法》，第十师北屯市文体广旅局作出下列行政许可之前，应当对以下事项组织听证：文化主管部门审批娱乐场所应当举行听证。有关听证的程序，依照《中华人民共和国行政许可法》的规定执行。</w:t>
      </w:r>
    </w:p>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（八）救济渠道</w:t>
      </w:r>
    </w:p>
    <w:p>
      <w:pPr>
        <w:pStyle w:val="2"/>
        <w:spacing w:before="144" w:line="271" w:lineRule="auto"/>
        <w:ind w:left="84" w:right="295" w:firstLine="66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无</w:t>
      </w:r>
    </w:p>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（九）重大行政执法决定法制审核目录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15"/>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序号</w:t>
            </w:r>
          </w:p>
        </w:tc>
        <w:tc>
          <w:tcPr>
            <w:tcW w:w="1515"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事项类别</w:t>
            </w: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重大行政执法决定事项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1</w:t>
            </w:r>
          </w:p>
        </w:tc>
        <w:tc>
          <w:tcPr>
            <w:tcW w:w="1515" w:type="dxa"/>
            <w:vMerge w:val="restart"/>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行政许可</w:t>
            </w: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经过听证程序作出的行政许可决定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2</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default" w:ascii="FangSong" w:hAnsi="FangSong" w:eastAsia="FangSong" w:cs="FangSong"/>
                <w:i w:val="0"/>
                <w:snapToGrid w:val="0"/>
                <w:color w:val="000000"/>
                <w:kern w:val="0"/>
                <w:sz w:val="29"/>
                <w:szCs w:val="29"/>
                <w:u w:val="none"/>
                <w:lang w:val="en-US" w:eastAsia="zh-CN" w:bidi="ar"/>
              </w:rPr>
              <w:t>撤回、撤销行政许可的决定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3</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default" w:ascii="FangSong" w:hAnsi="FangSong" w:eastAsia="FangSong" w:cs="FangSong"/>
                <w:i w:val="0"/>
                <w:snapToGrid w:val="0"/>
                <w:color w:val="000000"/>
                <w:kern w:val="0"/>
                <w:sz w:val="29"/>
                <w:szCs w:val="29"/>
                <w:u w:val="none"/>
                <w:lang w:val="en-US" w:eastAsia="zh-CN" w:bidi="ar"/>
              </w:rPr>
              <w:t>文化体育广电和旅游行政机关认为属于重大的其他行政许可决定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4</w:t>
            </w:r>
          </w:p>
        </w:tc>
        <w:tc>
          <w:tcPr>
            <w:tcW w:w="1515" w:type="dxa"/>
            <w:vMerge w:val="restart"/>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行政处罚</w:t>
            </w: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吊销许可证或者职业证书的行政处罚决定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5</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责令停业的行政处罚决定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6</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案情复杂且需要经过听证程序作出的行政处罚决定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7</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对个人处较大数额罚款的行政处罚决定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8</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文化体育广电和旅游行政机关认为属于重大的其他行政处罚决定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9</w:t>
            </w:r>
          </w:p>
        </w:tc>
        <w:tc>
          <w:tcPr>
            <w:tcW w:w="1515" w:type="dxa"/>
            <w:vMerge w:val="restart"/>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案件移送</w:t>
            </w: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向公安机关移送涉嫌犯罪案件的决定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10</w:t>
            </w:r>
          </w:p>
        </w:tc>
        <w:tc>
          <w:tcPr>
            <w:tcW w:w="1515" w:type="dxa"/>
            <w:vMerge w:val="continue"/>
            <w:vAlign w:val="center"/>
          </w:tcPr>
          <w:p>
            <w:pPr>
              <w:widowControl w:val="0"/>
              <w:jc w:val="center"/>
              <w:rPr>
                <w:rFonts w:ascii="宋体" w:hAnsi="宋体" w:eastAsia="宋体" w:cs="宋体"/>
                <w:spacing w:val="17"/>
                <w:sz w:val="31"/>
                <w:szCs w:val="31"/>
                <w:vertAlign w:val="baseline"/>
              </w:rPr>
            </w:pP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像纪检监察机关移送涉嫌职务违法、职务犯罪案件的决定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11</w:t>
            </w:r>
          </w:p>
        </w:tc>
        <w:tc>
          <w:tcPr>
            <w:tcW w:w="1515"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其他</w:t>
            </w:r>
          </w:p>
        </w:tc>
        <w:tc>
          <w:tcPr>
            <w:tcW w:w="6459" w:type="dxa"/>
            <w:vAlign w:val="center"/>
          </w:tcPr>
          <w:p>
            <w:pPr>
              <w:keepNext w:val="0"/>
              <w:keepLines w:val="0"/>
              <w:widowControl/>
              <w:suppressLineNumbers w:val="0"/>
              <w:jc w:val="center"/>
              <w:textAlignment w:val="center"/>
              <w:rPr>
                <w:rFonts w:ascii="宋体" w:hAnsi="宋体" w:eastAsia="宋体" w:cs="宋体"/>
                <w:spacing w:val="17"/>
                <w:sz w:val="31"/>
                <w:szCs w:val="31"/>
                <w:vertAlign w:val="baseline"/>
              </w:rPr>
            </w:pPr>
            <w:r>
              <w:rPr>
                <w:rFonts w:hint="eastAsia" w:ascii="宋体" w:hAnsi="宋体" w:eastAsia="宋体" w:cs="宋体"/>
                <w:i w:val="0"/>
                <w:snapToGrid w:val="0"/>
                <w:color w:val="000000"/>
                <w:kern w:val="0"/>
                <w:sz w:val="22"/>
                <w:szCs w:val="22"/>
                <w:u w:val="none"/>
                <w:lang w:val="en-US" w:eastAsia="zh-CN" w:bidi="ar"/>
              </w:rPr>
              <w:t>法律法规规章规定或者文化体育广电和旅游行政机关认为属于重大的其他行政执法规定</w:t>
            </w:r>
          </w:p>
        </w:tc>
      </w:tr>
    </w:tbl>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（十）裁量基准</w:t>
      </w:r>
    </w:p>
    <w:p>
      <w:pPr>
        <w:pStyle w:val="2"/>
        <w:spacing w:before="144" w:line="271" w:lineRule="auto"/>
        <w:ind w:left="84" w:right="295" w:firstLine="660"/>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无</w:t>
      </w:r>
    </w:p>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（十一）执法检查事项</w:t>
      </w:r>
    </w:p>
    <w:tbl>
      <w:tblPr>
        <w:tblStyle w:val="4"/>
        <w:tblW w:w="8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80"/>
        <w:gridCol w:w="1080"/>
        <w:gridCol w:w="1080"/>
        <w:gridCol w:w="1080"/>
        <w:gridCol w:w="16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序号</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检查主体</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检查事项</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检查方式</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检查时间</w:t>
            </w:r>
          </w:p>
        </w:tc>
        <w:tc>
          <w:tcPr>
            <w:tcW w:w="1601"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检查对象基数</w:t>
            </w:r>
          </w:p>
        </w:tc>
        <w:tc>
          <w:tcPr>
            <w:tcW w:w="1095" w:type="dxa"/>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 w:eastAsia="zh-CN" w:bidi="ar"/>
              </w:rPr>
            </w:pPr>
            <w:r>
              <w:rPr>
                <w:rFonts w:hint="eastAsia" w:ascii="宋体" w:hAnsi="宋体" w:eastAsia="宋体" w:cs="宋体"/>
                <w:i w:val="0"/>
                <w:snapToGrid w:val="0"/>
                <w:color w:val="000000"/>
                <w:kern w:val="0"/>
                <w:sz w:val="22"/>
                <w:szCs w:val="22"/>
                <w:u w:val="none"/>
                <w:lang w:val="en-US" w:eastAsia="zh-CN" w:bidi="ar"/>
              </w:rPr>
              <w:t>抽查比例</w:t>
            </w:r>
            <w:r>
              <w:rPr>
                <w:rFonts w:hint="default" w:ascii="宋体" w:hAnsi="宋体" w:eastAsia="宋体" w:cs="宋体"/>
                <w:i w:val="0"/>
                <w:snapToGrid w:val="0"/>
                <w:color w:val="000000"/>
                <w:kern w:val="0"/>
                <w:sz w:val="22"/>
                <w:szCs w:val="22"/>
                <w:u w:val="none"/>
                <w:lang w:val="en" w:eastAsia="zh-CN" w:bidi="ar"/>
              </w:rPr>
              <w:t>/</w:t>
            </w:r>
            <w:r>
              <w:rPr>
                <w:rFonts w:hint="eastAsia" w:ascii="宋体" w:hAnsi="宋体" w:eastAsia="宋体" w:cs="宋体"/>
                <w:i w:val="0"/>
                <w:snapToGrid w:val="0"/>
                <w:color w:val="000000"/>
                <w:kern w:val="0"/>
                <w:sz w:val="22"/>
                <w:szCs w:val="22"/>
                <w:u w:val="none"/>
                <w:lang w:val="en" w:eastAsia="zh-CN" w:bidi="ar"/>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w:t>
            </w:r>
          </w:p>
        </w:tc>
        <w:tc>
          <w:tcPr>
            <w:tcW w:w="1080" w:type="dxa"/>
            <w:vMerge w:val="restart"/>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师市文体广旅局</w:t>
            </w:r>
          </w:p>
        </w:tc>
        <w:tc>
          <w:tcPr>
            <w:tcW w:w="1080" w:type="dxa"/>
            <w:vAlign w:val="top"/>
          </w:tcPr>
          <w:p>
            <w:pPr>
              <w:pStyle w:val="2"/>
              <w:widowControl w:val="0"/>
              <w:spacing w:line="277" w:lineRule="auto"/>
              <w:ind w:right="85" w:rightChars="0"/>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对娱乐场所的监督检查</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现场检查</w:t>
            </w:r>
          </w:p>
        </w:tc>
        <w:tc>
          <w:tcPr>
            <w:tcW w:w="1080" w:type="dxa"/>
            <w:vMerge w:val="restart"/>
          </w:tcPr>
          <w:p>
            <w:pPr>
              <w:keepNext w:val="0"/>
              <w:keepLines w:val="0"/>
              <w:widowControl/>
              <w:suppressLineNumbers w:val="0"/>
              <w:jc w:val="center"/>
              <w:textAlignment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每年度</w:t>
            </w:r>
          </w:p>
        </w:tc>
        <w:tc>
          <w:tcPr>
            <w:tcW w:w="1601" w:type="dxa"/>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10</w:t>
            </w:r>
          </w:p>
        </w:tc>
        <w:tc>
          <w:tcPr>
            <w:tcW w:w="1095" w:type="dxa"/>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2</w:t>
            </w:r>
          </w:p>
        </w:tc>
        <w:tc>
          <w:tcPr>
            <w:tcW w:w="1080"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080" w:type="dxa"/>
            <w:vAlign w:val="top"/>
          </w:tcPr>
          <w:p>
            <w:pPr>
              <w:pStyle w:val="2"/>
              <w:widowControl w:val="0"/>
              <w:spacing w:line="277" w:lineRule="auto"/>
              <w:ind w:right="85" w:rightChars="0"/>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对营业性演出的监督检查</w:t>
            </w:r>
          </w:p>
        </w:tc>
        <w:tc>
          <w:tcPr>
            <w:tcW w:w="1080"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现场检查或书面检查</w:t>
            </w:r>
          </w:p>
        </w:tc>
        <w:tc>
          <w:tcPr>
            <w:tcW w:w="1080" w:type="dxa"/>
            <w:vMerge w:val="continue"/>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p>
        </w:tc>
        <w:tc>
          <w:tcPr>
            <w:tcW w:w="1601"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2</w:t>
            </w:r>
          </w:p>
        </w:tc>
        <w:tc>
          <w:tcPr>
            <w:tcW w:w="1095" w:type="dxa"/>
          </w:tcPr>
          <w:p>
            <w:pPr>
              <w:pStyle w:val="2"/>
              <w:widowControl w:val="0"/>
              <w:spacing w:line="277" w:lineRule="auto"/>
              <w:ind w:right="85"/>
              <w:jc w:val="center"/>
              <w:rPr>
                <w:rFonts w:hint="default"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3</w:t>
            </w:r>
          </w:p>
        </w:tc>
        <w:tc>
          <w:tcPr>
            <w:tcW w:w="1080" w:type="dxa"/>
            <w:vMerge w:val="continue"/>
            <w:vAlign w:val="center"/>
          </w:tcPr>
          <w:p>
            <w:pPr>
              <w:keepNext w:val="0"/>
              <w:keepLines w:val="0"/>
              <w:widowControl/>
              <w:suppressLineNumbers w:val="0"/>
              <w:jc w:val="center"/>
              <w:textAlignment w:val="center"/>
              <w:rPr>
                <w:spacing w:val="26"/>
                <w:sz w:val="29"/>
                <w:szCs w:val="29"/>
                <w:vertAlign w:val="baseline"/>
              </w:rPr>
            </w:pPr>
          </w:p>
        </w:tc>
        <w:tc>
          <w:tcPr>
            <w:tcW w:w="1080" w:type="dxa"/>
            <w:vAlign w:val="center"/>
          </w:tcPr>
          <w:p>
            <w:pPr>
              <w:keepNext w:val="0"/>
              <w:keepLines w:val="0"/>
              <w:widowControl/>
              <w:suppressLineNumbers w:val="0"/>
              <w:jc w:val="center"/>
              <w:textAlignment w:val="center"/>
              <w:rPr>
                <w:rFonts w:hint="eastAsia" w:ascii="Arial" w:hAnsi="Arial" w:eastAsia="Arial" w:cs="Arial"/>
                <w:snapToGrid w:val="0"/>
                <w:color w:val="000000"/>
                <w:spacing w:val="26"/>
                <w:kern w:val="0"/>
                <w:sz w:val="29"/>
                <w:szCs w:val="29"/>
                <w:vertAlign w:val="baseline"/>
                <w:lang w:val="en-US" w:eastAsia="zh-CN" w:bidi="ar-SA"/>
              </w:rPr>
            </w:pPr>
            <w:r>
              <w:rPr>
                <w:rFonts w:hint="eastAsia" w:ascii="宋体" w:hAnsi="宋体" w:eastAsia="宋体" w:cs="宋体"/>
                <w:i w:val="0"/>
                <w:snapToGrid w:val="0"/>
                <w:color w:val="000000"/>
                <w:kern w:val="0"/>
                <w:sz w:val="22"/>
                <w:szCs w:val="22"/>
                <w:u w:val="none"/>
                <w:lang w:val="en-US" w:eastAsia="zh-CN" w:bidi="ar"/>
              </w:rPr>
              <w:t>对互联网上网服务营业场所的监督检查</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现场检查</w:t>
            </w:r>
          </w:p>
        </w:tc>
        <w:tc>
          <w:tcPr>
            <w:tcW w:w="1080" w:type="dxa"/>
            <w:vMerge w:val="continue"/>
            <w:vAlign w:val="center"/>
          </w:tcPr>
          <w:p>
            <w:pPr>
              <w:keepNext w:val="0"/>
              <w:keepLines w:val="0"/>
              <w:widowControl/>
              <w:suppressLineNumbers w:val="0"/>
              <w:jc w:val="center"/>
              <w:textAlignment w:val="center"/>
              <w:rPr>
                <w:spacing w:val="26"/>
                <w:sz w:val="29"/>
                <w:szCs w:val="29"/>
                <w:vertAlign w:val="baseline"/>
              </w:rPr>
            </w:pPr>
          </w:p>
        </w:tc>
        <w:tc>
          <w:tcPr>
            <w:tcW w:w="1601"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9</w:t>
            </w:r>
          </w:p>
        </w:tc>
        <w:tc>
          <w:tcPr>
            <w:tcW w:w="1095" w:type="dxa"/>
            <w:vAlign w:val="center"/>
          </w:tcPr>
          <w:p>
            <w:pPr>
              <w:widowControl w:val="0"/>
              <w:jc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9" w:type="dxa"/>
          </w:tcPr>
          <w:p>
            <w:pPr>
              <w:pStyle w:val="2"/>
              <w:widowControl w:val="0"/>
              <w:spacing w:line="277" w:lineRule="auto"/>
              <w:ind w:right="85"/>
              <w:jc w:val="center"/>
              <w:rPr>
                <w:rFonts w:hint="eastAsia" w:ascii="宋体" w:hAnsi="宋体" w:eastAsia="宋体" w:cs="宋体"/>
                <w:i w:val="0"/>
                <w:snapToGrid w:val="0"/>
                <w:color w:val="000000"/>
                <w:kern w:val="0"/>
                <w:sz w:val="22"/>
                <w:szCs w:val="22"/>
                <w:u w:val="none"/>
                <w:lang w:val="en-US" w:eastAsia="zh-CN" w:bidi="ar"/>
              </w:rPr>
            </w:pPr>
            <w:r>
              <w:rPr>
                <w:rFonts w:hint="eastAsia" w:ascii="宋体" w:hAnsi="宋体" w:eastAsia="宋体" w:cs="宋体"/>
                <w:i w:val="0"/>
                <w:snapToGrid w:val="0"/>
                <w:color w:val="000000"/>
                <w:kern w:val="0"/>
                <w:sz w:val="22"/>
                <w:szCs w:val="22"/>
                <w:u w:val="none"/>
                <w:lang w:val="en-US" w:eastAsia="zh-CN" w:bidi="ar"/>
              </w:rPr>
              <w:t>4</w:t>
            </w:r>
          </w:p>
        </w:tc>
        <w:tc>
          <w:tcPr>
            <w:tcW w:w="1080" w:type="dxa"/>
            <w:vMerge w:val="continue"/>
            <w:vAlign w:val="center"/>
          </w:tcPr>
          <w:p>
            <w:pPr>
              <w:keepNext w:val="0"/>
              <w:keepLines w:val="0"/>
              <w:widowControl/>
              <w:suppressLineNumbers w:val="0"/>
              <w:jc w:val="center"/>
              <w:textAlignment w:val="center"/>
              <w:rPr>
                <w:spacing w:val="26"/>
                <w:sz w:val="29"/>
                <w:szCs w:val="29"/>
                <w:vertAlign w:val="baseline"/>
              </w:rPr>
            </w:pPr>
          </w:p>
        </w:tc>
        <w:tc>
          <w:tcPr>
            <w:tcW w:w="1080" w:type="dxa"/>
            <w:vAlign w:val="center"/>
          </w:tcPr>
          <w:p>
            <w:pPr>
              <w:keepNext w:val="0"/>
              <w:keepLines w:val="0"/>
              <w:widowControl/>
              <w:suppressLineNumbers w:val="0"/>
              <w:jc w:val="center"/>
              <w:textAlignment w:val="center"/>
              <w:rPr>
                <w:rFonts w:hint="eastAsia" w:ascii="Arial" w:hAnsi="Arial" w:eastAsia="Arial" w:cs="Arial"/>
                <w:snapToGrid w:val="0"/>
                <w:color w:val="000000"/>
                <w:spacing w:val="26"/>
                <w:kern w:val="0"/>
                <w:sz w:val="29"/>
                <w:szCs w:val="29"/>
                <w:vertAlign w:val="baseline"/>
                <w:lang w:val="en-US" w:eastAsia="zh-CN" w:bidi="ar-SA"/>
              </w:rPr>
            </w:pPr>
            <w:r>
              <w:rPr>
                <w:rFonts w:hint="eastAsia" w:ascii="宋体" w:hAnsi="宋体" w:eastAsia="宋体" w:cs="宋体"/>
                <w:i w:val="0"/>
                <w:snapToGrid w:val="0"/>
                <w:color w:val="000000"/>
                <w:kern w:val="0"/>
                <w:sz w:val="22"/>
                <w:szCs w:val="22"/>
                <w:u w:val="none"/>
                <w:lang w:val="en-US" w:eastAsia="zh-CN" w:bidi="ar"/>
              </w:rPr>
              <w:t>对旅游市场的监督检查</w:t>
            </w:r>
          </w:p>
        </w:tc>
        <w:tc>
          <w:tcPr>
            <w:tcW w:w="1080"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现场检查</w:t>
            </w:r>
          </w:p>
        </w:tc>
        <w:tc>
          <w:tcPr>
            <w:tcW w:w="1080" w:type="dxa"/>
            <w:vMerge w:val="continue"/>
            <w:vAlign w:val="center"/>
          </w:tcPr>
          <w:p>
            <w:pPr>
              <w:keepNext w:val="0"/>
              <w:keepLines w:val="0"/>
              <w:widowControl/>
              <w:suppressLineNumbers w:val="0"/>
              <w:jc w:val="center"/>
              <w:textAlignment w:val="center"/>
              <w:rPr>
                <w:spacing w:val="26"/>
                <w:sz w:val="29"/>
                <w:szCs w:val="29"/>
                <w:vertAlign w:val="baseline"/>
              </w:rPr>
            </w:pPr>
          </w:p>
        </w:tc>
        <w:tc>
          <w:tcPr>
            <w:tcW w:w="1601" w:type="dxa"/>
            <w:vAlign w:val="center"/>
          </w:tcPr>
          <w:p>
            <w:pPr>
              <w:keepNext w:val="0"/>
              <w:keepLines w:val="0"/>
              <w:widowControl/>
              <w:suppressLineNumbers w:val="0"/>
              <w:jc w:val="center"/>
              <w:textAlignment w:val="center"/>
              <w:rPr>
                <w:rFonts w:hint="default"/>
                <w:spacing w:val="26"/>
                <w:sz w:val="29"/>
                <w:szCs w:val="29"/>
                <w:vertAlign w:val="baseline"/>
                <w:lang w:val="en-US"/>
              </w:rPr>
            </w:pPr>
            <w:r>
              <w:rPr>
                <w:rFonts w:hint="eastAsia" w:ascii="宋体" w:hAnsi="宋体" w:eastAsia="宋体" w:cs="宋体"/>
                <w:i w:val="0"/>
                <w:snapToGrid w:val="0"/>
                <w:color w:val="000000"/>
                <w:kern w:val="0"/>
                <w:sz w:val="22"/>
                <w:szCs w:val="22"/>
                <w:u w:val="none"/>
                <w:lang w:val="en-US" w:eastAsia="zh-CN" w:bidi="ar"/>
              </w:rPr>
              <w:t>17</w:t>
            </w:r>
          </w:p>
        </w:tc>
        <w:tc>
          <w:tcPr>
            <w:tcW w:w="1095" w:type="dxa"/>
            <w:vAlign w:val="center"/>
          </w:tcPr>
          <w:p>
            <w:pPr>
              <w:keepNext w:val="0"/>
              <w:keepLines w:val="0"/>
              <w:widowControl/>
              <w:suppressLineNumbers w:val="0"/>
              <w:jc w:val="center"/>
              <w:textAlignment w:val="center"/>
              <w:rPr>
                <w:spacing w:val="26"/>
                <w:sz w:val="29"/>
                <w:szCs w:val="29"/>
                <w:vertAlign w:val="baseline"/>
              </w:rPr>
            </w:pPr>
            <w:r>
              <w:rPr>
                <w:rFonts w:hint="eastAsia" w:ascii="宋体" w:hAnsi="宋体" w:eastAsia="宋体" w:cs="宋体"/>
                <w:i w:val="0"/>
                <w:snapToGrid w:val="0"/>
                <w:color w:val="000000"/>
                <w:kern w:val="0"/>
                <w:sz w:val="22"/>
                <w:szCs w:val="22"/>
                <w:u w:val="none"/>
                <w:lang w:val="en-US" w:eastAsia="zh-CN" w:bidi="ar"/>
              </w:rPr>
              <w:t>100%</w:t>
            </w:r>
          </w:p>
        </w:tc>
      </w:tr>
    </w:tbl>
    <w:p>
      <w:pPr>
        <w:pStyle w:val="2"/>
        <w:spacing w:before="113" w:line="291" w:lineRule="auto"/>
        <w:ind w:right="61" w:firstLine="640" w:firstLineChars="2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（十二）行政执法服务指南</w:t>
      </w:r>
    </w:p>
    <w:p>
      <w:pPr>
        <w:pStyle w:val="2"/>
        <w:spacing w:before="190" w:line="270" w:lineRule="auto"/>
        <w:ind w:right="261" w:firstLine="680" w:firstLineChars="200"/>
        <w:rPr>
          <w:rFonts w:hint="eastAsia" w:ascii="仿宋_GB2312" w:hAnsi="仿宋_GB2312" w:eastAsia="仿宋_GB2312" w:cs="仿宋_GB2312"/>
          <w:b w:val="0"/>
          <w:bCs w:val="0"/>
          <w:sz w:val="32"/>
          <w:szCs w:val="32"/>
        </w:rPr>
        <w:sectPr>
          <w:footerReference r:id="rId5" w:type="default"/>
          <w:pgSz w:w="11900" w:h="16820"/>
          <w:pgMar w:top="2098" w:right="1531" w:bottom="1984" w:left="1531" w:header="0" w:footer="1302" w:gutter="0"/>
          <w:cols w:space="720" w:num="1"/>
        </w:sectPr>
      </w:pPr>
      <w:r>
        <w:rPr>
          <w:rFonts w:hint="eastAsia" w:ascii="仿宋_GB2312" w:hAnsi="仿宋_GB2312" w:eastAsia="仿宋_GB2312" w:cs="仿宋_GB2312"/>
          <w:b w:val="0"/>
          <w:bCs w:val="0"/>
          <w:spacing w:val="10"/>
          <w:sz w:val="32"/>
          <w:szCs w:val="32"/>
          <w:lang w:val="en-US" w:eastAsia="zh-CN"/>
        </w:rPr>
        <w:t>http：</w:t>
      </w:r>
      <w:r>
        <w:rPr>
          <w:rFonts w:hint="eastAsia" w:ascii="仿宋_GB2312" w:hAnsi="仿宋_GB2312" w:eastAsia="仿宋_GB2312" w:cs="仿宋_GB2312"/>
          <w:b w:val="0"/>
          <w:bCs w:val="0"/>
          <w:spacing w:val="10"/>
          <w:sz w:val="32"/>
          <w:szCs w:val="32"/>
          <w:lang w:val="en" w:eastAsia="zh-CN"/>
        </w:rPr>
        <w:t>//www.bts.gov.cn/</w:t>
      </w:r>
    </w:p>
    <w:p>
      <w:pPr>
        <w:spacing w:before="94" w:line="224" w:lineRule="auto"/>
        <w:ind w:firstLine="356" w:firstLineChars="100"/>
        <w:outlineLvl w:val="1"/>
        <w:rPr>
          <w:rFonts w:hint="eastAsia" w:ascii="黑体" w:hAnsi="黑体" w:eastAsia="黑体" w:cs="黑体"/>
          <w:b w:val="0"/>
          <w:bCs w:val="0"/>
          <w:spacing w:val="18"/>
          <w:sz w:val="32"/>
          <w:szCs w:val="32"/>
        </w:rPr>
      </w:pPr>
      <w:r>
        <w:rPr>
          <w:rFonts w:hint="eastAsia" w:ascii="黑体" w:hAnsi="黑体" w:eastAsia="黑体" w:cs="黑体"/>
          <w:b w:val="0"/>
          <w:bCs w:val="0"/>
          <w:spacing w:val="18"/>
          <w:sz w:val="32"/>
          <w:szCs w:val="32"/>
          <w:lang w:eastAsia="zh-CN"/>
        </w:rPr>
        <w:t>三、</w:t>
      </w:r>
      <w:r>
        <w:rPr>
          <w:rFonts w:hint="eastAsia" w:ascii="黑体" w:hAnsi="黑体" w:eastAsia="黑体" w:cs="黑体"/>
          <w:b w:val="0"/>
          <w:bCs w:val="0"/>
          <w:spacing w:val="18"/>
          <w:sz w:val="32"/>
          <w:szCs w:val="32"/>
        </w:rPr>
        <w:t>事后公示模块</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（一）执法检查结果</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（二）行政许可决定</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（三）行政处罚决定</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（四）其他事后公示事项</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（五）年度执法总体情况</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第十师文体广旅局2024年度行政执法工作报告（见附件5）</w:t>
      </w:r>
    </w:p>
    <w:p>
      <w:pPr>
        <w:spacing w:before="94" w:line="224" w:lineRule="auto"/>
        <w:ind w:firstLine="356" w:firstLineChars="100"/>
        <w:outlineLvl w:val="1"/>
        <w:rPr>
          <w:rFonts w:hint="eastAsia" w:ascii="黑体" w:hAnsi="黑体" w:eastAsia="黑体" w:cs="黑体"/>
          <w:b w:val="0"/>
          <w:bCs w:val="0"/>
          <w:spacing w:val="18"/>
          <w:sz w:val="32"/>
          <w:szCs w:val="32"/>
          <w:lang w:eastAsia="zh-CN"/>
        </w:rPr>
      </w:pPr>
      <w:r>
        <w:rPr>
          <w:rFonts w:hint="eastAsia" w:ascii="黑体" w:hAnsi="黑体" w:eastAsia="黑体" w:cs="黑体"/>
          <w:b w:val="0"/>
          <w:bCs w:val="0"/>
          <w:spacing w:val="18"/>
          <w:sz w:val="32"/>
          <w:szCs w:val="32"/>
          <w:lang w:eastAsia="zh-CN"/>
        </w:rPr>
        <w:t>四、综合公示模块</w:t>
      </w:r>
    </w:p>
    <w:p>
      <w:pPr>
        <w:spacing w:before="94" w:line="224" w:lineRule="auto"/>
        <w:ind w:firstLine="340" w:firstLineChars="100"/>
        <w:outlineLvl w:val="1"/>
        <w:rPr>
          <w:rFonts w:hint="eastAsia" w:eastAsia="KaiTi"/>
          <w:spacing w:val="1"/>
          <w:sz w:val="32"/>
          <w:szCs w:val="32"/>
          <w:lang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56" w:firstLineChars="100"/>
        <w:outlineLvl w:val="1"/>
        <w:rPr>
          <w:rFonts w:hint="eastAsia" w:ascii="黑体" w:hAnsi="黑体" w:eastAsia="黑体" w:cs="黑体"/>
          <w:b w:val="0"/>
          <w:bCs w:val="0"/>
          <w:spacing w:val="18"/>
          <w:sz w:val="32"/>
          <w:szCs w:val="32"/>
          <w:lang w:eastAsia="zh-CN"/>
        </w:rPr>
      </w:pPr>
      <w:r>
        <w:rPr>
          <w:rFonts w:hint="eastAsia" w:ascii="黑体" w:hAnsi="黑体" w:eastAsia="黑体" w:cs="黑体"/>
          <w:b w:val="0"/>
          <w:bCs w:val="0"/>
          <w:spacing w:val="18"/>
          <w:sz w:val="32"/>
          <w:szCs w:val="32"/>
          <w:lang w:eastAsia="zh-CN"/>
        </w:rPr>
        <w:t>五、涉企行政检查公示</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（一）检查事项</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（二）检查依据</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（三）频次上限</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（四）检查计划</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（五）检查文书</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20" w:firstLineChars="100"/>
        <w:outlineLvl w:val="1"/>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（六）检查标准</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无</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附件：</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1.《第十师北屯市文化体育广电和旅游局执法事项清单》</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2.《执法证件样式》</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3.《执法流程和执法程序》</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4.《立案依据》</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5.《第十师文体广旅局2024年度行政执法工作报告》</w:t>
      </w: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p>
    <w:p>
      <w:pPr>
        <w:spacing w:before="94" w:line="224" w:lineRule="auto"/>
        <w:ind w:firstLine="340" w:firstLineChars="100"/>
        <w:outlineLvl w:val="1"/>
        <w:rPr>
          <w:rFonts w:hint="eastAsia" w:ascii="仿宋_GB2312" w:hAnsi="仿宋_GB2312" w:eastAsia="仿宋_GB2312" w:cs="仿宋_GB2312"/>
          <w:b w:val="0"/>
          <w:bCs w:val="0"/>
          <w:spacing w:val="10"/>
          <w:sz w:val="32"/>
          <w:szCs w:val="32"/>
          <w:lang w:val="en-US" w:eastAsia="zh-CN"/>
        </w:rPr>
      </w:pPr>
    </w:p>
    <w:p>
      <w:pPr>
        <w:wordWrap w:val="0"/>
        <w:spacing w:before="94" w:line="224" w:lineRule="auto"/>
        <w:ind w:firstLine="340" w:firstLineChars="100"/>
        <w:jc w:val="right"/>
        <w:outlineLvl w:val="1"/>
        <w:rPr>
          <w:rFonts w:hint="default"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 xml:space="preserve">第十师北屯市文体广旅局     </w:t>
      </w:r>
    </w:p>
    <w:p>
      <w:pPr>
        <w:wordWrap w:val="0"/>
        <w:spacing w:before="94" w:line="224" w:lineRule="auto"/>
        <w:ind w:firstLine="340" w:firstLineChars="100"/>
        <w:jc w:val="right"/>
        <w:outlineLvl w:val="1"/>
        <w:rPr>
          <w:rFonts w:hint="default"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b w:val="0"/>
          <w:bCs w:val="0"/>
          <w:spacing w:val="10"/>
          <w:sz w:val="32"/>
          <w:szCs w:val="32"/>
          <w:lang w:val="en-US" w:eastAsia="zh-CN"/>
        </w:rPr>
        <w:t xml:space="preserve">2025年5月28日         </w:t>
      </w:r>
    </w:p>
    <w:sectPr>
      <w:footerReference r:id="rId6" w:type="default"/>
      <w:pgSz w:w="11900" w:h="16820"/>
      <w:pgMar w:top="1429" w:right="1607" w:bottom="1366" w:left="1785" w:header="0" w:footer="11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A04020102020204"/>
    <w:charset w:val="01"/>
    <w:family w:val="swiss"/>
    <w:pitch w:val="default"/>
    <w:sig w:usb0="00000287" w:usb1="000000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FangSong">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aiTi">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74"/>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224"/>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67E784F9"/>
    <w:rsid w:val="7B238153"/>
    <w:rsid w:val="BBD05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 w:hAnsi="FangSong" w:eastAsia="FangSong" w:cs="FangSong"/>
      <w:sz w:val="33"/>
      <w:szCs w:val="33"/>
      <w:lang w:val="en-US" w:eastAsia="en-US"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64</TotalTime>
  <ScaleCrop>false</ScaleCrop>
  <LinksUpToDate>false</LinksUpToDate>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2025-05-24T17:07:00Z</dcterms:created>
  <dc:creator>admin</dc:creator>
  <cp:lastModifiedBy> </cp:lastModifiedBy>
  <cp:lastPrinted>2025-05-29T13:29:03Z</cp:lastPrinted>
  <dcterms:modified xsi:type="dcterms:W3CDTF">2025-05-29T13:29:17Z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2025-05-23T17:07:49Z</vt:filetime>
  </property>
  <property fmtid="{D5CDD505-2E9C-101B-9397-08002B2CF9AE}" pid="4" name="UsrData">
    <vt:lpwstr>68303ae2a1407c001f31fa45wl</vt:lpwstr>
  </property>
  <property fmtid="{D5CDD505-2E9C-101B-9397-08002B2CF9AE}" pid="5" name="KSOProductBuildVer">
    <vt:lpwstr>2052-11.8.2.9958</vt:lpwstr>
  </property>
</Properties>
</file>