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 w:line="400" w:lineRule="exact"/>
        <w:jc w:val="both"/>
        <w:rPr>
          <w:rFonts w:hAnsi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第十师文体广旅局2024年度行政执法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师市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文体广旅局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坚持以习近平新时代中国特色社会主义思想为指导，深入学习贯彻习近平法治思想，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按照师市党委关于法治政府建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设决策部署，持续深入推进依法行政，把法治政府建设要求贯穿到文体广旅发展的各个领域，落实到日常工作的各个环节。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年法治政府建设工作开展情况总结如下：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健全顶层设计，推进依法决策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加强组织领导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文体广旅局始终坚持以习近平新时代中国特色主义思想为指导，深入学习贯彻习近平总书记全面依法治国新理念新思想新战略，自觉运用法治思维和法治方式，深化文旅领域改革、推动发展、化解矛盾、维护稳定，严格落实党政主要负责人履行推进法治建设第一责任人职责。将法治工作纳入局总体规划和年度工作计划，定期听取相关工作进展，研究解决存在问题。将法治工作纳入年终考核，严格执行领导干部年度述职述廉述法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（二）规范法制制度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/>
        <w:spacing w:before="105" w:beforeAutospacing="0" w:after="105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加强规范性文件合法性审核清理、重大执法决定法制审核、合同审核等事项，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聘请新疆兰河律师事务所担任法律顾问，全年协助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审查各类合同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57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份，充分发挥法律顾问在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文体广旅系统执法、用法规范性等法治建设工作中的参谋助手作用。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进一步完善投诉处理机制，规范处理流程，畅通信访渠道，及时稳妥处理和汇报反馈情况，共受理“96359”便民政务服务平台1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起，信访案件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起，均已按照受理流程办结。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二、发挥阵地作用，加强法治宣传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（一）加强法治教育培训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lang w:val="en-US" w:eastAsia="zh-CN" w:bidi="ar"/>
        </w:rPr>
        <w:t>一是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强化专题学习，将学法计划列入202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4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年局党组中心组专题学习计划，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全年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组织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党组理论学习中心组学习习近平法治思想、党的二十大会议精神10次；通过传达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文件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精神、重温入党誓词、观看纪录片等方式，学习《党章》《中国共产党纪律处分条例》等党内规章制度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次。切实增强文体广旅系统全体党员干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部遵守党纪党规，坚定四个意识，落实两个维护的思想和行动自觉。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强化日常学习。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坚持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每周五学习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组织开展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《文物保护法》《中华人民共和国旅游法》《娱乐场所管理条例》《安全生产法》等文旅行业法律法规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12次，引导系统内党员干部更好履行依法行政职责。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强化法制培训。组织文体广旅系统及团场相关单位业务人员共同学习《旅游法》《广播电视管理条例》等法律法规，开展依法行政专题培训1次。通过学习，系统规范文体广旅系统党员干部法治思维、法治意识，提高依法行政、依法执政的能力和本领，在系统内形成学法、知法、用法的良好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（二）与行业监管相结合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贯彻落实“谁执法谁普法”责任制。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以日常巡查检查为契机，开展行业领域内政策法规宣传，积极引导市场主体合法经营、依法维权，增强文旅行业法治意识。同时，坚持以预防为重点，严把准入门槛，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增强经营业主知法、守法意识。按照《娱乐场所管理条例》《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未成年人保护法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》等法律法规要求，发证前召开娱乐场所听证会，在做好群众服务工作的同时，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对新办证经营业主进行引导教育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，切实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提升经营业主学习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相关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法律条例的自觉性，督促经营业主主动掌握法律法规。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年以来，累计召开娱乐场所听证会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次，开展行业学法讲法活动1次。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2.积极开展“法治大宣传”活动。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安排并督促文旅行业经营场所，发挥自身优势，利用电子显示屏、电脑屏保、宣传标语、横幅等方式，向文化旅游领域经营单位、从业人员及广大群众宣传国家法律法规和行业方针政策。全年，累计张贴宣传海报10余份，LED电子显示屏滚动播放法治标语、口号300余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（三）与文旅活动相结合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充分利用“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端午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国潮游园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”、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“北屯的夜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·有你想要的一切”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文旅活动人员聚集优势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与公安局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、市监局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合作设立法治宣传专区，专题开展法制宣传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次，以人民群众喜闻乐见的方式开展法律法规宣传，切实履行普法责任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，形成遵守纪律、崇尚法律、依法办事的良好氛围。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三、履行部门职能，强化执法监督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（一）严格审批流程，严把准入门槛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严格按照《行政许可法》《娱乐场所监督管理条例》《互联网上网服务场所监管条例》中的审批要求，逐项落实。在做好群众服务工作的同时，逐一核实各项审批材料，联合公安局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市场监督管理局文化市场综合执法支队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等部门在审批过程中对经营户的设施设备、消防安全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文娱项目涉黄涉暴等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进行核查，从源头落实好平安市场的建设工作。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（二）开展日常检查，强化“一失万无”意识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年累计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文体广旅系统专项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检查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和跨部门联合检查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次，出动执法人员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160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人次，检查经营单位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家次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一是突出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对文化娱乐场所及非学科类培训机构等场所是否依法依规经营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进行地毯式检查；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是突出对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旅游行业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不合理低价游”等行业乱象进行监督检查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累计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检查问题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条，问题全部整改到位，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有效遏制文旅市场经营单位违法违规经营行为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在师市文化旅游市场形成专项整治和日常监督相结合、严格执法与正面引导相结合的监管模式。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四、提升服务质效，积极推进职能履行依法全面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（一）加强“互联网+政务服务”建设。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结合我局工作实际，认真落实政务服务“一网通办”工作改革要求，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对文化旅游领域118项权责事项清单再认真细致梳理，明晰职责定位、健全责任清单，优化审批方式、精简申请材料。持续推进“互联网+政务服务”模式，动态管理行政事项，实现“让数据多跑路，让群众少跑路”。引导文化旅游市场经营业主网上申办业务，认真审核申办材料，实现娱乐场所年审零跑动，全年累计网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  <w:lang w:val="en-US" w:eastAsia="zh-CN" w:bidi="ar-SA"/>
        </w:rPr>
        <w:t>（二）开展“双随机、一公开”工作，加强事中事后监管。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依托兵团市场监管信息平台统一门户，健全和晚上市场主体名录库和检查执法人员名录库，录入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市场主体名录3个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，制定202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年度抽查计划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个，抽取市场主体检查对象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9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户，投入执法人员2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人次，并将随机抽查结果及时录入平台，通过国家企业信用信息管理平台对外公布。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</w:rPr>
        <w:t>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2"/>
          <w:sz w:val="32"/>
          <w:szCs w:val="32"/>
          <w:lang w:val="en-US" w:eastAsia="zh-CN" w:bidi="ar-SA"/>
        </w:rPr>
        <w:t>强化组织领导。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认真学习贯彻习近平法治思想，全面落实法治政府建设的决策部署，依法全面履职，坚持把推进法治建设列入中心工作，，推动法治政府建设与文体广旅业务工作协调配合。夯实法治政府建设责任制，按照“谁主管、谁负责”的原则，明确领导小组及其成员的工作职责，全面落实重点法治工作任务。严格落实重大行政决策和规范性文件合法性审查程序，推进决策和制度法治化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/>
        <w:spacing w:before="105" w:beforeAutospacing="0" w:after="105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（二）加强队伍建设</w:t>
      </w:r>
      <w:r>
        <w:rPr>
          <w:rFonts w:hint="default" w:ascii="Times New Roman" w:hAnsi="Times New Roman" w:eastAsia="楷体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围绕学习好、贯彻好习近平总书记全面依法治国的新理念新思想新战略，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落实局党组中心组集体学法制度，增强学法的计划性、针对性和有效性。严格落实机关工作人员学法培训制度，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加强文化体育广电旅游工作相关法律法规的学习，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强化执法人员法治思维，提升执法监督履职能力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和法治政府建设水平。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/>
        <w:spacing w:before="105" w:beforeAutospacing="0" w:after="105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8"/>
          <w:rFonts w:hint="default" w:ascii="Times New Roman" w:hAnsi="Times New Roman" w:eastAsia="楷体_GB2312" w:cs="Times New Roman"/>
          <w:b w:val="0"/>
          <w:bCs/>
          <w:i w:val="0"/>
          <w:iCs w:val="0"/>
          <w:caps w:val="0"/>
          <w:color w:val="333333"/>
          <w:spacing w:val="0"/>
          <w:sz w:val="32"/>
          <w:szCs w:val="32"/>
        </w:rPr>
        <w:t>（三）履行政府职能。</w:t>
      </w:r>
      <w:r>
        <w:rPr>
          <w:rFonts w:hint="default" w:ascii="Times New Roman" w:hAnsi="Times New Roman" w:eastAsia="仿宋_GB2312" w:cs="Times New Roman"/>
          <w:b w:val="0"/>
          <w:bCs/>
          <w:i w:val="0"/>
          <w:iCs w:val="0"/>
          <w:caps w:val="0"/>
          <w:color w:val="333333"/>
          <w:spacing w:val="0"/>
          <w:sz w:val="32"/>
          <w:szCs w:val="32"/>
        </w:rPr>
        <w:t>进一步优化行政审批职能，持续深化“放管服”改革。紧扣全国文化市场技术监管与服务平台设置运行要求，从行政审批材料目录着手，依法依规、准确及时、常态化的对行政审批材料目录进行调整完善，实行受理、审核、决定三级审批，切实做好审批事项各项工作，全面激发市场主体创业创新活力，优化营商环境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/>
        <w:spacing w:before="105" w:beforeAutospacing="0" w:after="105" w:afterAutospacing="0" w:line="56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Style w:val="8"/>
          <w:rFonts w:hint="default" w:ascii="Times New Roman" w:hAnsi="Times New Roman" w:eastAsia="楷体_GB2312" w:cs="Times New Roman"/>
          <w:b w:val="0"/>
          <w:bCs/>
          <w:i w:val="0"/>
          <w:iCs w:val="0"/>
          <w:caps w:val="0"/>
          <w:color w:val="333333"/>
          <w:spacing w:val="0"/>
          <w:sz w:val="32"/>
          <w:szCs w:val="32"/>
        </w:rPr>
        <w:t>（四）深化阵地作用。</w:t>
      </w:r>
      <w:r>
        <w:rPr>
          <w:rFonts w:hint="default" w:ascii="Times New Roman" w:hAnsi="Times New Roman" w:eastAsia="仿宋_GB2312" w:cs="Times New Roman"/>
          <w:b w:val="0"/>
          <w:bCs/>
          <w:i w:val="0"/>
          <w:iCs w:val="0"/>
          <w:caps w:val="0"/>
          <w:color w:val="333333"/>
          <w:spacing w:val="0"/>
          <w:sz w:val="32"/>
          <w:szCs w:val="32"/>
        </w:rPr>
        <w:t>积极推动法治政府建设与文体广旅业务工作有机融合，充分发挥文体广旅宣传平台优势，</w:t>
      </w:r>
      <w:r>
        <w:rPr>
          <w:rFonts w:hint="default" w:ascii="Times New Roman" w:hAnsi="Times New Roman" w:eastAsia="仿宋_GB2312" w:cs="Times New Roman"/>
          <w:b w:val="0"/>
          <w:bCs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拓宽文化普法覆盖面。利用公共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文化场馆构建特色普法阵地，打造文化法治品牌，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有效发挥阵地作用，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利用“3.18”全国文化法制宣传日、“4.15”国家安全教育日、“4.26”世界知识产权日、“5.18”国际博物馆日、“5.19”中国旅游日、“8.8”全民健身日、“12.4”国家宪法日等重要时间节点，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探索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法治宣传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新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途径和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新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方法，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积极开展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普法活动进学校、进景区、进宾馆、进企业等活动，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提升文体广旅行业和社会公众的法治意识，营造推进法治政府建设的良好氛围。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第十师北屯市文体广旅局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center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20日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32"/>
        </w:rPr>
        <w:t xml:space="preserve">          </w:t>
      </w:r>
    </w:p>
    <w:p>
      <w:pPr>
        <w:spacing w:line="540" w:lineRule="exact"/>
        <w:ind w:right="480"/>
        <w:jc w:val="both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40" w:lineRule="exact"/>
        <w:ind w:right="480"/>
        <w:jc w:val="righ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40" w:lineRule="exact"/>
        <w:ind w:right="480"/>
        <w:jc w:val="righ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40" w:lineRule="exact"/>
        <w:ind w:right="480"/>
        <w:jc w:val="righ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40" w:lineRule="exact"/>
        <w:ind w:right="480"/>
        <w:jc w:val="righ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40" w:lineRule="exact"/>
        <w:ind w:right="480"/>
        <w:jc w:val="both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40" w:lineRule="exact"/>
        <w:ind w:right="480"/>
        <w:jc w:val="both"/>
        <w:rPr>
          <w:rFonts w:ascii="Times New Roman" w:hAnsi="Times New Roman" w:eastAsia="仿宋_GB2312" w:cs="仿宋_GB2312"/>
          <w:sz w:val="32"/>
          <w:szCs w:val="32"/>
        </w:rPr>
      </w:pPr>
    </w:p>
    <w:sectPr>
      <w:pgSz w:w="11906" w:h="16838"/>
      <w:pgMar w:top="1985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A04020102020204"/>
    <w:charset w:val="01"/>
    <w:family w:val="swiss"/>
    <w:pitch w:val="default"/>
    <w:sig w:usb0="00000287" w:usb1="00000000" w:usb2="00000000" w:usb3="00000000" w:csb0="2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6AF10"/>
    <w:multiLevelType w:val="singleLevel"/>
    <w:tmpl w:val="53B6AF1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1E"/>
    <w:rsid w:val="0004466A"/>
    <w:rsid w:val="000D67C0"/>
    <w:rsid w:val="001054F2"/>
    <w:rsid w:val="001D6C0F"/>
    <w:rsid w:val="00227271"/>
    <w:rsid w:val="00262C21"/>
    <w:rsid w:val="002A266D"/>
    <w:rsid w:val="004108C0"/>
    <w:rsid w:val="00462D5B"/>
    <w:rsid w:val="00504A3B"/>
    <w:rsid w:val="005763DA"/>
    <w:rsid w:val="00635F1E"/>
    <w:rsid w:val="00662FB7"/>
    <w:rsid w:val="006747B3"/>
    <w:rsid w:val="006A5990"/>
    <w:rsid w:val="00735515"/>
    <w:rsid w:val="007658F5"/>
    <w:rsid w:val="007A0057"/>
    <w:rsid w:val="008816AB"/>
    <w:rsid w:val="00903C73"/>
    <w:rsid w:val="00927782"/>
    <w:rsid w:val="00960E8A"/>
    <w:rsid w:val="0099310F"/>
    <w:rsid w:val="009B201E"/>
    <w:rsid w:val="009D2384"/>
    <w:rsid w:val="009E6B78"/>
    <w:rsid w:val="00A21156"/>
    <w:rsid w:val="00A234FA"/>
    <w:rsid w:val="00B6215C"/>
    <w:rsid w:val="00BC648B"/>
    <w:rsid w:val="00CC374A"/>
    <w:rsid w:val="00DD0203"/>
    <w:rsid w:val="00DE60C1"/>
    <w:rsid w:val="00E532F7"/>
    <w:rsid w:val="00EB0E2D"/>
    <w:rsid w:val="00F03136"/>
    <w:rsid w:val="00F204D3"/>
    <w:rsid w:val="00F84512"/>
    <w:rsid w:val="00F874D0"/>
    <w:rsid w:val="39FF304B"/>
    <w:rsid w:val="66233725"/>
    <w:rsid w:val="75DB3B9E"/>
    <w:rsid w:val="7F4F8EB9"/>
    <w:rsid w:val="DFFAFA79"/>
    <w:rsid w:val="EF67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3454</Words>
  <Characters>3535</Characters>
  <Lines>17</Lines>
  <Paragraphs>13</Paragraphs>
  <TotalTime>72</TotalTime>
  <ScaleCrop>false</ScaleCrop>
  <LinksUpToDate>false</LinksUpToDate>
  <CharactersWithSpaces>3559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2022-06-12T00:36:00Z</dcterms:created>
  <dc:creator>马紫涵</dc:creator>
  <cp:lastModifiedBy> </cp:lastModifiedBy>
  <cp:lastPrinted>2022-07-20T18:14:00Z</cp:lastPrinted>
  <dcterms:modified xsi:type="dcterms:W3CDTF">2025-05-29T13:22:08Z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