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9D76FB">
      <w:pPr>
        <w:spacing w:before="33" w:line="242" w:lineRule="auto"/>
        <w:ind w:left="0" w:leftChars="0" w:right="-10" w:rightChars="0" w:firstLine="0" w:firstLineChars="0"/>
        <w:rPr>
          <w:rFonts w:hint="default" w:ascii="Times New Roman" w:hAnsi="Times New Roman" w:eastAsia="楷体" w:cs="Times New Roman"/>
          <w:b/>
          <w:color w:val="auto"/>
          <w:w w:val="95"/>
          <w:sz w:val="48"/>
          <w:highlight w:val="none"/>
        </w:rPr>
      </w:pPr>
    </w:p>
    <w:p w14:paraId="74F449FE">
      <w:pPr>
        <w:spacing w:line="360" w:lineRule="auto"/>
        <w:ind w:left="0" w:leftChars="0" w:right="-10" w:rightChars="0" w:firstLine="0" w:firstLineChars="0"/>
        <w:jc w:val="center"/>
        <w:rPr>
          <w:rFonts w:hint="default" w:ascii="Times New Roman" w:hAnsi="Times New Roman" w:eastAsia="宋体" w:cs="Times New Roman"/>
          <w:b/>
          <w:bCs/>
          <w:i w:val="0"/>
          <w:iCs w:val="0"/>
          <w:caps w:val="0"/>
          <w:color w:val="auto"/>
          <w:spacing w:val="15"/>
          <w:sz w:val="44"/>
          <w:szCs w:val="44"/>
          <w:shd w:val="clear" w:color="auto" w:fill="FFFFFF"/>
          <w:lang w:eastAsia="zh-CN"/>
        </w:rPr>
      </w:pPr>
    </w:p>
    <w:p w14:paraId="3C81158C">
      <w:pPr>
        <w:spacing w:line="360" w:lineRule="auto"/>
        <w:ind w:left="0" w:leftChars="0" w:right="-10" w:rightChars="0" w:firstLine="0" w:firstLineChars="0"/>
        <w:jc w:val="center"/>
        <w:rPr>
          <w:rFonts w:hint="default" w:ascii="Times New Roman" w:hAnsi="Times New Roman" w:eastAsia="宋体" w:cs="Times New Roman"/>
          <w:b/>
          <w:bCs/>
          <w:i w:val="0"/>
          <w:iCs w:val="0"/>
          <w:caps w:val="0"/>
          <w:color w:val="auto"/>
          <w:spacing w:val="15"/>
          <w:sz w:val="44"/>
          <w:szCs w:val="44"/>
          <w:shd w:val="clear" w:color="auto" w:fill="FFFFFF"/>
          <w:lang w:eastAsia="zh-CN"/>
        </w:rPr>
      </w:pPr>
      <w:r>
        <w:rPr>
          <w:rFonts w:hint="default" w:ascii="Times New Roman" w:hAnsi="Times New Roman" w:eastAsia="宋体" w:cs="Times New Roman"/>
          <w:b/>
          <w:bCs/>
          <w:i w:val="0"/>
          <w:iCs w:val="0"/>
          <w:caps w:val="0"/>
          <w:color w:val="auto"/>
          <w:spacing w:val="15"/>
          <w:sz w:val="44"/>
          <w:szCs w:val="44"/>
          <w:shd w:val="clear" w:color="auto" w:fill="FFFFFF"/>
          <w:lang w:eastAsia="zh-CN"/>
        </w:rPr>
        <w:t>全智能数字化蛋鸡养殖科技园区</w:t>
      </w:r>
    </w:p>
    <w:p w14:paraId="268A76A1">
      <w:pPr>
        <w:spacing w:line="360" w:lineRule="auto"/>
        <w:ind w:left="0" w:leftChars="0" w:right="-10" w:rightChars="0" w:firstLine="0" w:firstLineChars="0"/>
        <w:jc w:val="center"/>
        <w:rPr>
          <w:rFonts w:hint="default" w:ascii="Times New Roman" w:hAnsi="Times New Roman" w:eastAsia="宋体" w:cs="Times New Roman"/>
          <w:b/>
          <w:bCs/>
          <w:i w:val="0"/>
          <w:iCs w:val="0"/>
          <w:caps w:val="0"/>
          <w:color w:val="auto"/>
          <w:spacing w:val="15"/>
          <w:sz w:val="44"/>
          <w:szCs w:val="44"/>
          <w:shd w:val="clear" w:color="auto" w:fill="FFFFFF"/>
        </w:rPr>
      </w:pPr>
      <w:r>
        <w:rPr>
          <w:rFonts w:hint="default" w:ascii="Times New Roman" w:hAnsi="Times New Roman" w:eastAsia="宋体" w:cs="Times New Roman"/>
          <w:b/>
          <w:bCs/>
          <w:i w:val="0"/>
          <w:iCs w:val="0"/>
          <w:caps w:val="0"/>
          <w:color w:val="auto"/>
          <w:spacing w:val="15"/>
          <w:sz w:val="44"/>
          <w:szCs w:val="44"/>
          <w:shd w:val="clear" w:color="auto" w:fill="FFFFFF"/>
        </w:rPr>
        <w:t>环境影响报告书</w:t>
      </w:r>
    </w:p>
    <w:p w14:paraId="160C6914">
      <w:pPr>
        <w:spacing w:line="360" w:lineRule="auto"/>
        <w:ind w:left="0" w:leftChars="0" w:right="-10" w:rightChars="0" w:firstLine="0" w:firstLineChars="0"/>
        <w:jc w:val="center"/>
        <w:rPr>
          <w:rFonts w:hint="default" w:ascii="Times New Roman" w:hAnsi="Times New Roman" w:eastAsia="宋体" w:cs="Times New Roman"/>
          <w:i w:val="0"/>
          <w:iCs w:val="0"/>
          <w:caps w:val="0"/>
          <w:color w:val="auto"/>
          <w:spacing w:val="15"/>
          <w:sz w:val="40"/>
          <w:szCs w:val="40"/>
          <w:shd w:val="clear" w:color="auto" w:fill="FFFFFF"/>
        </w:rPr>
      </w:pPr>
      <w:r>
        <w:rPr>
          <w:rFonts w:hint="default" w:ascii="Times New Roman" w:hAnsi="Times New Roman" w:eastAsia="宋体" w:cs="Times New Roman"/>
          <w:i w:val="0"/>
          <w:iCs w:val="0"/>
          <w:caps w:val="0"/>
          <w:color w:val="auto"/>
          <w:spacing w:val="15"/>
          <w:sz w:val="40"/>
          <w:szCs w:val="40"/>
          <w:shd w:val="clear" w:color="auto" w:fill="FFFFFF"/>
        </w:rPr>
        <w:t>（</w:t>
      </w:r>
      <w:r>
        <w:rPr>
          <w:rFonts w:hint="default" w:ascii="Times New Roman" w:hAnsi="Times New Roman" w:eastAsia="宋体" w:cs="Times New Roman"/>
          <w:i w:val="0"/>
          <w:iCs w:val="0"/>
          <w:caps w:val="0"/>
          <w:color w:val="auto"/>
          <w:spacing w:val="15"/>
          <w:sz w:val="40"/>
          <w:szCs w:val="40"/>
          <w:shd w:val="clear" w:color="auto" w:fill="FFFFFF"/>
          <w:lang w:eastAsia="zh-CN"/>
        </w:rPr>
        <w:t>送审</w:t>
      </w:r>
      <w:r>
        <w:rPr>
          <w:rFonts w:hint="default" w:ascii="Times New Roman" w:hAnsi="Times New Roman" w:eastAsia="宋体" w:cs="Times New Roman"/>
          <w:i w:val="0"/>
          <w:iCs w:val="0"/>
          <w:caps w:val="0"/>
          <w:color w:val="auto"/>
          <w:spacing w:val="15"/>
          <w:sz w:val="40"/>
          <w:szCs w:val="40"/>
          <w:shd w:val="clear" w:color="auto" w:fill="FFFFFF"/>
        </w:rPr>
        <w:t>稿）</w:t>
      </w:r>
    </w:p>
    <w:p w14:paraId="03BBD47F">
      <w:pPr>
        <w:spacing w:line="360" w:lineRule="auto"/>
        <w:ind w:left="0" w:leftChars="0" w:right="-10" w:rightChars="0" w:firstLine="0" w:firstLineChars="0"/>
        <w:jc w:val="center"/>
        <w:rPr>
          <w:rFonts w:hint="default" w:ascii="Times New Roman" w:hAnsi="Times New Roman" w:eastAsia="宋体" w:cs="Times New Roman"/>
          <w:i w:val="0"/>
          <w:iCs w:val="0"/>
          <w:caps w:val="0"/>
          <w:color w:val="auto"/>
          <w:spacing w:val="15"/>
          <w:sz w:val="40"/>
          <w:szCs w:val="40"/>
          <w:shd w:val="clear" w:color="auto" w:fill="FFFFFF"/>
        </w:rPr>
      </w:pPr>
    </w:p>
    <w:p w14:paraId="4B9D6D79">
      <w:pPr>
        <w:spacing w:line="360" w:lineRule="auto"/>
        <w:ind w:left="0" w:leftChars="0" w:right="-10" w:rightChars="0" w:firstLine="0" w:firstLineChars="0"/>
        <w:jc w:val="center"/>
        <w:rPr>
          <w:rFonts w:hint="default" w:ascii="Times New Roman" w:hAnsi="Times New Roman" w:eastAsia="宋体" w:cs="Times New Roman"/>
          <w:i w:val="0"/>
          <w:iCs w:val="0"/>
          <w:caps w:val="0"/>
          <w:color w:val="auto"/>
          <w:spacing w:val="15"/>
          <w:sz w:val="40"/>
          <w:szCs w:val="40"/>
          <w:shd w:val="clear" w:color="auto" w:fill="FFFFFF"/>
        </w:rPr>
      </w:pPr>
    </w:p>
    <w:p w14:paraId="10D67367">
      <w:pPr>
        <w:spacing w:line="360" w:lineRule="auto"/>
        <w:ind w:left="0" w:leftChars="0" w:right="-10" w:rightChars="0" w:firstLine="0" w:firstLineChars="0"/>
        <w:jc w:val="center"/>
        <w:rPr>
          <w:rFonts w:hint="default" w:ascii="Times New Roman" w:hAnsi="Times New Roman" w:eastAsia="宋体" w:cs="Times New Roman"/>
          <w:i w:val="0"/>
          <w:iCs w:val="0"/>
          <w:caps w:val="0"/>
          <w:color w:val="auto"/>
          <w:spacing w:val="15"/>
          <w:sz w:val="40"/>
          <w:szCs w:val="40"/>
          <w:shd w:val="clear" w:color="auto" w:fill="FFFFFF"/>
        </w:rPr>
      </w:pPr>
    </w:p>
    <w:p w14:paraId="0D9A666D">
      <w:pPr>
        <w:spacing w:line="360" w:lineRule="auto"/>
        <w:ind w:left="0" w:leftChars="0" w:right="-10" w:rightChars="0" w:firstLine="0" w:firstLineChars="0"/>
        <w:jc w:val="center"/>
        <w:rPr>
          <w:rFonts w:hint="default" w:ascii="Times New Roman" w:hAnsi="Times New Roman" w:eastAsia="宋体" w:cs="Times New Roman"/>
          <w:i w:val="0"/>
          <w:iCs w:val="0"/>
          <w:caps w:val="0"/>
          <w:color w:val="auto"/>
          <w:spacing w:val="15"/>
          <w:sz w:val="40"/>
          <w:szCs w:val="40"/>
          <w:shd w:val="clear" w:color="auto" w:fill="FFFFFF"/>
        </w:rPr>
      </w:pPr>
    </w:p>
    <w:p w14:paraId="296328C2">
      <w:pPr>
        <w:spacing w:line="360" w:lineRule="auto"/>
        <w:ind w:left="0" w:leftChars="0" w:right="-10" w:rightChars="0" w:firstLine="0" w:firstLineChars="0"/>
        <w:jc w:val="center"/>
        <w:rPr>
          <w:rFonts w:hint="default" w:ascii="Times New Roman" w:hAnsi="Times New Roman" w:eastAsia="宋体" w:cs="Times New Roman"/>
          <w:i w:val="0"/>
          <w:iCs w:val="0"/>
          <w:caps w:val="0"/>
          <w:color w:val="auto"/>
          <w:spacing w:val="15"/>
          <w:sz w:val="40"/>
          <w:szCs w:val="40"/>
          <w:shd w:val="clear" w:color="auto" w:fill="FFFFFF"/>
        </w:rPr>
      </w:pPr>
    </w:p>
    <w:p w14:paraId="2CCA01C7">
      <w:pPr>
        <w:spacing w:line="360" w:lineRule="auto"/>
        <w:ind w:left="0" w:leftChars="0" w:right="-10" w:rightChars="0" w:firstLine="0" w:firstLineChars="0"/>
        <w:jc w:val="center"/>
        <w:rPr>
          <w:rFonts w:hint="default" w:ascii="Times New Roman" w:hAnsi="Times New Roman" w:eastAsia="宋体" w:cs="Times New Roman"/>
          <w:i w:val="0"/>
          <w:iCs w:val="0"/>
          <w:caps w:val="0"/>
          <w:color w:val="auto"/>
          <w:spacing w:val="15"/>
          <w:sz w:val="40"/>
          <w:szCs w:val="40"/>
          <w:shd w:val="clear" w:color="auto" w:fill="FFFFFF"/>
        </w:rPr>
      </w:pPr>
    </w:p>
    <w:p w14:paraId="19A5412D">
      <w:pPr>
        <w:pStyle w:val="3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firstLine="643" w:firstLineChars="200"/>
        <w:jc w:val="center"/>
        <w:textAlignment w:val="auto"/>
        <w:rPr>
          <w:rFonts w:hint="default" w:ascii="Times New Roman" w:hAnsi="Times New Roman" w:cs="Times New Roman"/>
          <w:b/>
          <w:bCs w:val="0"/>
          <w:color w:val="auto"/>
          <w:sz w:val="32"/>
          <w:szCs w:val="28"/>
        </w:rPr>
      </w:pPr>
    </w:p>
    <w:p w14:paraId="23AD662C">
      <w:pPr>
        <w:pStyle w:val="3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firstLine="643" w:firstLineChars="200"/>
        <w:jc w:val="center"/>
        <w:textAlignment w:val="auto"/>
        <w:rPr>
          <w:rFonts w:hint="default" w:ascii="Times New Roman" w:hAnsi="Times New Roman" w:cs="Times New Roman"/>
          <w:b/>
          <w:bCs w:val="0"/>
          <w:color w:val="auto"/>
          <w:sz w:val="32"/>
          <w:szCs w:val="28"/>
        </w:rPr>
      </w:pPr>
    </w:p>
    <w:p w14:paraId="38134918">
      <w:pPr>
        <w:pStyle w:val="3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firstLine="643" w:firstLineChars="200"/>
        <w:jc w:val="center"/>
        <w:textAlignment w:val="auto"/>
        <w:rPr>
          <w:rFonts w:hint="default" w:ascii="Times New Roman" w:hAnsi="Times New Roman" w:cs="Times New Roman"/>
          <w:b/>
          <w:bCs w:val="0"/>
          <w:color w:val="auto"/>
          <w:sz w:val="32"/>
          <w:szCs w:val="28"/>
        </w:rPr>
      </w:pPr>
    </w:p>
    <w:p w14:paraId="19B65766">
      <w:pPr>
        <w:pStyle w:val="30"/>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bCs w:val="0"/>
          <w:color w:val="auto"/>
          <w:sz w:val="28"/>
          <w:szCs w:val="28"/>
          <w:lang w:eastAsia="zh-CN"/>
        </w:rPr>
      </w:pPr>
      <w:r>
        <w:rPr>
          <w:rFonts w:hint="default" w:ascii="Times New Roman" w:hAnsi="Times New Roman" w:cs="Times New Roman"/>
          <w:b/>
          <w:bCs w:val="0"/>
          <w:color w:val="auto"/>
          <w:sz w:val="28"/>
          <w:szCs w:val="28"/>
        </w:rPr>
        <w:t>建设单位名称：</w:t>
      </w:r>
      <w:r>
        <w:rPr>
          <w:rFonts w:hint="default" w:ascii="Times New Roman" w:hAnsi="Times New Roman" w:cs="Times New Roman"/>
          <w:b/>
          <w:bCs w:val="0"/>
          <w:color w:val="auto"/>
          <w:sz w:val="28"/>
          <w:szCs w:val="28"/>
          <w:lang w:eastAsia="zh-CN"/>
        </w:rPr>
        <w:t>新疆海川吉蛋福养殖农民专业合作社</w:t>
      </w:r>
    </w:p>
    <w:p w14:paraId="75B4B222">
      <w:pPr>
        <w:pStyle w:val="3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firstLine="0" w:firstLineChars="0"/>
        <w:jc w:val="center"/>
        <w:textAlignment w:val="auto"/>
        <w:rPr>
          <w:rFonts w:hint="default" w:ascii="Times New Roman" w:hAnsi="Times New Roman" w:cs="Times New Roman"/>
          <w:b/>
          <w:bCs w:val="0"/>
          <w:color w:val="auto"/>
          <w:sz w:val="28"/>
          <w:szCs w:val="28"/>
        </w:rPr>
      </w:pPr>
      <w:r>
        <w:rPr>
          <w:rFonts w:hint="default" w:ascii="Times New Roman" w:hAnsi="Times New Roman" w:cs="Times New Roman"/>
          <w:b/>
          <w:bCs w:val="0"/>
          <w:color w:val="auto"/>
          <w:sz w:val="28"/>
          <w:szCs w:val="28"/>
        </w:rPr>
        <w:t>环评单位名称：乌鲁木齐润泽天辰环保科技有限公司</w:t>
      </w:r>
    </w:p>
    <w:p w14:paraId="5C3D1DD4">
      <w:pPr>
        <w:pStyle w:val="3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firstLine="0" w:firstLineChars="0"/>
        <w:jc w:val="center"/>
        <w:textAlignment w:val="auto"/>
        <w:rPr>
          <w:rFonts w:hint="default" w:ascii="Times New Roman" w:hAnsi="Times New Roman" w:eastAsia="宋体" w:cs="Times New Roman"/>
          <w:b/>
          <w:bCs w:val="0"/>
          <w:color w:val="auto"/>
          <w:sz w:val="28"/>
          <w:szCs w:val="28"/>
          <w:lang w:val="en-US" w:eastAsia="zh-CN"/>
        </w:rPr>
      </w:pPr>
      <w:r>
        <w:rPr>
          <w:rFonts w:hint="default" w:ascii="Times New Roman" w:hAnsi="Times New Roman" w:cs="Times New Roman"/>
          <w:b/>
          <w:bCs w:val="0"/>
          <w:color w:val="auto"/>
          <w:sz w:val="28"/>
          <w:szCs w:val="28"/>
          <w:lang w:val="en-US" w:eastAsia="zh-CN"/>
        </w:rPr>
        <w:t>日期：2025年6月</w:t>
      </w:r>
    </w:p>
    <w:p w14:paraId="351B19D6">
      <w:pPr>
        <w:spacing w:line="360" w:lineRule="auto"/>
        <w:ind w:left="0" w:leftChars="0" w:right="-10" w:rightChars="0" w:firstLine="0" w:firstLineChars="0"/>
        <w:jc w:val="center"/>
        <w:rPr>
          <w:rFonts w:hint="default" w:ascii="Times New Roman" w:hAnsi="Times New Roman" w:eastAsia="宋体" w:cs="Times New Roman"/>
          <w:i w:val="0"/>
          <w:iCs w:val="0"/>
          <w:caps w:val="0"/>
          <w:color w:val="auto"/>
          <w:spacing w:val="15"/>
          <w:sz w:val="40"/>
          <w:szCs w:val="40"/>
          <w:shd w:val="clear" w:color="auto" w:fill="FFFFFF"/>
        </w:rPr>
      </w:pPr>
    </w:p>
    <w:p w14:paraId="4D4DCEAD">
      <w:pPr>
        <w:spacing w:line="364" w:lineRule="auto"/>
        <w:ind w:left="0" w:leftChars="0" w:right="-10" w:rightChars="0" w:firstLine="0" w:firstLineChars="0"/>
        <w:jc w:val="center"/>
        <w:rPr>
          <w:rFonts w:hint="default" w:ascii="Times New Roman" w:hAnsi="Times New Roman" w:eastAsia="楷体" w:cs="Times New Roman"/>
          <w:color w:val="auto"/>
          <w:sz w:val="32"/>
          <w:szCs w:val="32"/>
          <w:highlight w:val="none"/>
        </w:rPr>
        <w:sectPr>
          <w:headerReference r:id="rId3" w:type="default"/>
          <w:pgSz w:w="11910" w:h="16840"/>
          <w:pgMar w:top="1440" w:right="1797" w:bottom="1417" w:left="1797" w:header="896" w:footer="1236" w:gutter="0"/>
          <w:pgBorders>
            <w:top w:val="none" w:sz="0" w:space="0"/>
            <w:left w:val="none" w:sz="0" w:space="0"/>
            <w:bottom w:val="none" w:sz="0" w:space="0"/>
            <w:right w:val="none" w:sz="0" w:space="0"/>
          </w:pgBorders>
          <w:pgNumType w:fmt="decimal"/>
          <w:cols w:space="720" w:num="1"/>
          <w:rtlGutter w:val="0"/>
          <w:docGrid w:linePitch="0" w:charSpace="0"/>
        </w:sectPr>
      </w:pPr>
    </w:p>
    <w:p w14:paraId="1906F5E7">
      <w:pPr>
        <w:pStyle w:val="16"/>
        <w:bidi w:val="0"/>
        <w:rPr>
          <w:rFonts w:hint="default" w:ascii="Times New Roman" w:hAnsi="Times New Roman" w:cs="Times New Roman"/>
          <w:color w:val="auto"/>
          <w:lang w:eastAsia="zh-CN"/>
        </w:rPr>
      </w:pPr>
    </w:p>
    <w:p w14:paraId="1D64AD7A">
      <w:pPr>
        <w:tabs>
          <w:tab w:val="center" w:pos="4158"/>
        </w:tabs>
        <w:bidi w:val="0"/>
        <w:jc w:val="left"/>
        <w:rPr>
          <w:rFonts w:hint="default" w:ascii="Times New Roman" w:hAnsi="Times New Roman" w:cs="Times New Roman"/>
          <w:color w:val="auto"/>
          <w:lang w:eastAsia="zh-CN"/>
        </w:rPr>
        <w:sectPr>
          <w:headerReference r:id="rId4" w:type="first"/>
          <w:footerReference r:id="rId6" w:type="first"/>
          <w:footerReference r:id="rId5" w:type="default"/>
          <w:pgSz w:w="11910" w:h="16840"/>
          <w:pgMar w:top="1440" w:right="1797" w:bottom="1417" w:left="1797" w:header="896" w:footer="1236" w:gutter="0"/>
          <w:pgBorders>
            <w:top w:val="none" w:sz="0" w:space="0"/>
            <w:left w:val="none" w:sz="0" w:space="0"/>
            <w:bottom w:val="none" w:sz="0" w:space="0"/>
            <w:right w:val="none" w:sz="0" w:space="0"/>
          </w:pgBorders>
          <w:pgNumType w:fmt="decimal" w:start="1"/>
          <w:cols w:space="720" w:num="1"/>
          <w:rtlGutter w:val="0"/>
          <w:docGrid w:linePitch="0" w:charSpace="0"/>
        </w:sectPr>
      </w:pPr>
      <w:r>
        <w:rPr>
          <w:rFonts w:hint="default" w:ascii="Times New Roman" w:hAnsi="Times New Roman" w:cs="Times New Roman"/>
          <w:color w:val="auto"/>
          <w:lang w:eastAsia="zh-CN"/>
        </w:rPr>
        <w:tab/>
      </w:r>
    </w:p>
    <w:p w14:paraId="6DB989BC">
      <w:pPr>
        <w:spacing w:before="0" w:beforeLines="0" w:after="0" w:afterLines="0" w:line="240" w:lineRule="auto"/>
        <w:ind w:left="0" w:leftChars="0" w:right="0" w:righ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sz w:val="21"/>
        </w:rPr>
        <w:t>目录</w:t>
      </w:r>
    </w:p>
    <w:p w14:paraId="3D4083DB">
      <w:pPr>
        <w:pStyle w:val="128"/>
        <w:tabs>
          <w:tab w:val="right" w:leader="dot" w:pos="8316"/>
        </w:tabs>
        <w:rPr>
          <w:rFonts w:hint="default" w:ascii="Times New Roman" w:hAnsi="Times New Roman" w:cs="Times New Roman"/>
          <w:b/>
          <w:color w:val="auto"/>
        </w:rPr>
      </w:pPr>
      <w:r>
        <w:rPr>
          <w:rFonts w:hint="default" w:ascii="Times New Roman" w:hAnsi="Times New Roman" w:cs="Times New Roman"/>
          <w:b/>
          <w:bCs/>
          <w:color w:val="auto"/>
          <w:sz w:val="28"/>
          <w:szCs w:val="28"/>
          <w:highlight w:val="none"/>
          <w:lang w:val="en-US"/>
        </w:rPr>
        <w:fldChar w:fldCharType="begin"/>
      </w:r>
      <w:r>
        <w:rPr>
          <w:rFonts w:hint="default" w:ascii="Times New Roman" w:hAnsi="Times New Roman" w:cs="Times New Roman"/>
          <w:b/>
          <w:bCs/>
          <w:color w:val="auto"/>
          <w:sz w:val="28"/>
          <w:szCs w:val="28"/>
          <w:highlight w:val="none"/>
          <w:lang w:val="en-US"/>
        </w:rPr>
        <w:instrText xml:space="preserve">TOC \o "1-2" \h \u </w:instrText>
      </w:r>
      <w:r>
        <w:rPr>
          <w:rFonts w:hint="default" w:ascii="Times New Roman" w:hAnsi="Times New Roman" w:cs="Times New Roman"/>
          <w:b/>
          <w:bCs/>
          <w:color w:val="auto"/>
          <w:sz w:val="28"/>
          <w:szCs w:val="28"/>
          <w:highlight w:val="none"/>
          <w:lang w:val="en-US"/>
        </w:rPr>
        <w:fldChar w:fldCharType="separate"/>
      </w:r>
      <w:r>
        <w:rPr>
          <w:rFonts w:hint="default" w:ascii="Times New Roman" w:hAnsi="Times New Roman" w:cs="Times New Roman"/>
          <w:b/>
          <w:bCs/>
          <w:color w:val="auto"/>
          <w:szCs w:val="28"/>
          <w:highlight w:val="none"/>
          <w:lang w:val="en-US"/>
        </w:rPr>
        <w:fldChar w:fldCharType="begin"/>
      </w:r>
      <w:r>
        <w:rPr>
          <w:rFonts w:hint="default" w:ascii="Times New Roman" w:hAnsi="Times New Roman" w:cs="Times New Roman"/>
          <w:b/>
          <w:bCs/>
          <w:color w:val="auto"/>
          <w:szCs w:val="28"/>
          <w:highlight w:val="none"/>
          <w:lang w:val="en-US"/>
        </w:rPr>
        <w:instrText xml:space="preserve"> HYPERLINK \l _Toc23079 </w:instrText>
      </w:r>
      <w:r>
        <w:rPr>
          <w:rFonts w:hint="default" w:ascii="Times New Roman" w:hAnsi="Times New Roman" w:cs="Times New Roman"/>
          <w:b/>
          <w:bCs/>
          <w:color w:val="auto"/>
          <w:szCs w:val="28"/>
          <w:highlight w:val="none"/>
          <w:lang w:val="en-US"/>
        </w:rPr>
        <w:fldChar w:fldCharType="separate"/>
      </w:r>
      <w:r>
        <w:rPr>
          <w:rFonts w:hint="default" w:ascii="Times New Roman" w:hAnsi="Times New Roman" w:cs="Times New Roman"/>
          <w:b/>
          <w:color w:val="auto"/>
        </w:rPr>
        <w:t>1.概述</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_Toc23079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w:t>
      </w:r>
      <w:r>
        <w:rPr>
          <w:rFonts w:hint="default" w:ascii="Times New Roman" w:hAnsi="Times New Roman" w:cs="Times New Roman"/>
          <w:b/>
          <w:color w:val="auto"/>
        </w:rPr>
        <w:fldChar w:fldCharType="end"/>
      </w:r>
      <w:r>
        <w:rPr>
          <w:rFonts w:hint="default" w:ascii="Times New Roman" w:hAnsi="Times New Roman" w:cs="Times New Roman"/>
          <w:b/>
          <w:bCs/>
          <w:color w:val="auto"/>
          <w:szCs w:val="28"/>
          <w:highlight w:val="none"/>
          <w:lang w:val="en-US"/>
        </w:rPr>
        <w:fldChar w:fldCharType="end"/>
      </w:r>
    </w:p>
    <w:p w14:paraId="54C35B7B">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_Toc11172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1.1.建设项目的背景及特点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_Toc11172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43512E26">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_Toc3107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1.2.环境影响评价工作过程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6194A650">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_Toc7344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1.3.关注的主要环境问题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_Toc7344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7C24B667">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_Toc541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rPr>
        <w:t>1.4.</w:t>
      </w:r>
      <w:r>
        <w:rPr>
          <w:rFonts w:hint="default" w:ascii="Times New Roman" w:hAnsi="Times New Roman" w:cs="Times New Roman"/>
          <w:color w:val="auto"/>
        </w:rPr>
        <w:t>分析判定相关情况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509DD4E6">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_Toc17674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1.5.环境影响报告书的主要结论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_Toc17674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52C1C8D9">
      <w:pPr>
        <w:pStyle w:val="128"/>
        <w:tabs>
          <w:tab w:val="right" w:leader="dot" w:pos="8316"/>
        </w:tabs>
        <w:rPr>
          <w:rFonts w:hint="default" w:ascii="Times New Roman" w:hAnsi="Times New Roman" w:cs="Times New Roman"/>
          <w:b/>
          <w:color w:val="auto"/>
        </w:rPr>
      </w:pPr>
      <w:r>
        <w:rPr>
          <w:rFonts w:hint="default" w:ascii="Times New Roman" w:hAnsi="Times New Roman" w:cs="Times New Roman"/>
          <w:b/>
          <w:bCs/>
          <w:color w:val="auto"/>
          <w:szCs w:val="28"/>
          <w:highlight w:val="none"/>
          <w:lang w:val="en-US"/>
        </w:rPr>
        <w:fldChar w:fldCharType="begin"/>
      </w:r>
      <w:r>
        <w:rPr>
          <w:rFonts w:hint="default" w:ascii="Times New Roman" w:hAnsi="Times New Roman" w:cs="Times New Roman"/>
          <w:b/>
          <w:bCs/>
          <w:color w:val="auto"/>
          <w:szCs w:val="28"/>
          <w:highlight w:val="none"/>
          <w:lang w:val="en-US"/>
        </w:rPr>
        <w:instrText xml:space="preserve"> HYPERLINK \l _Toc14673 </w:instrText>
      </w:r>
      <w:r>
        <w:rPr>
          <w:rFonts w:hint="default" w:ascii="Times New Roman" w:hAnsi="Times New Roman" w:cs="Times New Roman"/>
          <w:b/>
          <w:bCs/>
          <w:color w:val="auto"/>
          <w:szCs w:val="28"/>
          <w:highlight w:val="none"/>
          <w:lang w:val="en-US"/>
        </w:rPr>
        <w:fldChar w:fldCharType="separate"/>
      </w:r>
      <w:r>
        <w:rPr>
          <w:rFonts w:hint="default" w:ascii="Times New Roman" w:hAnsi="Times New Roman" w:cs="Times New Roman"/>
          <w:b/>
          <w:color w:val="auto"/>
        </w:rPr>
        <w:t>2.总论</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_Toc14673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18</w:t>
      </w:r>
      <w:r>
        <w:rPr>
          <w:rFonts w:hint="default" w:ascii="Times New Roman" w:hAnsi="Times New Roman" w:cs="Times New Roman"/>
          <w:b/>
          <w:color w:val="auto"/>
        </w:rPr>
        <w:fldChar w:fldCharType="end"/>
      </w:r>
      <w:r>
        <w:rPr>
          <w:rFonts w:hint="default" w:ascii="Times New Roman" w:hAnsi="Times New Roman" w:cs="Times New Roman"/>
          <w:b/>
          <w:bCs/>
          <w:color w:val="auto"/>
          <w:szCs w:val="28"/>
          <w:highlight w:val="none"/>
          <w:lang w:val="en-US"/>
        </w:rPr>
        <w:fldChar w:fldCharType="end"/>
      </w:r>
    </w:p>
    <w:p w14:paraId="6245107F">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_Toc8514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2.1.编制依据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_Toc8514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18E7A6F7">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_Toc26449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2.2.评价目的与原则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_Toc26449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6DE4107F">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_Toc30451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2.3.环境影响因素识别与评价因子筛选</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_Toc30451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56B52AB0">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_Toc20556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2.4.评价标准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_Toc20556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3B6C9A0C">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_Toc25199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2.5.评价工作等级及评价重点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_Toc25199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4D14CAFF">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_Toc27823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2.6.评价范围和环境保护目标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_Toc27823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51E40CD2">
      <w:pPr>
        <w:pStyle w:val="128"/>
        <w:tabs>
          <w:tab w:val="right" w:leader="dot" w:pos="8316"/>
        </w:tabs>
        <w:rPr>
          <w:rFonts w:hint="default" w:ascii="Times New Roman" w:hAnsi="Times New Roman" w:cs="Times New Roman"/>
          <w:b/>
          <w:color w:val="auto"/>
        </w:rPr>
      </w:pPr>
      <w:r>
        <w:rPr>
          <w:rFonts w:hint="default" w:ascii="Times New Roman" w:hAnsi="Times New Roman" w:cs="Times New Roman"/>
          <w:b/>
          <w:bCs/>
          <w:color w:val="auto"/>
          <w:szCs w:val="28"/>
          <w:highlight w:val="none"/>
          <w:lang w:val="en-US"/>
        </w:rPr>
        <w:fldChar w:fldCharType="begin"/>
      </w:r>
      <w:r>
        <w:rPr>
          <w:rFonts w:hint="default" w:ascii="Times New Roman" w:hAnsi="Times New Roman" w:cs="Times New Roman"/>
          <w:b/>
          <w:bCs/>
          <w:color w:val="auto"/>
          <w:szCs w:val="28"/>
          <w:highlight w:val="none"/>
          <w:lang w:val="en-US"/>
        </w:rPr>
        <w:instrText xml:space="preserve"> HYPERLINK \l _Toc16531 </w:instrText>
      </w:r>
      <w:r>
        <w:rPr>
          <w:rFonts w:hint="default" w:ascii="Times New Roman" w:hAnsi="Times New Roman" w:cs="Times New Roman"/>
          <w:b/>
          <w:bCs/>
          <w:color w:val="auto"/>
          <w:szCs w:val="28"/>
          <w:highlight w:val="none"/>
          <w:lang w:val="en-US"/>
        </w:rPr>
        <w:fldChar w:fldCharType="separate"/>
      </w:r>
      <w:r>
        <w:rPr>
          <w:rFonts w:hint="default" w:ascii="Times New Roman" w:hAnsi="Times New Roman" w:cs="Times New Roman"/>
          <w:b/>
          <w:color w:val="auto"/>
        </w:rPr>
        <w:t>3.工程分析</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_Toc16531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36</w:t>
      </w:r>
      <w:r>
        <w:rPr>
          <w:rFonts w:hint="default" w:ascii="Times New Roman" w:hAnsi="Times New Roman" w:cs="Times New Roman"/>
          <w:b/>
          <w:color w:val="auto"/>
        </w:rPr>
        <w:fldChar w:fldCharType="end"/>
      </w:r>
      <w:r>
        <w:rPr>
          <w:rFonts w:hint="default" w:ascii="Times New Roman" w:hAnsi="Times New Roman" w:cs="Times New Roman"/>
          <w:b/>
          <w:bCs/>
          <w:color w:val="auto"/>
          <w:szCs w:val="28"/>
          <w:highlight w:val="none"/>
          <w:lang w:val="en-US"/>
        </w:rPr>
        <w:fldChar w:fldCharType="end"/>
      </w:r>
    </w:p>
    <w:p w14:paraId="211E3AFD">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_Toc520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3.1.项目基本情况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0A3844B0">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_Toc7127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3.2.本项目主要设备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_Toc7127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43</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2CD7983C">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_Toc9555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3.3.能源与物料消耗分析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_Toc9555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4C649BFF">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_Toc28633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3.4.生产工艺流程及产物环节分析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_Toc28633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679E0478">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_Toc22599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3.5.污染源分析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_Toc22599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50</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50C4EAAD">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_Toc4139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3.6.总量控制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_Toc4139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59</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169B4363">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_Toc31078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eastAsia="宋体" w:cs="Times New Roman"/>
          <w:color w:val="auto"/>
          <w:lang w:val="en-US" w:eastAsia="zh-CN"/>
        </w:rPr>
        <w:t>3.7.</w:t>
      </w:r>
      <w:r>
        <w:rPr>
          <w:rFonts w:hint="default" w:ascii="Times New Roman" w:hAnsi="Times New Roman" w:eastAsia="宋体" w:cs="Times New Roman"/>
          <w:color w:val="auto"/>
          <w:highlight w:val="none"/>
          <w:lang w:val="en-US" w:eastAsia="zh-CN"/>
        </w:rPr>
        <w:t>清洁生产与循环经济分析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_Toc31078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59</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61C6A267">
      <w:pPr>
        <w:pStyle w:val="128"/>
        <w:tabs>
          <w:tab w:val="right" w:leader="dot" w:pos="8316"/>
        </w:tabs>
        <w:rPr>
          <w:rFonts w:hint="default" w:ascii="Times New Roman" w:hAnsi="Times New Roman" w:cs="Times New Roman"/>
          <w:b/>
          <w:color w:val="auto"/>
        </w:rPr>
      </w:pPr>
      <w:r>
        <w:rPr>
          <w:rFonts w:hint="default" w:ascii="Times New Roman" w:hAnsi="Times New Roman" w:cs="Times New Roman"/>
          <w:b/>
          <w:bCs/>
          <w:color w:val="auto"/>
          <w:szCs w:val="28"/>
          <w:highlight w:val="none"/>
          <w:lang w:val="en-US"/>
        </w:rPr>
        <w:fldChar w:fldCharType="begin"/>
      </w:r>
      <w:r>
        <w:rPr>
          <w:rFonts w:hint="default" w:ascii="Times New Roman" w:hAnsi="Times New Roman" w:cs="Times New Roman"/>
          <w:b/>
          <w:bCs/>
          <w:color w:val="auto"/>
          <w:szCs w:val="28"/>
          <w:highlight w:val="none"/>
          <w:lang w:val="en-US"/>
        </w:rPr>
        <w:instrText xml:space="preserve"> HYPERLINK \l _Toc7605 </w:instrText>
      </w:r>
      <w:r>
        <w:rPr>
          <w:rFonts w:hint="default" w:ascii="Times New Roman" w:hAnsi="Times New Roman" w:cs="Times New Roman"/>
          <w:b/>
          <w:bCs/>
          <w:color w:val="auto"/>
          <w:szCs w:val="28"/>
          <w:highlight w:val="none"/>
          <w:lang w:val="en-US"/>
        </w:rPr>
        <w:fldChar w:fldCharType="separate"/>
      </w:r>
      <w:r>
        <w:rPr>
          <w:rFonts w:hint="default" w:ascii="Times New Roman" w:hAnsi="Times New Roman" w:cs="Times New Roman"/>
          <w:b/>
          <w:color w:val="auto"/>
        </w:rPr>
        <w:t>4.区域环境现状调查与评价</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_Toc7605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63</w:t>
      </w:r>
      <w:r>
        <w:rPr>
          <w:rFonts w:hint="default" w:ascii="Times New Roman" w:hAnsi="Times New Roman" w:cs="Times New Roman"/>
          <w:b/>
          <w:color w:val="auto"/>
        </w:rPr>
        <w:fldChar w:fldCharType="end"/>
      </w:r>
      <w:r>
        <w:rPr>
          <w:rFonts w:hint="default" w:ascii="Times New Roman" w:hAnsi="Times New Roman" w:cs="Times New Roman"/>
          <w:b/>
          <w:bCs/>
          <w:color w:val="auto"/>
          <w:szCs w:val="28"/>
          <w:highlight w:val="none"/>
          <w:lang w:val="en-US"/>
        </w:rPr>
        <w:fldChar w:fldCharType="end"/>
      </w:r>
    </w:p>
    <w:p w14:paraId="5D273A16">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_Toc6323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4.1.自然环境概况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_Toc6323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1A331876">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_Toc6181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4.2.环境质量现状调查与评价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_Toc6181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67CC66DB">
      <w:pPr>
        <w:pStyle w:val="128"/>
        <w:tabs>
          <w:tab w:val="right" w:leader="dot" w:pos="8316"/>
        </w:tabs>
        <w:rPr>
          <w:rFonts w:hint="default" w:ascii="Times New Roman" w:hAnsi="Times New Roman" w:cs="Times New Roman"/>
          <w:b/>
          <w:color w:val="auto"/>
        </w:rPr>
      </w:pPr>
      <w:r>
        <w:rPr>
          <w:rFonts w:hint="default" w:ascii="Times New Roman" w:hAnsi="Times New Roman" w:cs="Times New Roman"/>
          <w:b/>
          <w:bCs/>
          <w:color w:val="auto"/>
          <w:szCs w:val="28"/>
          <w:highlight w:val="none"/>
          <w:lang w:val="en-US"/>
        </w:rPr>
        <w:fldChar w:fldCharType="begin"/>
      </w:r>
      <w:r>
        <w:rPr>
          <w:rFonts w:hint="default" w:ascii="Times New Roman" w:hAnsi="Times New Roman" w:cs="Times New Roman"/>
          <w:b/>
          <w:bCs/>
          <w:color w:val="auto"/>
          <w:szCs w:val="28"/>
          <w:highlight w:val="none"/>
          <w:lang w:val="en-US"/>
        </w:rPr>
        <w:instrText xml:space="preserve"> HYPERLINK \l _Toc12187 </w:instrText>
      </w:r>
      <w:r>
        <w:rPr>
          <w:rFonts w:hint="default" w:ascii="Times New Roman" w:hAnsi="Times New Roman" w:cs="Times New Roman"/>
          <w:b/>
          <w:bCs/>
          <w:color w:val="auto"/>
          <w:szCs w:val="28"/>
          <w:highlight w:val="none"/>
          <w:lang w:val="en-US"/>
        </w:rPr>
        <w:fldChar w:fldCharType="separate"/>
      </w:r>
      <w:r>
        <w:rPr>
          <w:rFonts w:hint="default" w:ascii="Times New Roman" w:hAnsi="Times New Roman" w:cs="Times New Roman"/>
          <w:b/>
          <w:color w:val="auto"/>
        </w:rPr>
        <w:t>5.环境影响预测与评价</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_Toc12187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76</w:t>
      </w:r>
      <w:r>
        <w:rPr>
          <w:rFonts w:hint="default" w:ascii="Times New Roman" w:hAnsi="Times New Roman" w:cs="Times New Roman"/>
          <w:b/>
          <w:color w:val="auto"/>
        </w:rPr>
        <w:fldChar w:fldCharType="end"/>
      </w:r>
      <w:r>
        <w:rPr>
          <w:rFonts w:hint="default" w:ascii="Times New Roman" w:hAnsi="Times New Roman" w:cs="Times New Roman"/>
          <w:b/>
          <w:bCs/>
          <w:color w:val="auto"/>
          <w:szCs w:val="28"/>
          <w:highlight w:val="none"/>
          <w:lang w:val="en-US"/>
        </w:rPr>
        <w:fldChar w:fldCharType="end"/>
      </w:r>
    </w:p>
    <w:p w14:paraId="056168CA">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_Toc15939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5.1.施工期环境影响分析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_Toc15939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76</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3E1E9B98">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_Toc239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rPr>
        <w:t>5.2.</w:t>
      </w:r>
      <w:r>
        <w:rPr>
          <w:rFonts w:hint="default" w:ascii="Times New Roman" w:hAnsi="Times New Roman" w:cs="Times New Roman"/>
          <w:color w:val="auto"/>
          <w:highlight w:val="none"/>
          <w:lang w:val="en-US"/>
        </w:rPr>
        <w:t>运营期环境影响预测与评价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046D6DAB">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_Toc30987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rPr>
        <w:t>5.3.</w:t>
      </w:r>
      <w:r>
        <w:rPr>
          <w:rFonts w:hint="default" w:ascii="Times New Roman" w:hAnsi="Times New Roman" w:cs="Times New Roman"/>
          <w:color w:val="auto"/>
          <w:highlight w:val="none"/>
          <w:lang w:val="en-US"/>
        </w:rPr>
        <w:t>环境风险分析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_Toc30987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53A79D49">
      <w:pPr>
        <w:pStyle w:val="128"/>
        <w:tabs>
          <w:tab w:val="right" w:leader="dot" w:pos="8316"/>
        </w:tabs>
        <w:rPr>
          <w:rFonts w:hint="default" w:ascii="Times New Roman" w:hAnsi="Times New Roman" w:cs="Times New Roman"/>
          <w:b/>
          <w:color w:val="auto"/>
        </w:rPr>
      </w:pPr>
      <w:r>
        <w:rPr>
          <w:rFonts w:hint="default" w:ascii="Times New Roman" w:hAnsi="Times New Roman" w:cs="Times New Roman"/>
          <w:b/>
          <w:bCs/>
          <w:color w:val="auto"/>
          <w:szCs w:val="28"/>
          <w:highlight w:val="none"/>
          <w:lang w:val="en-US"/>
        </w:rPr>
        <w:fldChar w:fldCharType="begin"/>
      </w:r>
      <w:r>
        <w:rPr>
          <w:rFonts w:hint="default" w:ascii="Times New Roman" w:hAnsi="Times New Roman" w:cs="Times New Roman"/>
          <w:b/>
          <w:bCs/>
          <w:color w:val="auto"/>
          <w:szCs w:val="28"/>
          <w:highlight w:val="none"/>
          <w:lang w:val="en-US"/>
        </w:rPr>
        <w:instrText xml:space="preserve"> HYPERLINK \l _Toc710 </w:instrText>
      </w:r>
      <w:r>
        <w:rPr>
          <w:rFonts w:hint="default" w:ascii="Times New Roman" w:hAnsi="Times New Roman" w:cs="Times New Roman"/>
          <w:b/>
          <w:bCs/>
          <w:color w:val="auto"/>
          <w:szCs w:val="28"/>
          <w:highlight w:val="none"/>
          <w:lang w:val="en-US"/>
        </w:rPr>
        <w:fldChar w:fldCharType="separate"/>
      </w:r>
      <w:r>
        <w:rPr>
          <w:rFonts w:hint="default" w:ascii="Times New Roman" w:hAnsi="Times New Roman" w:cs="Times New Roman"/>
          <w:b/>
          <w:color w:val="auto"/>
        </w:rPr>
        <w:t>6.污染防治措施可行性分析</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_Toc710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112</w:t>
      </w:r>
      <w:r>
        <w:rPr>
          <w:rFonts w:hint="default" w:ascii="Times New Roman" w:hAnsi="Times New Roman" w:cs="Times New Roman"/>
          <w:b/>
          <w:color w:val="auto"/>
        </w:rPr>
        <w:fldChar w:fldCharType="end"/>
      </w:r>
      <w:r>
        <w:rPr>
          <w:rFonts w:hint="default" w:ascii="Times New Roman" w:hAnsi="Times New Roman" w:cs="Times New Roman"/>
          <w:b/>
          <w:bCs/>
          <w:color w:val="auto"/>
          <w:szCs w:val="28"/>
          <w:highlight w:val="none"/>
          <w:lang w:val="en-US"/>
        </w:rPr>
        <w:fldChar w:fldCharType="end"/>
      </w:r>
    </w:p>
    <w:p w14:paraId="4877FC1A">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_Toc16429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6.1.施工期污染防治措施分析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_Toc16429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112</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51F96CEF">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_Toc21919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rPr>
        <w:t>6.2.运营期污染防治措施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_Toc21919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114</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61EBEB93">
      <w:pPr>
        <w:pStyle w:val="128"/>
        <w:tabs>
          <w:tab w:val="right" w:leader="dot" w:pos="8316"/>
        </w:tabs>
        <w:rPr>
          <w:rFonts w:hint="default" w:ascii="Times New Roman" w:hAnsi="Times New Roman" w:cs="Times New Roman"/>
          <w:b/>
          <w:color w:val="auto"/>
        </w:rPr>
      </w:pPr>
      <w:r>
        <w:rPr>
          <w:rFonts w:hint="default" w:ascii="Times New Roman" w:hAnsi="Times New Roman" w:cs="Times New Roman"/>
          <w:b/>
          <w:bCs/>
          <w:color w:val="auto"/>
          <w:szCs w:val="28"/>
          <w:highlight w:val="none"/>
          <w:lang w:val="en-US"/>
        </w:rPr>
        <w:fldChar w:fldCharType="begin"/>
      </w:r>
      <w:r>
        <w:rPr>
          <w:rFonts w:hint="default" w:ascii="Times New Roman" w:hAnsi="Times New Roman" w:cs="Times New Roman"/>
          <w:b/>
          <w:bCs/>
          <w:color w:val="auto"/>
          <w:szCs w:val="28"/>
          <w:highlight w:val="none"/>
          <w:lang w:val="en-US"/>
        </w:rPr>
        <w:instrText xml:space="preserve"> HYPERLINK \l _Toc21512 </w:instrText>
      </w:r>
      <w:r>
        <w:rPr>
          <w:rFonts w:hint="default" w:ascii="Times New Roman" w:hAnsi="Times New Roman" w:cs="Times New Roman"/>
          <w:b/>
          <w:bCs/>
          <w:color w:val="auto"/>
          <w:szCs w:val="28"/>
          <w:highlight w:val="none"/>
          <w:lang w:val="en-US"/>
        </w:rPr>
        <w:fldChar w:fldCharType="separate"/>
      </w:r>
      <w:r>
        <w:rPr>
          <w:rFonts w:hint="default" w:ascii="Times New Roman" w:hAnsi="Times New Roman" w:cs="Times New Roman"/>
          <w:b/>
          <w:color w:val="auto"/>
        </w:rPr>
        <w:t>7.环境影响经济损益分析</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_Toc21512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129</w:t>
      </w:r>
      <w:r>
        <w:rPr>
          <w:rFonts w:hint="default" w:ascii="Times New Roman" w:hAnsi="Times New Roman" w:cs="Times New Roman"/>
          <w:b/>
          <w:color w:val="auto"/>
        </w:rPr>
        <w:fldChar w:fldCharType="end"/>
      </w:r>
      <w:r>
        <w:rPr>
          <w:rFonts w:hint="default" w:ascii="Times New Roman" w:hAnsi="Times New Roman" w:cs="Times New Roman"/>
          <w:b/>
          <w:bCs/>
          <w:color w:val="auto"/>
          <w:szCs w:val="28"/>
          <w:highlight w:val="none"/>
          <w:lang w:val="en-US"/>
        </w:rPr>
        <w:fldChar w:fldCharType="end"/>
      </w:r>
    </w:p>
    <w:p w14:paraId="240F4850">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_Toc25986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7.1.社会效益分析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_Toc25986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129</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48A24762">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_Toc28701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7.2.生态效益分析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_Toc28701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129</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43D1E8D3">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_Toc9120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7.3.环境经济损失分析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_Toc9120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129</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1E69924C">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_Toc7628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7.4.环境效益分析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_Toc7628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130</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26E9294A">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_Toc1308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7.5.小结</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132</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29957464">
      <w:pPr>
        <w:pStyle w:val="128"/>
        <w:tabs>
          <w:tab w:val="right" w:leader="dot" w:pos="8316"/>
        </w:tabs>
        <w:rPr>
          <w:rFonts w:hint="default" w:ascii="Times New Roman" w:hAnsi="Times New Roman" w:cs="Times New Roman"/>
          <w:b/>
          <w:color w:val="auto"/>
        </w:rPr>
      </w:pPr>
      <w:r>
        <w:rPr>
          <w:rFonts w:hint="default" w:ascii="Times New Roman" w:hAnsi="Times New Roman" w:cs="Times New Roman"/>
          <w:b/>
          <w:bCs/>
          <w:color w:val="auto"/>
          <w:szCs w:val="28"/>
          <w:highlight w:val="none"/>
          <w:lang w:val="en-US"/>
        </w:rPr>
        <w:fldChar w:fldCharType="begin"/>
      </w:r>
      <w:r>
        <w:rPr>
          <w:rFonts w:hint="default" w:ascii="Times New Roman" w:hAnsi="Times New Roman" w:cs="Times New Roman"/>
          <w:b/>
          <w:bCs/>
          <w:color w:val="auto"/>
          <w:szCs w:val="28"/>
          <w:highlight w:val="none"/>
          <w:lang w:val="en-US"/>
        </w:rPr>
        <w:instrText xml:space="preserve"> HYPERLINK \l _Toc20963 </w:instrText>
      </w:r>
      <w:r>
        <w:rPr>
          <w:rFonts w:hint="default" w:ascii="Times New Roman" w:hAnsi="Times New Roman" w:cs="Times New Roman"/>
          <w:b/>
          <w:bCs/>
          <w:color w:val="auto"/>
          <w:szCs w:val="28"/>
          <w:highlight w:val="none"/>
          <w:lang w:val="en-US"/>
        </w:rPr>
        <w:fldChar w:fldCharType="separate"/>
      </w:r>
      <w:r>
        <w:rPr>
          <w:rFonts w:hint="default" w:ascii="Times New Roman" w:hAnsi="Times New Roman" w:cs="Times New Roman"/>
          <w:b/>
          <w:color w:val="auto"/>
        </w:rPr>
        <w:t>8.环境管理与监测计划</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_Toc20963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133</w:t>
      </w:r>
      <w:r>
        <w:rPr>
          <w:rFonts w:hint="default" w:ascii="Times New Roman" w:hAnsi="Times New Roman" w:cs="Times New Roman"/>
          <w:b/>
          <w:color w:val="auto"/>
        </w:rPr>
        <w:fldChar w:fldCharType="end"/>
      </w:r>
      <w:r>
        <w:rPr>
          <w:rFonts w:hint="default" w:ascii="Times New Roman" w:hAnsi="Times New Roman" w:cs="Times New Roman"/>
          <w:b/>
          <w:bCs/>
          <w:color w:val="auto"/>
          <w:szCs w:val="28"/>
          <w:highlight w:val="none"/>
          <w:lang w:val="en-US"/>
        </w:rPr>
        <w:fldChar w:fldCharType="end"/>
      </w:r>
    </w:p>
    <w:p w14:paraId="4DCBF761">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_Toc5851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8.1.环境管理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_Toc5851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133</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541FE5F5">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_Toc27578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8.2.环境监测计划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_Toc27578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135</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3A902495">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_Toc20664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zh-CN" w:eastAsia="zh-CN"/>
        </w:rPr>
        <w:t>8.3.排污许可管理表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_Toc20664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137</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39F66C5C">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_Toc18974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8.4.竣工环境保护验收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_Toc18974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140</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68761963">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_Toc11070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8.5.污染物排放清单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_Toc11070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142</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48242204">
      <w:pPr>
        <w:pStyle w:val="128"/>
        <w:tabs>
          <w:tab w:val="right" w:leader="dot" w:pos="8316"/>
        </w:tabs>
        <w:rPr>
          <w:rFonts w:hint="default" w:ascii="Times New Roman" w:hAnsi="Times New Roman" w:cs="Times New Roman"/>
          <w:b/>
          <w:color w:val="auto"/>
        </w:rPr>
      </w:pPr>
      <w:r>
        <w:rPr>
          <w:rFonts w:hint="default" w:ascii="Times New Roman" w:hAnsi="Times New Roman" w:cs="Times New Roman"/>
          <w:b/>
          <w:bCs/>
          <w:color w:val="auto"/>
          <w:szCs w:val="28"/>
          <w:highlight w:val="none"/>
          <w:lang w:val="en-US"/>
        </w:rPr>
        <w:fldChar w:fldCharType="begin"/>
      </w:r>
      <w:r>
        <w:rPr>
          <w:rFonts w:hint="default" w:ascii="Times New Roman" w:hAnsi="Times New Roman" w:cs="Times New Roman"/>
          <w:b/>
          <w:bCs/>
          <w:color w:val="auto"/>
          <w:szCs w:val="28"/>
          <w:highlight w:val="none"/>
          <w:lang w:val="en-US"/>
        </w:rPr>
        <w:instrText xml:space="preserve"> HYPERLINK \l _Toc21600 </w:instrText>
      </w:r>
      <w:r>
        <w:rPr>
          <w:rFonts w:hint="default" w:ascii="Times New Roman" w:hAnsi="Times New Roman" w:cs="Times New Roman"/>
          <w:b/>
          <w:bCs/>
          <w:color w:val="auto"/>
          <w:szCs w:val="28"/>
          <w:highlight w:val="none"/>
          <w:lang w:val="en-US"/>
        </w:rPr>
        <w:fldChar w:fldCharType="separate"/>
      </w:r>
      <w:r>
        <w:rPr>
          <w:rFonts w:hint="default" w:ascii="Times New Roman" w:hAnsi="Times New Roman" w:cs="Times New Roman"/>
          <w:b/>
          <w:color w:val="auto"/>
        </w:rPr>
        <w:t>9.结论与建议</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_Toc21600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145</w:t>
      </w:r>
      <w:r>
        <w:rPr>
          <w:rFonts w:hint="default" w:ascii="Times New Roman" w:hAnsi="Times New Roman" w:cs="Times New Roman"/>
          <w:b/>
          <w:color w:val="auto"/>
        </w:rPr>
        <w:fldChar w:fldCharType="end"/>
      </w:r>
      <w:r>
        <w:rPr>
          <w:rFonts w:hint="default" w:ascii="Times New Roman" w:hAnsi="Times New Roman" w:cs="Times New Roman"/>
          <w:b/>
          <w:bCs/>
          <w:color w:val="auto"/>
          <w:szCs w:val="28"/>
          <w:highlight w:val="none"/>
          <w:lang w:val="en-US"/>
        </w:rPr>
        <w:fldChar w:fldCharType="end"/>
      </w:r>
    </w:p>
    <w:p w14:paraId="0609CAFA">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_Toc3007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9.1.建设项目概况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145</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40813DA2">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_Toc712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9.2.环境质量现状评价结论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_Toc712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145</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0A2E4423">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_Toc10734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9.3.项目污染源分析结论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_Toc10734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146</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3604E0A9">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_Toc9386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9.4.环境影响预测与分析结论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_Toc9386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147</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2FF9E476">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_Toc25883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9.5.污染防治措施可行性结论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_Toc25883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148</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263D58DA">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_Toc20043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9.6.产业政策及规划符合性结论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_Toc20043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150</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171281CE">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_Toc7651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9.7.环境影响经济损益分析结论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_Toc7651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151</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18606B57">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_Toc11669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9.8.公众参与结论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_Toc11669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151</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07D8B000">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_Toc25407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9.9.总体结论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_Toc25407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151</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3334CBF3">
      <w:pPr>
        <w:pStyle w:val="91"/>
        <w:tabs>
          <w:tab w:val="right" w:leader="dot" w:pos="8316"/>
        </w:tabs>
        <w:rPr>
          <w:rFonts w:hint="default" w:ascii="Times New Roman" w:hAnsi="Times New Roman" w:cs="Times New Roman"/>
          <w:color w:val="auto"/>
        </w:rPr>
      </w:pPr>
      <w:r>
        <w:rPr>
          <w:rFonts w:hint="default" w:ascii="Times New Roman" w:hAnsi="Times New Roman" w:cs="Times New Roman"/>
          <w:bCs/>
          <w:color w:val="auto"/>
          <w:szCs w:val="28"/>
          <w:highlight w:val="none"/>
          <w:lang w:val="en-US"/>
        </w:rPr>
        <w:fldChar w:fldCharType="begin"/>
      </w:r>
      <w:r>
        <w:rPr>
          <w:rFonts w:hint="default" w:ascii="Times New Roman" w:hAnsi="Times New Roman" w:cs="Times New Roman"/>
          <w:bCs/>
          <w:color w:val="auto"/>
          <w:szCs w:val="28"/>
          <w:highlight w:val="none"/>
          <w:lang w:val="en-US"/>
        </w:rPr>
        <w:instrText xml:space="preserve"> HYPERLINK \l _Toc13168 </w:instrText>
      </w:r>
      <w:r>
        <w:rPr>
          <w:rFonts w:hint="default" w:ascii="Times New Roman" w:hAnsi="Times New Roman" w:cs="Times New Roman"/>
          <w:bCs/>
          <w:color w:val="auto"/>
          <w:szCs w:val="28"/>
          <w:highlight w:val="none"/>
          <w:lang w:val="en-US"/>
        </w:rPr>
        <w:fldChar w:fldCharType="separate"/>
      </w:r>
      <w:r>
        <w:rPr>
          <w:rFonts w:hint="default" w:ascii="Times New Roman" w:hAnsi="Times New Roman" w:cs="Times New Roman"/>
          <w:color w:val="auto"/>
          <w:lang w:val="en-US" w:eastAsia="zh-CN"/>
        </w:rPr>
        <w:t>9.10.要求与建议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_Toc13168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151</w:t>
      </w:r>
      <w:r>
        <w:rPr>
          <w:rFonts w:hint="default" w:ascii="Times New Roman" w:hAnsi="Times New Roman" w:cs="Times New Roman"/>
          <w:color w:val="auto"/>
        </w:rPr>
        <w:fldChar w:fldCharType="end"/>
      </w:r>
      <w:r>
        <w:rPr>
          <w:rFonts w:hint="default" w:ascii="Times New Roman" w:hAnsi="Times New Roman" w:cs="Times New Roman"/>
          <w:bCs/>
          <w:color w:val="auto"/>
          <w:szCs w:val="28"/>
          <w:highlight w:val="none"/>
          <w:lang w:val="en-US"/>
        </w:rPr>
        <w:fldChar w:fldCharType="end"/>
      </w:r>
    </w:p>
    <w:p w14:paraId="57CDEEE0">
      <w:pPr>
        <w:tabs>
          <w:tab w:val="left" w:pos="1932"/>
        </w:tabs>
        <w:spacing w:line="240" w:lineRule="auto"/>
        <w:ind w:right="-624" w:rightChars="0"/>
        <w:jc w:val="both"/>
        <w:rPr>
          <w:rFonts w:hint="default" w:ascii="Times New Roman" w:hAnsi="Times New Roman" w:cs="Times New Roman"/>
          <w:b/>
          <w:bCs/>
          <w:color w:val="auto"/>
          <w:szCs w:val="28"/>
          <w:highlight w:val="none"/>
          <w:lang w:val="en-US"/>
        </w:rPr>
      </w:pPr>
      <w:r>
        <w:rPr>
          <w:rFonts w:hint="default" w:ascii="Times New Roman" w:hAnsi="Times New Roman" w:cs="Times New Roman"/>
          <w:b/>
          <w:bCs/>
          <w:color w:val="auto"/>
          <w:szCs w:val="28"/>
          <w:highlight w:val="none"/>
          <w:lang w:val="en-US"/>
        </w:rPr>
        <w:fldChar w:fldCharType="end"/>
      </w:r>
    </w:p>
    <w:p w14:paraId="4DDA1691">
      <w:pPr>
        <w:tabs>
          <w:tab w:val="left" w:pos="1932"/>
        </w:tabs>
        <w:spacing w:line="240" w:lineRule="auto"/>
        <w:ind w:right="-624" w:rightChars="0"/>
        <w:jc w:val="both"/>
        <w:rPr>
          <w:rFonts w:hint="default" w:ascii="Times New Roman" w:hAnsi="Times New Roman" w:cs="Times New Roman"/>
          <w:b/>
          <w:bCs/>
          <w:color w:val="auto"/>
          <w:szCs w:val="28"/>
          <w:highlight w:val="none"/>
          <w:lang w:val="en-US"/>
        </w:rPr>
      </w:pPr>
    </w:p>
    <w:p w14:paraId="2CAC0EED">
      <w:pPr>
        <w:tabs>
          <w:tab w:val="left" w:pos="1932"/>
        </w:tabs>
        <w:ind w:left="-178" w:leftChars="-81" w:right="-170" w:rightChars="0" w:firstLine="0" w:firstLineChars="0"/>
        <w:jc w:val="center"/>
        <w:rPr>
          <w:rFonts w:hint="default" w:ascii="Times New Roman" w:hAnsi="Times New Roman" w:cs="Times New Roman"/>
          <w:b/>
          <w:bCs/>
          <w:color w:val="auto"/>
          <w:sz w:val="28"/>
          <w:szCs w:val="28"/>
          <w:highlight w:val="none"/>
          <w:lang w:val="en-US"/>
        </w:rPr>
      </w:pPr>
    </w:p>
    <w:p w14:paraId="0DEC3624">
      <w:pPr>
        <w:tabs>
          <w:tab w:val="left" w:pos="1932"/>
        </w:tabs>
        <w:ind w:left="-178" w:leftChars="-81" w:right="-170" w:rightChars="0" w:firstLine="0" w:firstLineChars="0"/>
        <w:jc w:val="center"/>
        <w:rPr>
          <w:rFonts w:hint="default" w:ascii="Times New Roman" w:hAnsi="Times New Roman" w:cs="Times New Roman"/>
          <w:b/>
          <w:bCs/>
          <w:color w:val="auto"/>
          <w:sz w:val="28"/>
          <w:szCs w:val="28"/>
          <w:highlight w:val="none"/>
          <w:lang w:val="en-US"/>
        </w:rPr>
      </w:pPr>
    </w:p>
    <w:p w14:paraId="1C5D3833">
      <w:pPr>
        <w:pStyle w:val="59"/>
        <w:rPr>
          <w:rFonts w:hint="default" w:ascii="Times New Roman" w:hAnsi="Times New Roman" w:cs="Times New Roman"/>
          <w:b w:val="0"/>
          <w:bCs/>
          <w:color w:val="auto"/>
          <w:sz w:val="28"/>
          <w:szCs w:val="28"/>
          <w:highlight w:val="none"/>
          <w:lang w:val="en-US"/>
        </w:rPr>
      </w:pPr>
    </w:p>
    <w:p w14:paraId="2A656075">
      <w:pPr>
        <w:pStyle w:val="63"/>
        <w:rPr>
          <w:rFonts w:hint="default" w:ascii="Times New Roman" w:hAnsi="Times New Roman" w:cs="Times New Roman"/>
          <w:b/>
          <w:bCs/>
          <w:color w:val="auto"/>
          <w:sz w:val="28"/>
          <w:szCs w:val="28"/>
          <w:highlight w:val="none"/>
          <w:lang w:val="en-US"/>
        </w:rPr>
      </w:pPr>
    </w:p>
    <w:p w14:paraId="15721C5F">
      <w:pPr>
        <w:pStyle w:val="16"/>
        <w:bidi w:val="0"/>
        <w:rPr>
          <w:rFonts w:hint="default" w:ascii="Times New Roman" w:hAnsi="Times New Roman" w:cs="Times New Roman"/>
          <w:color w:val="auto"/>
          <w:lang w:val="en-US" w:eastAsia="zh-CN"/>
        </w:rPr>
        <w:sectPr>
          <w:footerReference r:id="rId7" w:type="default"/>
          <w:pgSz w:w="11910" w:h="16840"/>
          <w:pgMar w:top="1440" w:right="1797" w:bottom="1417" w:left="1797" w:header="896" w:footer="1236" w:gutter="0"/>
          <w:pgBorders>
            <w:top w:val="none" w:sz="0" w:space="0"/>
            <w:left w:val="none" w:sz="0" w:space="0"/>
            <w:bottom w:val="none" w:sz="0" w:space="0"/>
            <w:right w:val="none" w:sz="0" w:space="0"/>
          </w:pgBorders>
          <w:pgNumType w:fmt="upperRoman" w:start="1"/>
          <w:cols w:space="720" w:num="1"/>
          <w:rtlGutter w:val="0"/>
          <w:docGrid w:linePitch="0" w:charSpace="0"/>
        </w:sectPr>
      </w:pPr>
    </w:p>
    <w:p w14:paraId="34BE378B">
      <w:pPr>
        <w:jc w:val="center"/>
        <w:rPr>
          <w:rFonts w:hint="default" w:ascii="Times New Roman" w:hAnsi="Times New Roman" w:eastAsia="宋体" w:cs="Times New Roman"/>
          <w:b/>
          <w:color w:val="auto"/>
          <w:sz w:val="32"/>
          <w:szCs w:val="32"/>
          <w:highlight w:val="none"/>
          <w:lang w:eastAsia="zh-CN"/>
        </w:rPr>
        <w:sectPr>
          <w:footerReference r:id="rId8" w:type="default"/>
          <w:pgSz w:w="11910" w:h="16840"/>
          <w:pgMar w:top="1440" w:right="1797" w:bottom="1417" w:left="1797" w:header="896" w:footer="1236" w:gutter="0"/>
          <w:pgBorders>
            <w:top w:val="none" w:sz="0" w:space="0"/>
            <w:left w:val="none" w:sz="0" w:space="0"/>
            <w:bottom w:val="none" w:sz="0" w:space="0"/>
            <w:right w:val="none" w:sz="0" w:space="0"/>
          </w:pgBorders>
          <w:pgNumType w:fmt="upperRoman" w:start="1"/>
          <w:cols w:space="720" w:num="1"/>
          <w:rtlGutter w:val="0"/>
          <w:docGrid w:linePitch="0" w:charSpace="0"/>
        </w:sectPr>
      </w:pPr>
    </w:p>
    <w:p w14:paraId="73C7CC07">
      <w:pPr>
        <w:pStyle w:val="2"/>
        <w:bidi w:val="0"/>
        <w:rPr>
          <w:rFonts w:hint="default" w:ascii="Times New Roman" w:hAnsi="Times New Roman" w:cs="Times New Roman"/>
          <w:color w:val="auto"/>
        </w:rPr>
      </w:pPr>
      <w:bookmarkStart w:id="0" w:name="_Toc15163"/>
      <w:bookmarkStart w:id="1" w:name="_Toc23079"/>
      <w:r>
        <w:rPr>
          <w:rFonts w:hint="default" w:ascii="Times New Roman" w:hAnsi="Times New Roman" w:cs="Times New Roman"/>
          <w:color w:val="auto"/>
        </w:rPr>
        <w:t>概述</w:t>
      </w:r>
      <w:bookmarkEnd w:id="0"/>
      <w:bookmarkEnd w:id="1"/>
    </w:p>
    <w:p w14:paraId="21FD7931">
      <w:pPr>
        <w:pStyle w:val="3"/>
        <w:bidi w:val="0"/>
        <w:rPr>
          <w:rFonts w:hint="default" w:ascii="Times New Roman" w:hAnsi="Times New Roman" w:cs="Times New Roman"/>
          <w:color w:val="auto"/>
        </w:rPr>
      </w:pPr>
      <w:bookmarkStart w:id="2" w:name="_Toc16003"/>
      <w:bookmarkStart w:id="3" w:name="_Toc11172"/>
      <w:r>
        <w:rPr>
          <w:rFonts w:hint="default" w:ascii="Times New Roman" w:hAnsi="Times New Roman" w:cs="Times New Roman"/>
          <w:color w:val="auto"/>
        </w:rPr>
        <w:t>建设项目的背景及特点</w:t>
      </w:r>
      <w:bookmarkEnd w:id="2"/>
      <w:bookmarkEnd w:id="3"/>
    </w:p>
    <w:p w14:paraId="748BFEE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随着国民经济的迅速、稳定、健康发展和科学技术水平的提高，特别是在当前的市场经济运行机制推动下，养殖业正以空前的速度和规模扩展，已经从农副业中脱颖而出，成为具有竞争力的产业。目前，畜禽养殖已经从传统的饲养方式向规模化、集约化和现代化转化，已成为我国现代农业生产的重要组成部分。</w:t>
      </w:r>
    </w:p>
    <w:p w14:paraId="18B4F0F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满足市场需求，新疆海川吉蛋福养殖农民专业合作社拟在新疆北屯市188团9连新建全智能数字化蛋鸡养殖科技园区建设项目。该项目于2025年2月28日取得新疆生产建设兵团第十师188团经济发展办公室的备案，备案代码为2502-661008-04-01-564858。项目总投资5028万元，建设鸡舍6座，建成后</w:t>
      </w:r>
      <w:r>
        <w:rPr>
          <w:rFonts w:hint="default" w:ascii="Times New Roman" w:hAnsi="Times New Roman" w:eastAsia="宋体" w:cs="Times New Roman"/>
          <w:color w:val="auto"/>
          <w:sz w:val="24"/>
          <w:szCs w:val="24"/>
          <w:lang w:val="en-US" w:eastAsia="zh-CN"/>
        </w:rPr>
        <w:t>年存栏蛋鸡30万羽，育雏鸡存栏量30万羽，年出栏蛋鸡30万羽，育雏鸡出栏量20万羽，销售鸡蛋2600万枚</w:t>
      </w:r>
      <w:r>
        <w:rPr>
          <w:rFonts w:hint="default" w:ascii="Times New Roman" w:hAnsi="Times New Roman" w:cs="Times New Roman"/>
          <w:color w:val="auto"/>
          <w:lang w:val="en-US" w:eastAsia="zh-CN"/>
        </w:rPr>
        <w:t>。</w:t>
      </w:r>
    </w:p>
    <w:p w14:paraId="7AFDED3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本项目的特点：项目性质为集中养殖项目，项目运营期产生大气污染物主要为恶臭，项目产生的粪污处理后用作肥料还田，利于实现种植业、养殖业并重的发展，促进团场农业生产结构的调整。</w:t>
      </w:r>
    </w:p>
    <w:p w14:paraId="6A28D363">
      <w:pPr>
        <w:pStyle w:val="3"/>
        <w:bidi w:val="0"/>
        <w:rPr>
          <w:rFonts w:hint="default" w:ascii="Times New Roman" w:hAnsi="Times New Roman" w:cs="Times New Roman"/>
          <w:color w:val="auto"/>
        </w:rPr>
      </w:pPr>
      <w:bookmarkStart w:id="4" w:name="_Toc3107"/>
      <w:bookmarkStart w:id="5" w:name="_Toc9814"/>
      <w:r>
        <w:rPr>
          <w:rFonts w:hint="default" w:ascii="Times New Roman" w:hAnsi="Times New Roman" w:cs="Times New Roman"/>
          <w:color w:val="auto"/>
        </w:rPr>
        <w:t>环境影响评价工作过程</w:t>
      </w:r>
      <w:bookmarkEnd w:id="4"/>
      <w:bookmarkEnd w:id="5"/>
    </w:p>
    <w:p w14:paraId="12AEE96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根据《中华人民共和国环境保护法</w:t>
      </w:r>
      <w:r>
        <w:rPr>
          <w:rFonts w:hint="default" w:ascii="Times New Roman" w:hAnsi="Times New Roman" w:cs="Times New Roman"/>
          <w:color w:val="auto"/>
          <w:lang w:eastAsia="zh-CN"/>
        </w:rPr>
        <w:t>》《</w:t>
      </w:r>
      <w:r>
        <w:rPr>
          <w:rFonts w:hint="default" w:ascii="Times New Roman" w:hAnsi="Times New Roman" w:cs="Times New Roman"/>
          <w:color w:val="auto"/>
        </w:rPr>
        <w:t>中华人民共和国环境影响评价法</w:t>
      </w:r>
      <w:r>
        <w:rPr>
          <w:rFonts w:hint="default" w:ascii="Times New Roman" w:hAnsi="Times New Roman" w:cs="Times New Roman"/>
          <w:color w:val="auto"/>
          <w:lang w:eastAsia="zh-CN"/>
        </w:rPr>
        <w:t>》《</w:t>
      </w:r>
      <w:r>
        <w:rPr>
          <w:rFonts w:hint="default" w:ascii="Times New Roman" w:hAnsi="Times New Roman" w:cs="Times New Roman"/>
          <w:color w:val="auto"/>
        </w:rPr>
        <w:t>建设项目环境保护管理条例》（国务院第682号令）等文件的有关规定，应当在工程项目可行性研究阶段对该项目进行环境影响评价。</w:t>
      </w:r>
    </w:p>
    <w:p w14:paraId="0F5CAE5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根据《建设项目环境影响评价分类管理名录（2021年版）》（2021年1月1日施行），</w:t>
      </w:r>
      <w:r>
        <w:rPr>
          <w:rFonts w:hint="default" w:ascii="Times New Roman" w:hAnsi="Times New Roman" w:cs="Times New Roman"/>
          <w:color w:val="auto"/>
          <w:lang w:eastAsia="zh-CN"/>
        </w:rPr>
        <w:t>项目类别</w:t>
      </w:r>
      <w:r>
        <w:rPr>
          <w:rFonts w:hint="default" w:ascii="Times New Roman" w:hAnsi="Times New Roman" w:cs="Times New Roman"/>
          <w:color w:val="auto"/>
        </w:rPr>
        <w:t>属于“二、畜牧业03-3牲畜饲养031-</w:t>
      </w:r>
      <w:r>
        <w:rPr>
          <w:rFonts w:hint="default" w:ascii="Times New Roman" w:hAnsi="Times New Roman" w:cs="Times New Roman"/>
          <w:color w:val="auto"/>
          <w:lang w:val="en-US" w:eastAsia="zh-CN"/>
        </w:rPr>
        <w:t>存</w:t>
      </w:r>
      <w:r>
        <w:rPr>
          <w:rFonts w:hint="default" w:ascii="Times New Roman" w:hAnsi="Times New Roman" w:cs="Times New Roman"/>
          <w:color w:val="auto"/>
        </w:rPr>
        <w:t>栏生猪</w:t>
      </w:r>
      <w:r>
        <w:rPr>
          <w:rFonts w:hint="default" w:ascii="Times New Roman" w:hAnsi="Times New Roman" w:cs="Times New Roman"/>
          <w:color w:val="auto"/>
          <w:lang w:val="en-US" w:eastAsia="zh-CN"/>
        </w:rPr>
        <w:t>2000</w:t>
      </w:r>
      <w:r>
        <w:rPr>
          <w:rFonts w:hint="default" w:ascii="Times New Roman" w:hAnsi="Times New Roman" w:cs="Times New Roman"/>
          <w:color w:val="auto"/>
        </w:rPr>
        <w:t>头（其他畜禽种类折合猪的养殖规模）及以上无出栏量的规模化畜禽养殖”。根据《畜禽养殖业污染物排放标准》（GB18596-2001）30只蛋鸡折算一头猪，本项目</w:t>
      </w:r>
      <w:r>
        <w:rPr>
          <w:rFonts w:hint="default" w:ascii="Times New Roman" w:hAnsi="Times New Roman" w:eastAsia="宋体" w:cs="Times New Roman"/>
          <w:color w:val="0000FF"/>
        </w:rPr>
        <w:t>年</w:t>
      </w:r>
      <w:r>
        <w:rPr>
          <w:rFonts w:hint="default" w:ascii="Times New Roman" w:hAnsi="Times New Roman" w:eastAsia="宋体" w:cs="Times New Roman"/>
          <w:color w:val="0000FF"/>
          <w:lang w:val="en-US" w:eastAsia="zh-CN"/>
        </w:rPr>
        <w:t>存</w:t>
      </w:r>
      <w:r>
        <w:rPr>
          <w:rFonts w:hint="default" w:ascii="Times New Roman" w:hAnsi="Times New Roman" w:eastAsia="宋体" w:cs="Times New Roman"/>
          <w:color w:val="0000FF"/>
        </w:rPr>
        <w:t>栏</w:t>
      </w:r>
      <w:r>
        <w:rPr>
          <w:rFonts w:hint="default" w:ascii="Times New Roman" w:hAnsi="Times New Roman" w:eastAsia="宋体" w:cs="Times New Roman"/>
          <w:color w:val="0000FF"/>
          <w:lang w:val="en-US" w:eastAsia="zh-CN"/>
        </w:rPr>
        <w:t>蛋鸡和育雏鸡共60万羽</w:t>
      </w:r>
      <w:r>
        <w:rPr>
          <w:rFonts w:hint="default" w:ascii="Times New Roman" w:hAnsi="Times New Roman" w:cs="Times New Roman"/>
          <w:color w:val="auto"/>
        </w:rPr>
        <w:t>，折算</w:t>
      </w:r>
      <w:r>
        <w:rPr>
          <w:rFonts w:hint="default" w:ascii="Times New Roman" w:hAnsi="Times New Roman" w:cs="Times New Roman"/>
          <w:color w:val="auto"/>
          <w:lang w:val="en-US" w:eastAsia="zh-CN"/>
        </w:rPr>
        <w:t>出</w:t>
      </w:r>
      <w:r>
        <w:rPr>
          <w:rFonts w:hint="default" w:ascii="Times New Roman" w:hAnsi="Times New Roman" w:cs="Times New Roman"/>
          <w:color w:val="auto"/>
        </w:rPr>
        <w:t>栏生猪为</w:t>
      </w:r>
      <w:r>
        <w:rPr>
          <w:rFonts w:hint="default" w:ascii="Times New Roman" w:hAnsi="Times New Roman" w:cs="Times New Roman"/>
          <w:color w:val="auto"/>
          <w:lang w:val="en-US" w:eastAsia="zh-CN"/>
        </w:rPr>
        <w:t>2</w:t>
      </w:r>
      <w:r>
        <w:rPr>
          <w:rFonts w:hint="default" w:ascii="Times New Roman" w:hAnsi="Times New Roman" w:cs="Times New Roman"/>
          <w:color w:val="auto"/>
        </w:rPr>
        <w:t>万头，所以本项目</w:t>
      </w:r>
      <w:r>
        <w:rPr>
          <w:rFonts w:hint="default" w:ascii="Times New Roman" w:hAnsi="Times New Roman" w:cs="Times New Roman"/>
          <w:color w:val="auto"/>
          <w:lang w:eastAsia="zh-CN"/>
        </w:rPr>
        <w:t>应编制环境影响报告书</w:t>
      </w:r>
      <w:r>
        <w:rPr>
          <w:rFonts w:hint="default" w:ascii="Times New Roman" w:hAnsi="Times New Roman" w:cs="Times New Roman"/>
          <w:color w:val="auto"/>
        </w:rPr>
        <w:t>。</w:t>
      </w:r>
    </w:p>
    <w:p w14:paraId="166E2B4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受</w:t>
      </w:r>
      <w:r>
        <w:rPr>
          <w:rFonts w:hint="default" w:ascii="Times New Roman" w:hAnsi="Times New Roman" w:cs="Times New Roman"/>
          <w:color w:val="auto"/>
          <w:lang w:eastAsia="zh-CN"/>
        </w:rPr>
        <w:t>新疆海川吉蛋福养殖农民专业合作社</w:t>
      </w:r>
      <w:r>
        <w:rPr>
          <w:rFonts w:hint="default" w:ascii="Times New Roman" w:hAnsi="Times New Roman" w:cs="Times New Roman"/>
          <w:color w:val="auto"/>
        </w:rPr>
        <w:t>委托，</w:t>
      </w:r>
      <w:r>
        <w:rPr>
          <w:rFonts w:hint="default" w:ascii="Times New Roman" w:hAnsi="Times New Roman" w:cs="Times New Roman"/>
          <w:color w:val="auto"/>
          <w:lang w:val="en-US" w:eastAsia="zh-CN"/>
        </w:rPr>
        <w:t>我单位</w:t>
      </w:r>
      <w:r>
        <w:rPr>
          <w:rFonts w:hint="default" w:ascii="Times New Roman" w:hAnsi="Times New Roman" w:cs="Times New Roman"/>
          <w:color w:val="auto"/>
        </w:rPr>
        <w:t>承担了</w:t>
      </w:r>
      <w:r>
        <w:rPr>
          <w:rFonts w:hint="default" w:ascii="Times New Roman" w:hAnsi="Times New Roman" w:cs="Times New Roman"/>
          <w:color w:val="auto"/>
          <w:lang w:val="en-US" w:eastAsia="zh-CN"/>
        </w:rPr>
        <w:t>全智能数字化蛋鸡养殖科技园区</w:t>
      </w:r>
      <w:r>
        <w:rPr>
          <w:rFonts w:hint="default" w:ascii="Times New Roman" w:hAnsi="Times New Roman" w:cs="Times New Roman"/>
          <w:color w:val="auto"/>
        </w:rPr>
        <w:t>环境影响评价工作。本单位接受委托后，进行了现场踏勘和资料收集，结合有关资料和当地环境特征，按国家、新疆维吾尔自治区</w:t>
      </w:r>
      <w:r>
        <w:rPr>
          <w:rFonts w:hint="default" w:ascii="Times New Roman" w:hAnsi="Times New Roman" w:cs="Times New Roman"/>
          <w:color w:val="auto"/>
          <w:lang w:val="en-US" w:eastAsia="zh-CN"/>
        </w:rPr>
        <w:t>和新疆生产建设兵团</w:t>
      </w:r>
      <w:r>
        <w:rPr>
          <w:rFonts w:hint="default" w:ascii="Times New Roman" w:hAnsi="Times New Roman" w:cs="Times New Roman"/>
          <w:color w:val="auto"/>
        </w:rPr>
        <w:t>环境保护政策以及环评技术导则、规范的要求，开展该项目的环境影响评价工作。</w:t>
      </w:r>
    </w:p>
    <w:p w14:paraId="4EE0B5E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本次环境影响评价工作分三个阶段完成，即前期准备、调研和工作方案阶段，分析论证和预测评价阶段，环境影响文件编制阶段。</w:t>
      </w:r>
    </w:p>
    <w:p w14:paraId="6478CCF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1</w:t>
      </w:r>
      <w:r>
        <w:rPr>
          <w:rFonts w:hint="default" w:ascii="Times New Roman" w:hAnsi="Times New Roman" w:cs="Times New Roman"/>
          <w:color w:val="auto"/>
        </w:rPr>
        <w:t>）前期准备、调研和工作方案阶段</w:t>
      </w:r>
    </w:p>
    <w:p w14:paraId="4EAB4F2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接受委托后，</w:t>
      </w:r>
      <w:r>
        <w:rPr>
          <w:rFonts w:hint="default" w:ascii="Times New Roman" w:hAnsi="Times New Roman" w:cs="Times New Roman"/>
          <w:color w:val="auto"/>
          <w:lang w:val="en-US" w:eastAsia="zh-CN"/>
        </w:rPr>
        <w:t>评价单位</w:t>
      </w:r>
      <w:r>
        <w:rPr>
          <w:rFonts w:hint="default" w:ascii="Times New Roman" w:hAnsi="Times New Roman" w:cs="Times New Roman"/>
          <w:color w:val="auto"/>
        </w:rPr>
        <w:t>进行了现场踏勘和资料收集，结合有关资料和当地环境特征，按国家、新疆维吾尔自治区</w:t>
      </w:r>
      <w:r>
        <w:rPr>
          <w:rFonts w:hint="default" w:ascii="Times New Roman" w:hAnsi="Times New Roman" w:cs="Times New Roman"/>
          <w:color w:val="auto"/>
          <w:lang w:val="en-US" w:eastAsia="zh-CN"/>
        </w:rPr>
        <w:t>和新疆生产建设兵团</w:t>
      </w:r>
      <w:r>
        <w:rPr>
          <w:rFonts w:hint="default" w:ascii="Times New Roman" w:hAnsi="Times New Roman" w:cs="Times New Roman"/>
          <w:color w:val="auto"/>
        </w:rPr>
        <w:t>环境保护政策以及环评技术导则、规范的要求，开展该项目的环境影响评价工作。对本项目进行初步工程分析的同时开展了初步的环境状况调查，识别本项目的环境影响因素，筛选主要的环境影响评价因子，明确评价重点和环境保护目标，确定环境影响评价的范围、评价工作等级和评价标准，最后制定工作方案。</w:t>
      </w:r>
    </w:p>
    <w:p w14:paraId="44ABA05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2</w:t>
      </w:r>
      <w:r>
        <w:rPr>
          <w:rFonts w:hint="default" w:ascii="Times New Roman" w:hAnsi="Times New Roman" w:cs="Times New Roman"/>
          <w:color w:val="auto"/>
        </w:rPr>
        <w:t>）分析论证和预测评价阶段</w:t>
      </w:r>
    </w:p>
    <w:p w14:paraId="1B7AD87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在准备阶段的基础上，做进一步的工程分析，进行环境现状调查、监测并开展环境质量现状评价，之后根据污染源强和环境现状资料进行各环境因素及各专题环境影响预测与评价。</w:t>
      </w:r>
    </w:p>
    <w:p w14:paraId="0A990F1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3</w:t>
      </w:r>
      <w:r>
        <w:rPr>
          <w:rFonts w:hint="default" w:ascii="Times New Roman" w:hAnsi="Times New Roman" w:cs="Times New Roman"/>
          <w:color w:val="auto"/>
        </w:rPr>
        <w:t>）环境影响评价文件编制阶段</w:t>
      </w:r>
    </w:p>
    <w:p w14:paraId="7F4009E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汇总、分析论证和预测评价阶段工作所得的各种资料、数据，根据项目的环境影响、法律法规和标准等的要求以及公众的意愿，提出减少环境污染和生态影响的环境管理措施和工程措施。从环境保护的角度确定项目建设的可行性，给出评价结论和提出进一步减缓环境影响的建议，并最终完成了《</w:t>
      </w:r>
      <w:r>
        <w:rPr>
          <w:rFonts w:hint="default" w:ascii="Times New Roman" w:hAnsi="Times New Roman" w:cs="Times New Roman"/>
          <w:color w:val="auto"/>
          <w:lang w:val="en-US" w:eastAsia="zh-CN"/>
        </w:rPr>
        <w:t>全智能数字化蛋鸡养殖科技园区</w:t>
      </w:r>
      <w:r>
        <w:rPr>
          <w:rFonts w:hint="default" w:ascii="Times New Roman" w:hAnsi="Times New Roman" w:cs="Times New Roman"/>
          <w:color w:val="auto"/>
        </w:rPr>
        <w:t>环境影响报告书》提交环境主管部门和专家审查。报告书经</w:t>
      </w:r>
      <w:r>
        <w:rPr>
          <w:rFonts w:hint="default" w:ascii="Times New Roman" w:hAnsi="Times New Roman" w:cs="Times New Roman"/>
          <w:color w:val="auto"/>
          <w:lang w:val="en-US" w:eastAsia="zh-CN"/>
        </w:rPr>
        <w:t>生态环境</w:t>
      </w:r>
      <w:r>
        <w:rPr>
          <w:rFonts w:hint="default" w:ascii="Times New Roman" w:hAnsi="Times New Roman" w:cs="Times New Roman"/>
          <w:color w:val="auto"/>
        </w:rPr>
        <w:t>行政主管部门批复后，环境影响评价工作即全部结束。环境影响评价工作具体流程，见工作程序图。</w:t>
      </w:r>
    </w:p>
    <w:p w14:paraId="7B2563C9">
      <w:pPr>
        <w:pStyle w:val="16"/>
        <w:bidi w:val="0"/>
        <w:rPr>
          <w:rFonts w:hint="default" w:ascii="Times New Roman" w:hAnsi="Times New Roman" w:cs="Times New Roman"/>
          <w:color w:val="auto"/>
          <w:lang w:eastAsia="zh-CN"/>
        </w:rPr>
      </w:pPr>
    </w:p>
    <w:p w14:paraId="06BE5F95">
      <w:pPr>
        <w:pStyle w:val="16"/>
        <w:bidi w:val="0"/>
        <w:rPr>
          <w:rFonts w:hint="default" w:ascii="Times New Roman" w:hAnsi="Times New Roman" w:cs="Times New Roman"/>
          <w:color w:val="auto"/>
          <w:lang w:eastAsia="zh-CN"/>
        </w:rPr>
      </w:pPr>
      <w:r>
        <w:rPr>
          <w:rFonts w:hint="default" w:ascii="Times New Roman" w:hAnsi="Times New Roman" w:cs="Times New Roman"/>
          <w:color w:val="auto"/>
        </w:rPr>
        <w:drawing>
          <wp:inline distT="0" distB="0" distL="114300" distR="114300">
            <wp:extent cx="5672455" cy="7583805"/>
            <wp:effectExtent l="0" t="0" r="4445" b="17145"/>
            <wp:docPr id="5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2"/>
                    <pic:cNvPicPr>
                      <a:picLocks noChangeAspect="1"/>
                    </pic:cNvPicPr>
                  </pic:nvPicPr>
                  <pic:blipFill>
                    <a:blip r:embed="rId15"/>
                    <a:srcRect t="-372"/>
                    <a:stretch>
                      <a:fillRect/>
                    </a:stretch>
                  </pic:blipFill>
                  <pic:spPr>
                    <a:xfrm>
                      <a:off x="0" y="0"/>
                      <a:ext cx="5672455" cy="7583805"/>
                    </a:xfrm>
                    <a:prstGeom prst="rect">
                      <a:avLst/>
                    </a:prstGeom>
                    <a:noFill/>
                    <a:ln>
                      <a:noFill/>
                    </a:ln>
                  </pic:spPr>
                </pic:pic>
              </a:graphicData>
            </a:graphic>
          </wp:inline>
        </w:drawing>
      </w:r>
    </w:p>
    <w:p w14:paraId="2AE446ED">
      <w:pPr>
        <w:pStyle w:val="16"/>
        <w:bidi w:val="0"/>
        <w:jc w:val="center"/>
        <w:rPr>
          <w:rFonts w:hint="default" w:ascii="Times New Roman" w:hAnsi="Times New Roman" w:cs="Times New Roman"/>
          <w:color w:val="auto"/>
        </w:rPr>
      </w:pPr>
      <w:r>
        <w:rPr>
          <w:rFonts w:hint="default" w:ascii="Times New Roman" w:hAnsi="Times New Roman" w:cs="Times New Roman"/>
          <w:color w:val="auto"/>
        </w:rPr>
        <w:t>图</w:t>
      </w:r>
      <w:r>
        <w:rPr>
          <w:rFonts w:hint="default" w:ascii="Times New Roman" w:hAnsi="Times New Roman" w:cs="Times New Roman"/>
          <w:color w:val="auto"/>
          <w:lang w:eastAsia="zh-CN"/>
        </w:rPr>
        <w:t>1-1</w:t>
      </w:r>
      <w:r>
        <w:rPr>
          <w:rFonts w:hint="default" w:ascii="Times New Roman" w:hAnsi="Times New Roman" w:cs="Times New Roman"/>
          <w:color w:val="auto"/>
        </w:rPr>
        <w:t>环境影响评价工作程序图</w:t>
      </w:r>
    </w:p>
    <w:p w14:paraId="0076AE18">
      <w:pPr>
        <w:pStyle w:val="3"/>
        <w:bidi w:val="0"/>
        <w:rPr>
          <w:rFonts w:hint="default" w:ascii="Times New Roman" w:hAnsi="Times New Roman" w:cs="Times New Roman"/>
          <w:color w:val="auto"/>
        </w:rPr>
      </w:pPr>
      <w:bookmarkStart w:id="6" w:name="_Toc7344"/>
      <w:bookmarkStart w:id="7" w:name="_Toc30280"/>
      <w:r>
        <w:rPr>
          <w:rFonts w:hint="default" w:ascii="Times New Roman" w:hAnsi="Times New Roman" w:cs="Times New Roman"/>
          <w:color w:val="auto"/>
        </w:rPr>
        <w:t>关注的主要环境问题</w:t>
      </w:r>
      <w:bookmarkEnd w:id="6"/>
      <w:bookmarkEnd w:id="7"/>
    </w:p>
    <w:p w14:paraId="5A37A3A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作为畜禽养殖项目，本次评价主要关注项目运营期主要污染物的产生、控制、处理措施及其环境影响等：</w:t>
      </w:r>
    </w:p>
    <w:p w14:paraId="7727636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（1）各类污染物的产生量、排放量及排放去向；</w:t>
      </w:r>
    </w:p>
    <w:p w14:paraId="583ADBD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（2）恶臭对大气环境的影响分析；</w:t>
      </w:r>
    </w:p>
    <w:p w14:paraId="15FF1F9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（3）粪污产生量及其无害化处理措施的有效性和可行性分析；</w:t>
      </w:r>
    </w:p>
    <w:p w14:paraId="236E815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（4）环境风险分析及其应急预案以及畜禽防疫措施；</w:t>
      </w:r>
    </w:p>
    <w:p w14:paraId="06BBBA0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（5）本项目与生态环境保护规划、畜牧业发展规划等相符性分析，与地方污染物管理要求的协调性分析。</w:t>
      </w:r>
    </w:p>
    <w:p w14:paraId="0B2789CD">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项目的生产工艺以及污染特征，通过对周围地区环境现状和各环境要素的分析，确定本次环评主要关注的环境问题是项目运营期产生的恶臭、废水和固体废物等对周边环境的影响，明确环境影响的程度和范围及污染防治措施是否可行、粪污无害化处理与利用有效性等。</w:t>
      </w:r>
    </w:p>
    <w:p w14:paraId="5EDC7C3E">
      <w:pPr>
        <w:pStyle w:val="3"/>
        <w:bidi w:val="0"/>
        <w:rPr>
          <w:rFonts w:hint="default" w:ascii="Times New Roman" w:hAnsi="Times New Roman" w:cs="Times New Roman"/>
          <w:color w:val="auto"/>
          <w:lang w:val="en-US"/>
        </w:rPr>
      </w:pPr>
      <w:bookmarkStart w:id="8" w:name="_Toc541"/>
      <w:bookmarkStart w:id="9" w:name="_Toc6882"/>
      <w:r>
        <w:rPr>
          <w:rFonts w:hint="default" w:ascii="Times New Roman" w:hAnsi="Times New Roman" w:cs="Times New Roman"/>
          <w:color w:val="auto"/>
        </w:rPr>
        <w:t>分析判定相关情况</w:t>
      </w:r>
      <w:bookmarkEnd w:id="8"/>
      <w:bookmarkEnd w:id="9"/>
    </w:p>
    <w:p w14:paraId="621C2034">
      <w:pPr>
        <w:pStyle w:val="4"/>
        <w:bidi w:val="0"/>
        <w:rPr>
          <w:rFonts w:hint="default" w:ascii="Times New Roman" w:hAnsi="Times New Roman" w:cs="Times New Roman"/>
          <w:color w:val="FF0000"/>
          <w:lang w:val="en-US"/>
        </w:rPr>
      </w:pPr>
      <w:r>
        <w:rPr>
          <w:rFonts w:hint="default" w:ascii="Times New Roman" w:hAnsi="Times New Roman" w:cs="Times New Roman"/>
          <w:color w:val="FF0000"/>
          <w:lang w:val="en-US"/>
        </w:rPr>
        <w:t>是否在禁养区的判定</w:t>
      </w:r>
    </w:p>
    <w:p w14:paraId="33040038">
      <w:pPr>
        <w:pStyle w:val="16"/>
        <w:keepNext w:val="0"/>
        <w:keepLines w:val="0"/>
        <w:pageBreakBefore w:val="0"/>
        <w:widowControl w:val="0"/>
        <w:kinsoku/>
        <w:wordWrap/>
        <w:overflowPunct/>
        <w:topLinePunct w:val="0"/>
        <w:autoSpaceDE w:val="0"/>
        <w:autoSpaceDN w:val="0"/>
        <w:bidi w:val="0"/>
        <w:adjustRightInd/>
        <w:snapToGrid/>
        <w:spacing w:before="5"/>
        <w:ind w:left="0" w:leftChars="0" w:right="-11" w:rightChars="0" w:firstLine="480" w:firstLineChars="200"/>
        <w:textAlignment w:val="auto"/>
        <w:rPr>
          <w:rFonts w:hint="default" w:ascii="Times New Roman" w:hAnsi="Times New Roman" w:cs="Times New Roman"/>
          <w:color w:val="FF0000"/>
          <w:highlight w:val="none"/>
          <w:lang w:val="en-US"/>
        </w:rPr>
      </w:pPr>
      <w:r>
        <w:rPr>
          <w:rFonts w:hint="default" w:ascii="Times New Roman" w:hAnsi="Times New Roman" w:cs="Times New Roman"/>
          <w:color w:val="FF0000"/>
          <w:highlight w:val="none"/>
          <w:lang w:val="en-US"/>
        </w:rPr>
        <w:t>根据《兵团第</w:t>
      </w:r>
      <w:r>
        <w:rPr>
          <w:rFonts w:hint="default" w:ascii="Times New Roman" w:hAnsi="Times New Roman" w:cs="Times New Roman"/>
          <w:color w:val="FF0000"/>
          <w:highlight w:val="none"/>
          <w:lang w:val="en-US" w:eastAsia="zh-CN"/>
        </w:rPr>
        <w:t>十</w:t>
      </w:r>
      <w:r>
        <w:rPr>
          <w:rFonts w:hint="default" w:ascii="Times New Roman" w:hAnsi="Times New Roman" w:cs="Times New Roman"/>
          <w:color w:val="FF0000"/>
          <w:highlight w:val="none"/>
          <w:lang w:val="en-US"/>
        </w:rPr>
        <w:t>师</w:t>
      </w:r>
      <w:r>
        <w:rPr>
          <w:rFonts w:hint="default" w:ascii="Times New Roman" w:hAnsi="Times New Roman" w:cs="Times New Roman"/>
          <w:color w:val="FF0000"/>
          <w:highlight w:val="none"/>
          <w:lang w:val="en-US" w:eastAsia="zh-CN"/>
        </w:rPr>
        <w:t>北屯</w:t>
      </w:r>
      <w:r>
        <w:rPr>
          <w:rFonts w:hint="default" w:ascii="Times New Roman" w:hAnsi="Times New Roman" w:cs="Times New Roman"/>
          <w:color w:val="FF0000"/>
          <w:highlight w:val="none"/>
          <w:lang w:val="en-US"/>
        </w:rPr>
        <w:t>市畜禽养殖禁养区划定工作实施方案》，第十师与新疆维吾尔自治区北屯市，实行“师市合一”管理模式，本次划定范围包括第十师北屯市全域范围。根据《中华人民共和国畜牧法》《畜禽规模养殖污染防治条例》等法律法规要求</w:t>
      </w:r>
      <w:r>
        <w:rPr>
          <w:rFonts w:hint="default" w:ascii="Times New Roman" w:hAnsi="Times New Roman" w:cs="Times New Roman"/>
          <w:color w:val="FF0000"/>
          <w:highlight w:val="none"/>
          <w:lang w:val="en-US" w:eastAsia="zh-CN"/>
        </w:rPr>
        <w:t>：</w:t>
      </w:r>
      <w:r>
        <w:rPr>
          <w:rFonts w:hint="default" w:ascii="Times New Roman" w:hAnsi="Times New Roman" w:cs="Times New Roman"/>
          <w:color w:val="FF0000"/>
          <w:highlight w:val="none"/>
          <w:lang w:val="en-US"/>
        </w:rPr>
        <w:t>将师市畜禽养殖禁养区划为四类，分别为</w:t>
      </w:r>
      <w:r>
        <w:rPr>
          <w:rFonts w:hint="default" w:ascii="Times New Roman" w:hAnsi="Times New Roman" w:cs="Times New Roman"/>
          <w:color w:val="FF0000"/>
          <w:highlight w:val="none"/>
          <w:lang w:val="en-US" w:eastAsia="zh-CN"/>
        </w:rPr>
        <w:t>：</w:t>
      </w:r>
      <w:r>
        <w:rPr>
          <w:rFonts w:hint="default" w:ascii="Times New Roman" w:hAnsi="Times New Roman" w:cs="Times New Roman"/>
          <w:color w:val="FF0000"/>
          <w:highlight w:val="none"/>
          <w:lang w:val="en-US"/>
        </w:rPr>
        <w:t>第十师北屯市主城区和各团场</w:t>
      </w:r>
      <w:r>
        <w:rPr>
          <w:rFonts w:hint="eastAsia" w:ascii="Times New Roman" w:hAnsi="Times New Roman" w:cs="Times New Roman"/>
          <w:color w:val="FF0000"/>
          <w:highlight w:val="none"/>
          <w:lang w:val="en-US" w:eastAsia="zh-CN"/>
        </w:rPr>
        <w:t>（</w:t>
      </w:r>
      <w:r>
        <w:rPr>
          <w:rFonts w:hint="default" w:ascii="Times New Roman" w:hAnsi="Times New Roman" w:cs="Times New Roman"/>
          <w:color w:val="FF0000"/>
          <w:highlight w:val="none"/>
          <w:lang w:val="en-US"/>
        </w:rPr>
        <w:t>镇)团部所在地，以及其他城镇居民区、文化教育科学研究区等人口集中区域</w:t>
      </w:r>
      <w:r>
        <w:rPr>
          <w:rFonts w:hint="default" w:ascii="Times New Roman" w:hAnsi="Times New Roman" w:cs="Times New Roman"/>
          <w:color w:val="FF0000"/>
          <w:highlight w:val="none"/>
          <w:lang w:val="en-US" w:eastAsia="zh-CN"/>
        </w:rPr>
        <w:t>；</w:t>
      </w:r>
      <w:r>
        <w:rPr>
          <w:rFonts w:hint="default" w:ascii="Times New Roman" w:hAnsi="Times New Roman" w:cs="Times New Roman"/>
          <w:color w:val="FF0000"/>
          <w:highlight w:val="none"/>
          <w:lang w:val="en-US"/>
        </w:rPr>
        <w:t>集中式饮用水水源一级保护区、二级保护区范围内的区域</w:t>
      </w:r>
      <w:r>
        <w:rPr>
          <w:rFonts w:hint="default" w:ascii="Times New Roman" w:hAnsi="Times New Roman" w:cs="Times New Roman"/>
          <w:color w:val="FF0000"/>
          <w:highlight w:val="none"/>
          <w:lang w:val="en-US" w:eastAsia="zh-CN"/>
        </w:rPr>
        <w:t>；</w:t>
      </w:r>
      <w:r>
        <w:rPr>
          <w:rFonts w:hint="default" w:ascii="Times New Roman" w:hAnsi="Times New Roman" w:cs="Times New Roman"/>
          <w:color w:val="FF0000"/>
          <w:highlight w:val="none"/>
          <w:lang w:val="en-US"/>
        </w:rPr>
        <w:t>自然保护区范围的区域</w:t>
      </w:r>
      <w:r>
        <w:rPr>
          <w:rFonts w:hint="default" w:ascii="Times New Roman" w:hAnsi="Times New Roman" w:cs="Times New Roman"/>
          <w:color w:val="FF0000"/>
          <w:highlight w:val="none"/>
          <w:lang w:val="en-US" w:eastAsia="zh-CN"/>
        </w:rPr>
        <w:t>；</w:t>
      </w:r>
      <w:r>
        <w:rPr>
          <w:rFonts w:hint="default" w:ascii="Times New Roman" w:hAnsi="Times New Roman" w:cs="Times New Roman"/>
          <w:color w:val="FF0000"/>
          <w:highlight w:val="none"/>
          <w:lang w:val="en-US"/>
        </w:rPr>
        <w:t>法律法规规定的其他确需施行特殊保护的区域。</w:t>
      </w:r>
    </w:p>
    <w:p w14:paraId="02ACA088">
      <w:pPr>
        <w:pStyle w:val="16"/>
        <w:keepNext w:val="0"/>
        <w:keepLines w:val="0"/>
        <w:pageBreakBefore w:val="0"/>
        <w:widowControl w:val="0"/>
        <w:kinsoku/>
        <w:wordWrap/>
        <w:overflowPunct/>
        <w:topLinePunct w:val="0"/>
        <w:autoSpaceDE w:val="0"/>
        <w:autoSpaceDN w:val="0"/>
        <w:bidi w:val="0"/>
        <w:adjustRightInd/>
        <w:snapToGrid/>
        <w:spacing w:before="5" w:line="364" w:lineRule="auto"/>
        <w:ind w:left="0" w:leftChars="0" w:right="-11" w:rightChars="0" w:firstLine="480" w:firstLineChars="200"/>
        <w:textAlignment w:val="auto"/>
        <w:rPr>
          <w:rFonts w:hint="default" w:ascii="Times New Roman" w:hAnsi="Times New Roman" w:cs="Times New Roman"/>
          <w:color w:val="FF0000"/>
          <w:lang w:val="en-US"/>
        </w:rPr>
      </w:pPr>
      <w:r>
        <w:rPr>
          <w:rFonts w:hint="default" w:ascii="Times New Roman" w:hAnsi="Times New Roman" w:cs="Times New Roman"/>
          <w:color w:val="FF0000"/>
          <w:highlight w:val="none"/>
          <w:lang w:val="en-US"/>
        </w:rPr>
        <w:t>根据该方案，本项目</w:t>
      </w:r>
      <w:r>
        <w:rPr>
          <w:rFonts w:hint="default" w:ascii="Times New Roman" w:hAnsi="Times New Roman" w:cs="Times New Roman"/>
          <w:color w:val="FF0000"/>
          <w:highlight w:val="none"/>
          <w:lang w:val="en-US" w:eastAsia="zh-CN"/>
        </w:rPr>
        <w:t>养殖场</w:t>
      </w:r>
      <w:r>
        <w:rPr>
          <w:rFonts w:hint="default" w:ascii="Times New Roman" w:hAnsi="Times New Roman" w:cs="Times New Roman"/>
          <w:color w:val="FF0000"/>
          <w:highlight w:val="none"/>
          <w:lang w:val="en-US"/>
        </w:rPr>
        <w:t>位于</w:t>
      </w:r>
      <w:r>
        <w:rPr>
          <w:rFonts w:hint="default" w:ascii="Times New Roman" w:hAnsi="Times New Roman" w:cs="Times New Roman"/>
          <w:color w:val="FF0000"/>
          <w:lang w:val="en-US" w:eastAsia="zh-CN"/>
        </w:rPr>
        <w:t>新疆北屯市188团9连</w:t>
      </w:r>
      <w:r>
        <w:rPr>
          <w:rFonts w:hint="default" w:ascii="Times New Roman" w:hAnsi="Times New Roman" w:cs="Times New Roman"/>
          <w:color w:val="FF0000"/>
          <w:highlight w:val="none"/>
          <w:lang w:val="en-US"/>
        </w:rPr>
        <w:t>，</w:t>
      </w:r>
      <w:r>
        <w:rPr>
          <w:rFonts w:hint="default" w:ascii="Times New Roman" w:hAnsi="Times New Roman" w:eastAsia="宋体" w:cs="Times New Roman"/>
          <w:color w:val="FF0000"/>
          <w:sz w:val="24"/>
          <w:szCs w:val="24"/>
        </w:rPr>
        <w:t>场区周边以耕地、荒地</w:t>
      </w:r>
      <w:r>
        <w:rPr>
          <w:rFonts w:hint="eastAsia" w:cs="Times New Roman"/>
          <w:color w:val="FF0000"/>
          <w:sz w:val="24"/>
          <w:szCs w:val="24"/>
          <w:lang w:eastAsia="zh-CN"/>
        </w:rPr>
        <w:t>等</w:t>
      </w:r>
      <w:r>
        <w:rPr>
          <w:rFonts w:hint="default" w:ascii="Times New Roman" w:hAnsi="Times New Roman" w:eastAsia="宋体" w:cs="Times New Roman"/>
          <w:color w:val="FF0000"/>
          <w:sz w:val="24"/>
          <w:szCs w:val="24"/>
        </w:rPr>
        <w:t>为主。本项目</w:t>
      </w:r>
      <w:r>
        <w:rPr>
          <w:rFonts w:hint="default" w:ascii="Times New Roman" w:hAnsi="Times New Roman" w:eastAsia="宋体" w:cs="Times New Roman"/>
          <w:color w:val="FF0000"/>
          <w:sz w:val="24"/>
          <w:szCs w:val="24"/>
          <w:lang w:val="en-US" w:eastAsia="zh-CN"/>
        </w:rPr>
        <w:t>南</w:t>
      </w:r>
      <w:r>
        <w:rPr>
          <w:rFonts w:hint="default" w:ascii="Times New Roman" w:hAnsi="Times New Roman" w:eastAsia="宋体" w:cs="Times New Roman"/>
          <w:color w:val="FF0000"/>
          <w:sz w:val="24"/>
          <w:szCs w:val="24"/>
        </w:rPr>
        <w:t>侧距离最近的居民点</w:t>
      </w:r>
      <w:r>
        <w:rPr>
          <w:rFonts w:hint="default" w:ascii="Times New Roman" w:hAnsi="Times New Roman" w:cs="Times New Roman"/>
          <w:color w:val="FF0000"/>
          <w:lang w:val="en-US" w:eastAsia="zh-CN"/>
        </w:rPr>
        <w:t>188团</w:t>
      </w:r>
      <w:r>
        <w:rPr>
          <w:rFonts w:hint="default" w:ascii="Times New Roman" w:hAnsi="Times New Roman" w:eastAsia="宋体" w:cs="Times New Roman"/>
          <w:color w:val="FF0000"/>
          <w:sz w:val="24"/>
          <w:szCs w:val="24"/>
          <w:lang w:val="en-US" w:eastAsia="zh-CN"/>
        </w:rPr>
        <w:t>9</w:t>
      </w:r>
      <w:r>
        <w:rPr>
          <w:rFonts w:hint="default" w:ascii="Times New Roman" w:hAnsi="Times New Roman" w:eastAsia="宋体" w:cs="Times New Roman"/>
          <w:color w:val="FF0000"/>
          <w:sz w:val="24"/>
          <w:szCs w:val="24"/>
        </w:rPr>
        <w:t>连</w:t>
      </w:r>
      <w:r>
        <w:rPr>
          <w:rFonts w:hint="default" w:ascii="Times New Roman" w:hAnsi="Times New Roman" w:eastAsia="宋体" w:cs="Times New Roman"/>
          <w:color w:val="FF0000"/>
          <w:sz w:val="24"/>
          <w:szCs w:val="24"/>
          <w:lang w:val="en-US" w:eastAsia="zh-CN"/>
        </w:rPr>
        <w:t>0.644</w:t>
      </w:r>
      <w:r>
        <w:rPr>
          <w:rFonts w:hint="default" w:ascii="Times New Roman" w:hAnsi="Times New Roman" w:eastAsia="宋体" w:cs="Times New Roman"/>
          <w:color w:val="FF0000"/>
          <w:sz w:val="24"/>
          <w:szCs w:val="24"/>
        </w:rPr>
        <w:t>km，占地范围内不涉及自然保护区、风景名胜区等需要特殊保护</w:t>
      </w:r>
      <w:r>
        <w:rPr>
          <w:rFonts w:hint="default" w:ascii="Times New Roman" w:hAnsi="Times New Roman" w:eastAsia="宋体" w:cs="Times New Roman"/>
          <w:color w:val="FF0000"/>
          <w:sz w:val="24"/>
          <w:szCs w:val="24"/>
          <w:lang w:eastAsia="zh-CN"/>
        </w:rPr>
        <w:t>的</w:t>
      </w:r>
      <w:r>
        <w:rPr>
          <w:rFonts w:hint="default" w:ascii="Times New Roman" w:hAnsi="Times New Roman" w:eastAsia="宋体" w:cs="Times New Roman"/>
          <w:color w:val="FF0000"/>
          <w:sz w:val="24"/>
          <w:szCs w:val="24"/>
        </w:rPr>
        <w:t>环境敏感区域。对照</w:t>
      </w:r>
      <w:r>
        <w:rPr>
          <w:rFonts w:hint="default" w:ascii="Times New Roman" w:hAnsi="Times New Roman" w:eastAsia="宋体" w:cs="Times New Roman"/>
          <w:color w:val="FF0000"/>
          <w:sz w:val="24"/>
          <w:szCs w:val="24"/>
          <w:lang w:val="en-US" w:eastAsia="zh-CN"/>
        </w:rPr>
        <w:t>十</w:t>
      </w:r>
      <w:r>
        <w:rPr>
          <w:rFonts w:hint="default" w:ascii="Times New Roman" w:hAnsi="Times New Roman" w:eastAsia="宋体" w:cs="Times New Roman"/>
          <w:color w:val="FF0000"/>
          <w:sz w:val="24"/>
          <w:szCs w:val="24"/>
        </w:rPr>
        <w:t>师禁养区的要求，建设项目选址不属于禁限养区范围。</w:t>
      </w:r>
    </w:p>
    <w:p w14:paraId="34459055">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区域环境敏感性分析</w:t>
      </w:r>
    </w:p>
    <w:p w14:paraId="60D0292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本项目位于</w:t>
      </w:r>
      <w:r>
        <w:rPr>
          <w:rFonts w:hint="default" w:ascii="Times New Roman" w:hAnsi="Times New Roman" w:cs="Times New Roman"/>
          <w:color w:val="auto"/>
          <w:lang w:eastAsia="zh-CN"/>
        </w:rPr>
        <w:t>新疆生产建设兵团第十师188团，按照</w:t>
      </w:r>
      <w:r>
        <w:rPr>
          <w:rFonts w:hint="default" w:ascii="Times New Roman" w:hAnsi="Times New Roman" w:cs="Times New Roman"/>
          <w:color w:val="auto"/>
        </w:rPr>
        <w:t>《建设项目环境影响评价分类管理名录》</w:t>
      </w:r>
      <w:r>
        <w:rPr>
          <w:rFonts w:hint="default" w:ascii="Times New Roman" w:hAnsi="Times New Roman" w:cs="Times New Roman"/>
          <w:color w:val="auto"/>
          <w:lang w:eastAsia="zh-CN"/>
        </w:rPr>
        <w:t>（</w:t>
      </w:r>
      <w:r>
        <w:rPr>
          <w:rFonts w:hint="default" w:ascii="Times New Roman" w:hAnsi="Times New Roman" w:cs="Times New Roman"/>
          <w:color w:val="auto"/>
        </w:rPr>
        <w:t>生态环境部令第16号</w:t>
      </w:r>
      <w:r>
        <w:rPr>
          <w:rFonts w:hint="default" w:ascii="Times New Roman" w:hAnsi="Times New Roman" w:cs="Times New Roman"/>
          <w:color w:val="auto"/>
          <w:lang w:eastAsia="zh-CN"/>
        </w:rPr>
        <w:t>）</w:t>
      </w:r>
      <w:r>
        <w:rPr>
          <w:rFonts w:hint="default" w:ascii="Times New Roman" w:hAnsi="Times New Roman" w:cs="Times New Roman"/>
          <w:color w:val="auto"/>
        </w:rPr>
        <w:t>中关于环境敏感因素的界定原则，经调查项目所在区不属于特殊保护地区、社会关注区和特殊地貌景观区，也无重点保护生态品种及濒危生物物种，文物古迹等，区域环境敏感因素较少。</w:t>
      </w:r>
    </w:p>
    <w:p w14:paraId="5E5DAB2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本项目位于</w:t>
      </w:r>
      <w:r>
        <w:rPr>
          <w:rFonts w:hint="default" w:ascii="Times New Roman" w:hAnsi="Times New Roman" w:cs="Times New Roman"/>
          <w:color w:val="auto"/>
          <w:lang w:val="en-US" w:eastAsia="zh-CN"/>
        </w:rPr>
        <w:t>新疆生产建设兵团第十师188团</w:t>
      </w:r>
      <w:r>
        <w:rPr>
          <w:rFonts w:hint="default" w:ascii="Times New Roman" w:hAnsi="Times New Roman" w:cs="Times New Roman"/>
          <w:color w:val="auto"/>
        </w:rPr>
        <w:t>规划的设施农用地范围内，不占用农田。项目场址离城镇居民区、文化教育科学研究区等人口集中区域较远，项目选址用地合理。</w:t>
      </w:r>
    </w:p>
    <w:p w14:paraId="46C65FC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根据评价区环境质量现状监测与评价结果，项目评价区内环境空气、水环境、声环境质量和土壤环境现状良好。项目运行过程产生的废气经处理后达标排放，</w:t>
      </w:r>
      <w:r>
        <w:rPr>
          <w:rFonts w:hint="default" w:ascii="Times New Roman" w:hAnsi="Times New Roman" w:cs="Times New Roman"/>
          <w:bCs/>
          <w:color w:val="auto"/>
          <w:szCs w:val="21"/>
          <w:highlight w:val="none"/>
        </w:rPr>
        <w:t>粪便</w:t>
      </w:r>
      <w:r>
        <w:rPr>
          <w:rFonts w:hint="default" w:ascii="Times New Roman" w:hAnsi="Times New Roman" w:cs="Times New Roman"/>
          <w:bCs/>
          <w:color w:val="auto"/>
          <w:szCs w:val="21"/>
          <w:highlight w:val="none"/>
          <w:lang w:val="en-US" w:eastAsia="zh-CN"/>
        </w:rPr>
        <w:t>暂存于鸡粪发酵处理场后发酵后外售农户综合利用</w:t>
      </w:r>
      <w:r>
        <w:rPr>
          <w:rFonts w:hint="default" w:ascii="Times New Roman" w:hAnsi="Times New Roman" w:cs="Times New Roman"/>
          <w:color w:val="auto"/>
        </w:rPr>
        <w:t>，固废能综合利用和安全合理处置，环保设施正常运行的情况下对周边环境质量影响较小，区域环境仍可保持现有功能水平。</w:t>
      </w:r>
    </w:p>
    <w:p w14:paraId="5007D893">
      <w:pPr>
        <w:pStyle w:val="4"/>
        <w:bidi w:val="0"/>
        <w:rPr>
          <w:rFonts w:hint="default" w:ascii="Times New Roman" w:hAnsi="Times New Roman" w:cs="Times New Roman"/>
        </w:rPr>
      </w:pPr>
      <w:r>
        <w:rPr>
          <w:rFonts w:hint="default" w:ascii="Times New Roman" w:hAnsi="Times New Roman" w:cs="Times New Roman"/>
        </w:rPr>
        <w:t>选址合理性分析</w:t>
      </w:r>
    </w:p>
    <w:p w14:paraId="7E26470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rPr>
        <w:t>本项目拟选址于</w:t>
      </w:r>
      <w:r>
        <w:rPr>
          <w:rFonts w:hint="default" w:ascii="Times New Roman" w:hAnsi="Times New Roman" w:cs="Times New Roman"/>
          <w:color w:val="auto"/>
          <w:lang w:val="en-US" w:eastAsia="zh-CN"/>
        </w:rPr>
        <w:t>新疆生产建设兵团第十师188团</w:t>
      </w:r>
      <w:r>
        <w:rPr>
          <w:rFonts w:hint="default" w:ascii="Times New Roman" w:hAnsi="Times New Roman" w:cs="Times New Roman"/>
          <w:color w:val="auto"/>
        </w:rPr>
        <w:t>规划的设施农用地范围内，不占用农田。项目场址离城镇居民区、文化教育科学研究区等人口集中区域较远</w:t>
      </w:r>
      <w:r>
        <w:rPr>
          <w:rFonts w:hint="default" w:ascii="Times New Roman" w:hAnsi="Times New Roman" w:eastAsia="宋体" w:cs="Times New Roman"/>
          <w:color w:val="auto"/>
        </w:rPr>
        <w:t>，项目用地不涉及畜 禽养殖禁养区范围、不占用永久基本农田、不涉及集中式饮用水水源保护区和生态保护红线，不占用生态公益林地，符合“三线一单”相关要求。根据项目环境影 响分析，在做好各项污染防治措施下，本项目对周围水环境、大气环境、声环境、生态环境不会造成明显影响，</w:t>
      </w:r>
      <w:r>
        <w:rPr>
          <w:rFonts w:hint="default" w:ascii="Times New Roman" w:hAnsi="Times New Roman" w:eastAsia="宋体" w:cs="Times New Roman"/>
          <w:color w:val="auto"/>
          <w:lang w:val="en-US" w:eastAsia="zh-CN"/>
        </w:rPr>
        <w:t>符合</w:t>
      </w:r>
      <w:r>
        <w:rPr>
          <w:rFonts w:hint="default" w:ascii="Times New Roman" w:hAnsi="Times New Roman" w:cs="Times New Roman"/>
          <w:vertAlign w:val="baseline"/>
        </w:rPr>
        <w:t>《畜禽养殖业污染治理工程技术规范》（HJ 497－2009）、《畜禽养殖业污染防治技术规范》（HJ/T 81—2001）、《兵团第十师北屯市畜禽养殖禁养区划定工作实施方案》</w:t>
      </w:r>
      <w:r>
        <w:rPr>
          <w:rFonts w:hint="default" w:ascii="Times New Roman" w:hAnsi="Times New Roman" w:cs="Times New Roman"/>
          <w:vertAlign w:val="baseline"/>
          <w:lang w:val="en-US" w:eastAsia="zh-CN"/>
        </w:rPr>
        <w:t>的选址要求，</w:t>
      </w:r>
      <w:r>
        <w:rPr>
          <w:rFonts w:hint="default" w:ascii="Times New Roman" w:hAnsi="Times New Roman" w:eastAsia="宋体" w:cs="Times New Roman"/>
          <w:color w:val="auto"/>
        </w:rPr>
        <w:t>项目选址基本合理、可行。</w:t>
      </w:r>
    </w:p>
    <w:p w14:paraId="370F8CBA">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国家及地方产业政策符合性分析</w:t>
      </w:r>
    </w:p>
    <w:p w14:paraId="33FEA14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项目与国家及地方有关产业政策的符合性分析见表</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-1。</w:t>
      </w:r>
    </w:p>
    <w:p w14:paraId="6CB7AAC6">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-1</w:t>
      </w:r>
      <w:r>
        <w:rPr>
          <w:rFonts w:hint="default" w:ascii="Times New Roman" w:hAnsi="Times New Roman" w:cs="Times New Roman"/>
          <w:color w:val="auto"/>
        </w:rPr>
        <w:tab/>
      </w:r>
      <w:r>
        <w:rPr>
          <w:rFonts w:hint="default" w:ascii="Times New Roman" w:hAnsi="Times New Roman" w:cs="Times New Roman"/>
          <w:color w:val="auto"/>
        </w:rPr>
        <w:t>相关产业政策符合性分析一览表</w:t>
      </w:r>
    </w:p>
    <w:tbl>
      <w:tblPr>
        <w:tblStyle w:val="33"/>
        <w:tblW w:w="8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2"/>
        <w:gridCol w:w="4046"/>
        <w:gridCol w:w="2392"/>
      </w:tblGrid>
      <w:tr w14:paraId="0C8D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2232" w:type="dxa"/>
            <w:noWrap w:val="0"/>
            <w:vAlign w:val="center"/>
          </w:tcPr>
          <w:p w14:paraId="0E342A3A">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产业政策</w:t>
            </w:r>
          </w:p>
        </w:tc>
        <w:tc>
          <w:tcPr>
            <w:tcW w:w="4046" w:type="dxa"/>
            <w:noWrap w:val="0"/>
            <w:vAlign w:val="center"/>
          </w:tcPr>
          <w:p w14:paraId="19A59622">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相关条款及规定</w:t>
            </w:r>
          </w:p>
        </w:tc>
        <w:tc>
          <w:tcPr>
            <w:tcW w:w="2392" w:type="dxa"/>
            <w:noWrap w:val="0"/>
            <w:vAlign w:val="center"/>
          </w:tcPr>
          <w:p w14:paraId="3A536539">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符合性分析</w:t>
            </w:r>
          </w:p>
        </w:tc>
      </w:tr>
      <w:tr w14:paraId="5671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32" w:type="dxa"/>
            <w:noWrap w:val="0"/>
            <w:vAlign w:val="center"/>
          </w:tcPr>
          <w:p w14:paraId="185CC35A">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根据《产业结构调整指导目录（20</w:t>
            </w:r>
            <w:r>
              <w:rPr>
                <w:rFonts w:hint="default" w:ascii="Times New Roman" w:hAnsi="Times New Roman" w:cs="Times New Roman"/>
                <w:color w:val="auto"/>
                <w:sz w:val="21"/>
                <w:highlight w:val="none"/>
                <w:lang w:val="en-US" w:eastAsia="zh-CN"/>
              </w:rPr>
              <w:t>24</w:t>
            </w:r>
            <w:r>
              <w:rPr>
                <w:rFonts w:hint="default" w:ascii="Times New Roman" w:hAnsi="Times New Roman" w:cs="Times New Roman"/>
                <w:color w:val="auto"/>
                <w:sz w:val="21"/>
                <w:highlight w:val="none"/>
              </w:rPr>
              <w:t>年本）的决定》</w:t>
            </w:r>
          </w:p>
        </w:tc>
        <w:tc>
          <w:tcPr>
            <w:tcW w:w="4046" w:type="dxa"/>
            <w:noWrap w:val="0"/>
            <w:vAlign w:val="center"/>
          </w:tcPr>
          <w:p w14:paraId="706836FC">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第一类“鼓励类”，第一条“农林业”中的“4畜禽标准化规模养殖技术开发与应用”</w:t>
            </w:r>
            <w:r>
              <w:rPr>
                <w:rFonts w:hint="default" w:ascii="Times New Roman" w:hAnsi="Times New Roman" w:cs="Times New Roman"/>
                <w:color w:val="auto"/>
                <w:highlight w:val="none"/>
              </w:rPr>
              <w:t>。</w:t>
            </w:r>
          </w:p>
        </w:tc>
        <w:tc>
          <w:tcPr>
            <w:tcW w:w="2392" w:type="dxa"/>
            <w:noWrap w:val="0"/>
            <w:vAlign w:val="center"/>
          </w:tcPr>
          <w:p w14:paraId="56479234">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本项目为标准化规模</w:t>
            </w:r>
            <w:r>
              <w:rPr>
                <w:rFonts w:hint="default" w:ascii="Times New Roman" w:hAnsi="Times New Roman" w:cs="Times New Roman"/>
                <w:color w:val="auto"/>
                <w:sz w:val="21"/>
                <w:highlight w:val="none"/>
                <w:lang w:val="en-US" w:eastAsia="zh-CN"/>
              </w:rPr>
              <w:t>蛋鸡</w:t>
            </w:r>
            <w:r>
              <w:rPr>
                <w:rFonts w:hint="default" w:ascii="Times New Roman" w:hAnsi="Times New Roman" w:cs="Times New Roman"/>
                <w:color w:val="auto"/>
                <w:sz w:val="21"/>
                <w:highlight w:val="none"/>
              </w:rPr>
              <w:t>养殖项目，属于鼓励类，符合国家产业政策。</w:t>
            </w:r>
          </w:p>
        </w:tc>
      </w:tr>
      <w:tr w14:paraId="08F3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2232" w:type="dxa"/>
            <w:noWrap w:val="0"/>
            <w:vAlign w:val="center"/>
          </w:tcPr>
          <w:p w14:paraId="3C2C5264">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《国务院关于促进畜牧业持续健康发展的意见》（国发</w:t>
            </w:r>
            <w:r>
              <w:rPr>
                <w:rFonts w:hint="default" w:ascii="Times New Roman" w:hAnsi="Times New Roman" w:cs="Times New Roman"/>
                <w:color w:val="auto"/>
                <w:sz w:val="21"/>
                <w:highlight w:val="none"/>
                <w:lang w:eastAsia="zh-CN"/>
              </w:rPr>
              <w:t>〔2007〕</w:t>
            </w:r>
            <w:r>
              <w:rPr>
                <w:rFonts w:hint="default" w:ascii="Times New Roman" w:hAnsi="Times New Roman" w:eastAsia="Times New Roman" w:cs="Times New Roman"/>
                <w:color w:val="auto"/>
                <w:sz w:val="21"/>
                <w:highlight w:val="none"/>
              </w:rPr>
              <w:t>4</w:t>
            </w:r>
          </w:p>
          <w:p w14:paraId="3BA762A5">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号）</w:t>
            </w:r>
          </w:p>
        </w:tc>
        <w:tc>
          <w:tcPr>
            <w:tcW w:w="4046" w:type="dxa"/>
            <w:noWrap w:val="0"/>
            <w:vAlign w:val="center"/>
          </w:tcPr>
          <w:p w14:paraId="1AC1833F">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我国正处在由传统畜牧业向现代畜牧业转变的关键时期，需要做大做强畜牧产业，促进我国畜牧业持续健康发展。</w:t>
            </w:r>
          </w:p>
        </w:tc>
        <w:tc>
          <w:tcPr>
            <w:tcW w:w="2392" w:type="dxa"/>
            <w:noWrap w:val="0"/>
            <w:vAlign w:val="center"/>
          </w:tcPr>
          <w:p w14:paraId="54F3A24B">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本项目为标准化规模</w:t>
            </w:r>
            <w:r>
              <w:rPr>
                <w:rFonts w:hint="default" w:ascii="Times New Roman" w:hAnsi="Times New Roman" w:cs="Times New Roman"/>
                <w:color w:val="auto"/>
                <w:sz w:val="21"/>
                <w:highlight w:val="none"/>
                <w:lang w:val="en-US" w:eastAsia="zh-CN"/>
              </w:rPr>
              <w:t>蛋鸡</w:t>
            </w:r>
            <w:r>
              <w:rPr>
                <w:rFonts w:hint="default" w:ascii="Times New Roman" w:hAnsi="Times New Roman" w:cs="Times New Roman"/>
                <w:color w:val="auto"/>
                <w:sz w:val="21"/>
                <w:highlight w:val="none"/>
              </w:rPr>
              <w:t>养殖项目，符合该意见的有关要求。</w:t>
            </w:r>
          </w:p>
        </w:tc>
      </w:tr>
      <w:tr w14:paraId="10B2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4" w:hRule="atLeast"/>
          <w:jc w:val="center"/>
        </w:trPr>
        <w:tc>
          <w:tcPr>
            <w:tcW w:w="2232" w:type="dxa"/>
            <w:noWrap w:val="0"/>
            <w:vAlign w:val="center"/>
          </w:tcPr>
          <w:p w14:paraId="2DCCB909">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eastAsia="zh-CN"/>
              </w:rPr>
              <w:t>农业农村部</w:t>
            </w:r>
            <w:r>
              <w:rPr>
                <w:rFonts w:hint="default" w:ascii="Times New Roman" w:hAnsi="Times New Roman" w:cs="Times New Roman"/>
                <w:color w:val="auto"/>
                <w:sz w:val="21"/>
                <w:highlight w:val="none"/>
              </w:rPr>
              <w:t>关于促进草食畜牧业加快发展的指导意见》（农牧发</w:t>
            </w:r>
          </w:p>
          <w:p w14:paraId="2B92952E">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2015</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7</w:t>
            </w:r>
            <w:r>
              <w:rPr>
                <w:rFonts w:hint="default" w:ascii="Times New Roman" w:hAnsi="Times New Roman" w:cs="Times New Roman"/>
                <w:color w:val="auto"/>
                <w:sz w:val="21"/>
                <w:highlight w:val="none"/>
              </w:rPr>
              <w:t>号）</w:t>
            </w:r>
          </w:p>
        </w:tc>
        <w:tc>
          <w:tcPr>
            <w:tcW w:w="4046" w:type="dxa"/>
            <w:noWrap w:val="0"/>
            <w:vAlign w:val="center"/>
          </w:tcPr>
          <w:p w14:paraId="17403B2E">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（十）大力发展标准化规模养殖。加大对中小规模奶牛标准化规模养殖场改造升级</w:t>
            </w:r>
            <w:r>
              <w:rPr>
                <w:rFonts w:hint="default" w:ascii="Times New Roman" w:hAnsi="Times New Roman" w:cs="Times New Roman"/>
                <w:color w:val="auto"/>
                <w:sz w:val="21"/>
                <w:highlight w:val="none"/>
                <w:lang w:eastAsia="zh-CN"/>
              </w:rPr>
              <w:t>的力度，</w:t>
            </w:r>
            <w:r>
              <w:rPr>
                <w:rFonts w:hint="default" w:ascii="Times New Roman" w:hAnsi="Times New Roman" w:cs="Times New Roman"/>
                <w:color w:val="auto"/>
                <w:sz w:val="21"/>
                <w:highlight w:val="none"/>
              </w:rPr>
              <w:t>促进小区向牧场转变。（十五）促进粪污资源化利用。综合考虑土地、水等环境承载能力，指导地方科学规划草食畜禽养殖结构和布局，大力发展生态养殖，推动建设资源节约、环境友好的新型草食畜牧业。贯彻落实《畜禽规模养殖污染防治条例》加强草食畜禽养殖废弃物资源化利用的技术指导和服务，因地制宜、分畜种指导推广投资少处理效果好、运行费用低的粪污处理与利用模式。继续实施畜禽粪污等农业农村废弃物综合利用项目，支持草食畜禽规模养殖场粪污处理利用设施建设。</w:t>
            </w:r>
          </w:p>
        </w:tc>
        <w:tc>
          <w:tcPr>
            <w:tcW w:w="2392" w:type="dxa"/>
            <w:noWrap w:val="0"/>
            <w:vAlign w:val="center"/>
          </w:tcPr>
          <w:p w14:paraId="166CAC8E">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本项目为标准化规模</w:t>
            </w:r>
            <w:r>
              <w:rPr>
                <w:rFonts w:hint="default" w:ascii="Times New Roman" w:hAnsi="Times New Roman" w:cs="Times New Roman"/>
                <w:color w:val="auto"/>
                <w:sz w:val="21"/>
                <w:highlight w:val="none"/>
                <w:lang w:val="en-US" w:eastAsia="zh-CN"/>
              </w:rPr>
              <w:t>蛋鸡</w:t>
            </w:r>
            <w:r>
              <w:rPr>
                <w:rFonts w:hint="default" w:ascii="Times New Roman" w:hAnsi="Times New Roman" w:cs="Times New Roman"/>
                <w:color w:val="auto"/>
                <w:sz w:val="21"/>
                <w:highlight w:val="none"/>
              </w:rPr>
              <w:t>养殖项目，固体粪便集中在</w:t>
            </w:r>
            <w:r>
              <w:rPr>
                <w:rFonts w:hint="default" w:ascii="Times New Roman" w:hAnsi="Times New Roman" w:cs="Times New Roman"/>
                <w:color w:val="auto"/>
                <w:sz w:val="21"/>
                <w:highlight w:val="none"/>
                <w:lang w:eastAsia="zh-CN"/>
              </w:rPr>
              <w:t>鸡粪发酵</w:t>
            </w:r>
            <w:r>
              <w:rPr>
                <w:rFonts w:hint="eastAsia" w:ascii="Times New Roman" w:hAnsi="Times New Roman" w:cs="Times New Roman"/>
                <w:color w:val="auto"/>
                <w:sz w:val="21"/>
                <w:highlight w:val="none"/>
                <w:lang w:eastAsia="zh-CN"/>
              </w:rPr>
              <w:t>处理厂</w:t>
            </w:r>
            <w:r>
              <w:rPr>
                <w:rFonts w:hint="default" w:ascii="Times New Roman" w:hAnsi="Times New Roman" w:cs="Times New Roman"/>
                <w:color w:val="auto"/>
                <w:sz w:val="21"/>
                <w:highlight w:val="none"/>
              </w:rPr>
              <w:t>腐熟发酵无害化处置后外售给项目区周边的</w:t>
            </w:r>
            <w:r>
              <w:rPr>
                <w:rFonts w:hint="default" w:ascii="Times New Roman" w:hAnsi="Times New Roman" w:cs="Times New Roman"/>
                <w:color w:val="auto"/>
                <w:sz w:val="21"/>
                <w:highlight w:val="none"/>
                <w:lang w:eastAsia="zh-CN"/>
              </w:rPr>
              <w:t>农户</w:t>
            </w:r>
            <w:r>
              <w:rPr>
                <w:rFonts w:hint="default" w:ascii="Times New Roman" w:hAnsi="Times New Roman" w:cs="Times New Roman"/>
                <w:color w:val="auto"/>
                <w:sz w:val="21"/>
                <w:highlight w:val="none"/>
              </w:rPr>
              <w:t>，做到还田不外排。</w:t>
            </w:r>
          </w:p>
          <w:p w14:paraId="6E9597E3">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auto"/>
                <w:sz w:val="21"/>
                <w:highlight w:val="none"/>
              </w:rPr>
            </w:pPr>
          </w:p>
        </w:tc>
      </w:tr>
    </w:tbl>
    <w:p w14:paraId="14758852">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相关法律法规符合性分析</w:t>
      </w:r>
    </w:p>
    <w:p w14:paraId="0DF67F4F">
      <w:pPr>
        <w:pStyle w:val="16"/>
        <w:bidi w:val="0"/>
        <w:rPr>
          <w:rFonts w:hint="default" w:ascii="Times New Roman" w:hAnsi="Times New Roman" w:cs="Times New Roman"/>
          <w:color w:val="auto"/>
        </w:rPr>
      </w:pPr>
      <w:r>
        <w:rPr>
          <w:rFonts w:hint="default" w:ascii="Times New Roman" w:hAnsi="Times New Roman" w:cs="Times New Roman"/>
          <w:color w:val="auto"/>
        </w:rPr>
        <w:t>项目与目前我国有关法律法规及规章制度的符合性分析见表</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14:paraId="13C49C35">
      <w:pPr>
        <w:pStyle w:val="14"/>
        <w:bidi w:val="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59264" behindDoc="1" locked="0" layoutInCell="1" allowOverlap="1">
                <wp:simplePos x="0" y="0"/>
                <wp:positionH relativeFrom="page">
                  <wp:posOffset>2180590</wp:posOffset>
                </wp:positionH>
                <wp:positionV relativeFrom="paragraph">
                  <wp:posOffset>985520</wp:posOffset>
                </wp:positionV>
                <wp:extent cx="134620" cy="134620"/>
                <wp:effectExtent l="0" t="0" r="0" b="0"/>
                <wp:wrapNone/>
                <wp:docPr id="131" name="文本框 248"/>
                <wp:cNvGraphicFramePr/>
                <a:graphic xmlns:a="http://schemas.openxmlformats.org/drawingml/2006/main">
                  <a:graphicData uri="http://schemas.microsoft.com/office/word/2010/wordprocessingShape">
                    <wps:wsp>
                      <wps:cNvSpPr txBox="1"/>
                      <wps:spPr>
                        <a:xfrm>
                          <a:off x="0" y="0"/>
                          <a:ext cx="134620" cy="134620"/>
                        </a:xfrm>
                        <a:prstGeom prst="rect">
                          <a:avLst/>
                        </a:prstGeom>
                        <a:noFill/>
                        <a:ln>
                          <a:noFill/>
                        </a:ln>
                        <a:effectLst/>
                      </wps:spPr>
                      <wps:txbx>
                        <w:txbxContent>
                          <w:p w14:paraId="61A84165">
                            <w:pPr>
                              <w:spacing w:line="211" w:lineRule="exact"/>
                              <w:rPr>
                                <w:sz w:val="21"/>
                              </w:rPr>
                            </w:pPr>
                          </w:p>
                        </w:txbxContent>
                      </wps:txbx>
                      <wps:bodyPr wrap="square" lIns="0" tIns="0" rIns="0" bIns="0" upright="1"/>
                    </wps:wsp>
                  </a:graphicData>
                </a:graphic>
              </wp:anchor>
            </w:drawing>
          </mc:Choice>
          <mc:Fallback>
            <w:pict>
              <v:shape id="文本框 248" o:spid="_x0000_s1026" o:spt="202" type="#_x0000_t202" style="position:absolute;left:0pt;margin-left:171.7pt;margin-top:77.6pt;height:10.6pt;width:10.6pt;mso-position-horizontal-relative:page;z-index:-251657216;mso-width-relative:page;mso-height-relative:page;" filled="f" stroked="f" coordsize="21600,21600" o:gfxdata="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B2ueHZAAAACwEAAA8AAAAAAAAAAQAgAAAAIgAAAGRycy9kb3du&#10;cmV2LnhtbFBLAQIUABQAAAAIAIdO4kCsbGZfxQEAAJEDAAAOAAAAAAAAAAEAIAAAACgBAABkcnMv&#10;ZTJvRG9jLnhtbFBLBQYAAAAABgAGAFkBAABfBQAAAAA=&#10;">
                <v:fill on="f" focussize="0,0"/>
                <v:stroke on="f"/>
                <v:imagedata o:title=""/>
                <o:lock v:ext="edit" aspectratio="f"/>
                <v:textbox inset="0mm,0mm,0mm,0mm">
                  <w:txbxContent>
                    <w:p w14:paraId="61A84165">
                      <w:pPr>
                        <w:spacing w:line="211" w:lineRule="exact"/>
                        <w:rPr>
                          <w:sz w:val="21"/>
                        </w:rPr>
                      </w:pPr>
                    </w:p>
                  </w:txbxContent>
                </v:textbox>
              </v:shape>
            </w:pict>
          </mc:Fallback>
        </mc:AlternateContent>
      </w:r>
      <w:r>
        <w:rPr>
          <w:rFonts w:hint="default" w:ascii="Times New Roman" w:hAnsi="Times New Roman" w:cs="Times New Roman"/>
          <w:color w:val="auto"/>
        </w:rPr>
        <w:t>表</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ab/>
      </w:r>
      <w:r>
        <w:rPr>
          <w:rFonts w:hint="default" w:ascii="Times New Roman" w:hAnsi="Times New Roman" w:cs="Times New Roman"/>
          <w:color w:val="auto"/>
        </w:rPr>
        <w:t>相关法律法规符合性分析一览表</w:t>
      </w:r>
    </w:p>
    <w:tbl>
      <w:tblPr>
        <w:tblStyle w:val="33"/>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91"/>
        <w:gridCol w:w="5561"/>
        <w:gridCol w:w="1324"/>
      </w:tblGrid>
      <w:tr w14:paraId="43EC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jc w:val="center"/>
        </w:trPr>
        <w:tc>
          <w:tcPr>
            <w:tcW w:w="890" w:type="pct"/>
            <w:noWrap w:val="0"/>
            <w:vAlign w:val="center"/>
          </w:tcPr>
          <w:p w14:paraId="23D08149">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政策法规</w:t>
            </w:r>
          </w:p>
        </w:tc>
        <w:tc>
          <w:tcPr>
            <w:tcW w:w="3319" w:type="pct"/>
            <w:noWrap w:val="0"/>
            <w:vAlign w:val="center"/>
          </w:tcPr>
          <w:p w14:paraId="78BC20C7">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相关条款及规定</w:t>
            </w:r>
          </w:p>
        </w:tc>
        <w:tc>
          <w:tcPr>
            <w:tcW w:w="790" w:type="pct"/>
            <w:noWrap w:val="0"/>
            <w:vAlign w:val="center"/>
          </w:tcPr>
          <w:p w14:paraId="2BF5CB2E">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符合性分析</w:t>
            </w:r>
          </w:p>
        </w:tc>
      </w:tr>
      <w:tr w14:paraId="308C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0" w:hRule="atLeast"/>
          <w:jc w:val="center"/>
        </w:trPr>
        <w:tc>
          <w:tcPr>
            <w:tcW w:w="890" w:type="pct"/>
            <w:vMerge w:val="restart"/>
            <w:noWrap w:val="0"/>
            <w:vAlign w:val="center"/>
          </w:tcPr>
          <w:p w14:paraId="027202B2">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《国务院办公厅关于加快推进畜禽养殖废弃物</w:t>
            </w:r>
            <w:r>
              <w:rPr>
                <w:rFonts w:hint="default" w:ascii="Times New Roman" w:hAnsi="Times New Roman" w:cs="Times New Roman"/>
                <w:color w:val="auto"/>
                <w:spacing w:val="-15"/>
                <w:sz w:val="21"/>
                <w:szCs w:val="21"/>
                <w:highlight w:val="none"/>
              </w:rPr>
              <w:t>资源化利用的意见》</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pacing w:val="-16"/>
                <w:sz w:val="21"/>
                <w:szCs w:val="21"/>
                <w:highlight w:val="none"/>
              </w:rPr>
              <w:t>国</w:t>
            </w:r>
            <w:r>
              <w:rPr>
                <w:rFonts w:hint="default" w:ascii="Times New Roman" w:hAnsi="Times New Roman" w:cs="Times New Roman"/>
                <w:color w:val="auto"/>
                <w:sz w:val="21"/>
                <w:szCs w:val="21"/>
                <w:highlight w:val="none"/>
              </w:rPr>
              <w:t>办发</w:t>
            </w:r>
            <w:r>
              <w:rPr>
                <w:rFonts w:hint="default"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2017</w:t>
            </w:r>
            <w:r>
              <w:rPr>
                <w:rFonts w:hint="default"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48</w:t>
            </w:r>
            <w:r>
              <w:rPr>
                <w:rFonts w:hint="default" w:ascii="Times New Roman" w:hAnsi="Times New Roman" w:cs="Times New Roman"/>
                <w:color w:val="auto"/>
                <w:sz w:val="21"/>
                <w:szCs w:val="21"/>
                <w:highlight w:val="none"/>
              </w:rPr>
              <w:t>号）</w:t>
            </w:r>
          </w:p>
        </w:tc>
        <w:tc>
          <w:tcPr>
            <w:tcW w:w="3319" w:type="pct"/>
            <w:noWrap w:val="0"/>
            <w:vAlign w:val="center"/>
          </w:tcPr>
          <w:p w14:paraId="39734FC6">
            <w:pPr>
              <w:pStyle w:val="69"/>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8"/>
                <w:sz w:val="21"/>
                <w:szCs w:val="21"/>
                <w:highlight w:val="none"/>
              </w:rPr>
              <w:t>到</w:t>
            </w:r>
            <w:r>
              <w:rPr>
                <w:rFonts w:hint="default" w:ascii="Times New Roman" w:hAnsi="Times New Roman" w:eastAsia="Times New Roman" w:cs="Times New Roman"/>
                <w:color w:val="auto"/>
                <w:sz w:val="21"/>
                <w:szCs w:val="21"/>
                <w:highlight w:val="none"/>
              </w:rPr>
              <w:t>2020</w:t>
            </w:r>
            <w:r>
              <w:rPr>
                <w:rFonts w:hint="default" w:ascii="Times New Roman" w:hAnsi="Times New Roman" w:cs="Times New Roman"/>
                <w:color w:val="auto"/>
                <w:spacing w:val="-10"/>
                <w:sz w:val="21"/>
                <w:szCs w:val="21"/>
                <w:highlight w:val="none"/>
              </w:rPr>
              <w:t>年，建立科学规范、权责清晰、约束有力的畜禽养殖废弃物资源化利用制度，构建种养</w:t>
            </w:r>
            <w:r>
              <w:rPr>
                <w:rFonts w:hint="default" w:ascii="Times New Roman" w:hAnsi="Times New Roman" w:cs="Times New Roman"/>
                <w:color w:val="auto"/>
                <w:spacing w:val="-4"/>
                <w:sz w:val="21"/>
                <w:szCs w:val="21"/>
                <w:highlight w:val="none"/>
              </w:rPr>
              <w:t>循环发展机制，全国畜禽粪污综合利用率达到</w:t>
            </w:r>
            <w:r>
              <w:rPr>
                <w:rFonts w:hint="default" w:ascii="Times New Roman" w:hAnsi="Times New Roman" w:eastAsia="Times New Roman" w:cs="Times New Roman"/>
                <w:color w:val="auto"/>
                <w:sz w:val="21"/>
                <w:szCs w:val="21"/>
                <w:highlight w:val="none"/>
              </w:rPr>
              <w:t>75%</w:t>
            </w:r>
            <w:r>
              <w:rPr>
                <w:rFonts w:hint="default" w:ascii="Times New Roman" w:hAnsi="Times New Roman" w:cs="Times New Roman"/>
                <w:color w:val="auto"/>
                <w:spacing w:val="-3"/>
                <w:sz w:val="21"/>
                <w:szCs w:val="21"/>
                <w:highlight w:val="none"/>
              </w:rPr>
              <w:t>以上，规模养殖场粪污处理设施装备配套率</w:t>
            </w:r>
            <w:r>
              <w:rPr>
                <w:rFonts w:hint="default" w:ascii="Times New Roman" w:hAnsi="Times New Roman" w:cs="Times New Roman"/>
                <w:color w:val="auto"/>
                <w:spacing w:val="-19"/>
                <w:sz w:val="21"/>
                <w:szCs w:val="21"/>
                <w:highlight w:val="none"/>
              </w:rPr>
              <w:t>达到</w:t>
            </w:r>
            <w:r>
              <w:rPr>
                <w:rFonts w:hint="default" w:ascii="Times New Roman" w:hAnsi="Times New Roman" w:eastAsia="Times New Roman" w:cs="Times New Roman"/>
                <w:color w:val="auto"/>
                <w:sz w:val="21"/>
                <w:szCs w:val="21"/>
                <w:highlight w:val="none"/>
              </w:rPr>
              <w:t>95%</w:t>
            </w:r>
            <w:r>
              <w:rPr>
                <w:rFonts w:hint="default" w:ascii="Times New Roman" w:hAnsi="Times New Roman" w:cs="Times New Roman"/>
                <w:color w:val="auto"/>
                <w:spacing w:val="-5"/>
                <w:sz w:val="21"/>
                <w:szCs w:val="21"/>
                <w:highlight w:val="none"/>
              </w:rPr>
              <w:t>以上，大型规模养殖场粪污处理设施装备配套率提前一年达到</w:t>
            </w:r>
            <w:r>
              <w:rPr>
                <w:rFonts w:hint="default" w:ascii="Times New Roman" w:hAnsi="Times New Roman" w:eastAsia="Times New Roman" w:cs="Times New Roman"/>
                <w:color w:val="auto"/>
                <w:sz w:val="21"/>
                <w:szCs w:val="21"/>
                <w:highlight w:val="none"/>
              </w:rPr>
              <w:t>100%</w:t>
            </w:r>
            <w:r>
              <w:rPr>
                <w:rFonts w:hint="default" w:ascii="Times New Roman" w:hAnsi="Times New Roman" w:cs="Times New Roman"/>
                <w:color w:val="auto"/>
                <w:sz w:val="21"/>
                <w:szCs w:val="21"/>
                <w:highlight w:val="none"/>
              </w:rPr>
              <w:t>。</w:t>
            </w:r>
          </w:p>
        </w:tc>
        <w:tc>
          <w:tcPr>
            <w:tcW w:w="790" w:type="pct"/>
            <w:vMerge w:val="restart"/>
            <w:noWrap w:val="0"/>
            <w:vAlign w:val="center"/>
          </w:tcPr>
          <w:p w14:paraId="3D320DA2">
            <w:pPr>
              <w:pStyle w:val="69"/>
              <w:numPr>
                <w:ilvl w:val="0"/>
                <w:numId w:val="0"/>
              </w:numPr>
              <w:tabs>
                <w:tab w:val="left" w:pos="175"/>
              </w:tabs>
              <w:ind w:leftChars="0" w:right="-10" w:right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lang w:val="en-US" w:eastAsia="zh-CN"/>
              </w:rPr>
              <w:t>1、</w:t>
            </w:r>
            <w:r>
              <w:rPr>
                <w:rFonts w:hint="default" w:ascii="Times New Roman" w:hAnsi="Times New Roman" w:cs="Times New Roman"/>
                <w:color w:val="auto"/>
                <w:spacing w:val="-3"/>
                <w:sz w:val="21"/>
                <w:szCs w:val="21"/>
                <w:highlight w:val="none"/>
              </w:rPr>
              <w:t>按照环保规范要求设置粪污处理设</w:t>
            </w:r>
            <w:r>
              <w:rPr>
                <w:rFonts w:hint="default" w:ascii="Times New Roman" w:hAnsi="Times New Roman" w:cs="Times New Roman"/>
                <w:color w:val="auto"/>
                <w:spacing w:val="-27"/>
                <w:sz w:val="21"/>
                <w:szCs w:val="21"/>
                <w:highlight w:val="none"/>
              </w:rPr>
              <w:t>施</w:t>
            </w:r>
            <w:r>
              <w:rPr>
                <w:rFonts w:hint="default" w:ascii="Times New Roman" w:hAnsi="Times New Roman" w:cs="Times New Roman"/>
                <w:color w:val="auto"/>
                <w:spacing w:val="-27"/>
                <w:sz w:val="21"/>
                <w:szCs w:val="21"/>
                <w:highlight w:val="none"/>
                <w:lang w:eastAsia="zh-CN"/>
              </w:rPr>
              <w:t>，</w:t>
            </w:r>
            <w:r>
              <w:rPr>
                <w:rFonts w:hint="default" w:ascii="Times New Roman" w:hAnsi="Times New Roman" w:cs="Times New Roman"/>
                <w:color w:val="auto"/>
                <w:sz w:val="21"/>
                <w:highlight w:val="none"/>
              </w:rPr>
              <w:t>固体粪便集中在</w:t>
            </w:r>
            <w:r>
              <w:rPr>
                <w:rFonts w:hint="default" w:ascii="Times New Roman" w:hAnsi="Times New Roman" w:cs="Times New Roman"/>
                <w:color w:val="auto"/>
                <w:sz w:val="21"/>
                <w:highlight w:val="none"/>
                <w:lang w:eastAsia="zh-CN"/>
              </w:rPr>
              <w:t>鸡粪发酵</w:t>
            </w:r>
            <w:r>
              <w:rPr>
                <w:rFonts w:hint="eastAsia" w:ascii="Times New Roman" w:hAnsi="Times New Roman" w:cs="Times New Roman"/>
                <w:color w:val="auto"/>
                <w:sz w:val="21"/>
                <w:highlight w:val="none"/>
                <w:lang w:eastAsia="zh-CN"/>
              </w:rPr>
              <w:t>处理厂</w:t>
            </w:r>
            <w:r>
              <w:rPr>
                <w:rFonts w:hint="default" w:ascii="Times New Roman" w:hAnsi="Times New Roman" w:cs="Times New Roman"/>
                <w:color w:val="auto"/>
                <w:sz w:val="21"/>
                <w:highlight w:val="none"/>
              </w:rPr>
              <w:t>腐熟发酵无害化处置后外售给项目区周边的</w:t>
            </w:r>
            <w:r>
              <w:rPr>
                <w:rFonts w:hint="default" w:ascii="Times New Roman" w:hAnsi="Times New Roman" w:cs="Times New Roman"/>
                <w:color w:val="auto"/>
                <w:sz w:val="21"/>
                <w:highlight w:val="none"/>
                <w:lang w:eastAsia="zh-CN"/>
              </w:rPr>
              <w:t>农户</w:t>
            </w:r>
            <w:r>
              <w:rPr>
                <w:rFonts w:hint="default" w:ascii="Times New Roman" w:hAnsi="Times New Roman" w:cs="Times New Roman"/>
                <w:color w:val="auto"/>
                <w:sz w:val="21"/>
                <w:szCs w:val="21"/>
                <w:highlight w:val="none"/>
              </w:rPr>
              <w:t>。</w:t>
            </w:r>
          </w:p>
          <w:p w14:paraId="01AD5903">
            <w:pPr>
              <w:pStyle w:val="69"/>
              <w:tabs>
                <w:tab w:val="left" w:pos="280"/>
              </w:tabs>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lang w:val="en-US" w:eastAsia="zh-CN"/>
              </w:rPr>
              <w:t>2、</w:t>
            </w:r>
            <w:r>
              <w:rPr>
                <w:rFonts w:hint="default" w:ascii="Times New Roman" w:hAnsi="Times New Roman" w:cs="Times New Roman"/>
                <w:color w:val="auto"/>
                <w:spacing w:val="-3"/>
                <w:sz w:val="21"/>
                <w:szCs w:val="21"/>
                <w:highlight w:val="none"/>
              </w:rPr>
              <w:t>病死</w:t>
            </w:r>
            <w:r>
              <w:rPr>
                <w:rFonts w:hint="default" w:ascii="Times New Roman" w:hAnsi="Times New Roman" w:cs="Times New Roman"/>
                <w:color w:val="auto"/>
                <w:spacing w:val="-3"/>
                <w:sz w:val="21"/>
                <w:szCs w:val="21"/>
                <w:highlight w:val="none"/>
                <w:lang w:val="en-US" w:eastAsia="zh-CN"/>
              </w:rPr>
              <w:t>鸡无害化填埋处置</w:t>
            </w:r>
            <w:r>
              <w:rPr>
                <w:rFonts w:hint="default" w:ascii="Times New Roman" w:hAnsi="Times New Roman" w:cs="Times New Roman"/>
                <w:color w:val="auto"/>
                <w:spacing w:val="-3"/>
                <w:sz w:val="21"/>
                <w:szCs w:val="21"/>
                <w:highlight w:val="none"/>
              </w:rPr>
              <w:t>。符合相关要求。</w:t>
            </w:r>
          </w:p>
        </w:tc>
      </w:tr>
      <w:tr w14:paraId="17B5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890" w:type="pct"/>
            <w:vMerge w:val="continue"/>
            <w:noWrap w:val="0"/>
            <w:vAlign w:val="center"/>
          </w:tcPr>
          <w:p w14:paraId="6B027B20">
            <w:pPr>
              <w:ind w:left="0" w:leftChars="0" w:right="-10" w:rightChars="0" w:firstLine="0" w:firstLineChars="0"/>
              <w:jc w:val="center"/>
              <w:rPr>
                <w:rFonts w:hint="default" w:ascii="Times New Roman" w:hAnsi="Times New Roman" w:cs="Times New Roman"/>
                <w:color w:val="auto"/>
                <w:sz w:val="21"/>
                <w:szCs w:val="21"/>
                <w:highlight w:val="none"/>
              </w:rPr>
            </w:pPr>
          </w:p>
        </w:tc>
        <w:tc>
          <w:tcPr>
            <w:tcW w:w="3319" w:type="pct"/>
            <w:noWrap w:val="0"/>
            <w:vAlign w:val="center"/>
          </w:tcPr>
          <w:p w14:paraId="418911A7">
            <w:pPr>
              <w:pStyle w:val="69"/>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加强畜禽粪污资源化利用技术集成，根据不同资源条件、不同畜种、不同规模，推广粪污全量收集还田利用、专业化能源利用、固体粪便肥料化利用、异位发酵床、粪便垫料回用、污水肥料化利用、污水达标排放等经济实用技术模式。</w:t>
            </w:r>
          </w:p>
        </w:tc>
        <w:tc>
          <w:tcPr>
            <w:tcW w:w="790" w:type="pct"/>
            <w:vMerge w:val="continue"/>
            <w:noWrap w:val="0"/>
            <w:vAlign w:val="center"/>
          </w:tcPr>
          <w:p w14:paraId="59A7E07D">
            <w:pPr>
              <w:ind w:left="0" w:leftChars="0" w:right="-10" w:rightChars="0" w:firstLine="0" w:firstLineChars="0"/>
              <w:jc w:val="center"/>
              <w:rPr>
                <w:rFonts w:hint="default" w:ascii="Times New Roman" w:hAnsi="Times New Roman" w:cs="Times New Roman"/>
                <w:color w:val="auto"/>
                <w:sz w:val="21"/>
                <w:szCs w:val="21"/>
                <w:highlight w:val="none"/>
              </w:rPr>
            </w:pPr>
          </w:p>
        </w:tc>
      </w:tr>
      <w:tr w14:paraId="3970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890" w:type="pct"/>
            <w:noWrap w:val="0"/>
            <w:vAlign w:val="center"/>
          </w:tcPr>
          <w:p w14:paraId="3BFF1AEB">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《国务院关于印发土壤污染防治行动计划的通</w:t>
            </w:r>
            <w:r>
              <w:rPr>
                <w:rFonts w:hint="default" w:ascii="Times New Roman" w:hAnsi="Times New Roman" w:cs="Times New Roman"/>
                <w:color w:val="auto"/>
                <w:spacing w:val="-55"/>
                <w:sz w:val="21"/>
                <w:szCs w:val="21"/>
                <w:highlight w:val="none"/>
              </w:rPr>
              <w:t>知》</w:t>
            </w:r>
            <w:r>
              <w:rPr>
                <w:rFonts w:hint="default" w:ascii="Times New Roman" w:hAnsi="Times New Roman" w:cs="Times New Roman"/>
                <w:color w:val="auto"/>
                <w:spacing w:val="-3"/>
                <w:sz w:val="21"/>
                <w:szCs w:val="21"/>
                <w:highlight w:val="none"/>
              </w:rPr>
              <w:t>（</w:t>
            </w:r>
            <w:r>
              <w:rPr>
                <w:rFonts w:hint="default" w:ascii="Times New Roman" w:hAnsi="Times New Roman" w:cs="Times New Roman"/>
                <w:color w:val="auto"/>
                <w:sz w:val="21"/>
                <w:szCs w:val="21"/>
                <w:highlight w:val="none"/>
              </w:rPr>
              <w:t>国发</w:t>
            </w:r>
            <w:r>
              <w:rPr>
                <w:rFonts w:hint="default"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2016</w:t>
            </w:r>
            <w:r>
              <w:rPr>
                <w:rFonts w:hint="default"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31</w:t>
            </w:r>
            <w:r>
              <w:rPr>
                <w:rFonts w:hint="default" w:ascii="Times New Roman" w:hAnsi="Times New Roman" w:cs="Times New Roman"/>
                <w:color w:val="auto"/>
                <w:spacing w:val="-3"/>
                <w:sz w:val="21"/>
                <w:szCs w:val="21"/>
                <w:highlight w:val="none"/>
              </w:rPr>
              <w:t>号</w:t>
            </w:r>
            <w:r>
              <w:rPr>
                <w:rFonts w:hint="default" w:ascii="Times New Roman" w:hAnsi="Times New Roman" w:cs="Times New Roman"/>
                <w:color w:val="auto"/>
                <w:spacing w:val="-15"/>
                <w:sz w:val="21"/>
                <w:szCs w:val="21"/>
                <w:highlight w:val="none"/>
              </w:rPr>
              <w:t>）</w:t>
            </w:r>
          </w:p>
        </w:tc>
        <w:tc>
          <w:tcPr>
            <w:tcW w:w="3319" w:type="pct"/>
            <w:noWrap w:val="0"/>
            <w:vAlign w:val="center"/>
          </w:tcPr>
          <w:p w14:paraId="39F9D3B8">
            <w:pPr>
              <w:pStyle w:val="69"/>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强化畜禽养殖污染防治。鼓励支持畜禽粪便处理利用设施建设，到</w:t>
            </w:r>
            <w:r>
              <w:rPr>
                <w:rFonts w:hint="default" w:ascii="Times New Roman" w:hAnsi="Times New Roman" w:eastAsia="Times New Roman" w:cs="Times New Roman"/>
                <w:color w:val="auto"/>
                <w:sz w:val="21"/>
                <w:szCs w:val="21"/>
                <w:highlight w:val="none"/>
              </w:rPr>
              <w:t>2020</w:t>
            </w:r>
            <w:r>
              <w:rPr>
                <w:rFonts w:hint="default" w:ascii="Times New Roman" w:hAnsi="Times New Roman" w:cs="Times New Roman"/>
                <w:color w:val="auto"/>
                <w:spacing w:val="-8"/>
                <w:sz w:val="21"/>
                <w:szCs w:val="21"/>
                <w:highlight w:val="none"/>
              </w:rPr>
              <w:t>年，规模化养殖场、养殖小区配套建设废弃物处理设施比例达到</w:t>
            </w:r>
            <w:r>
              <w:rPr>
                <w:rFonts w:hint="default" w:ascii="Times New Roman" w:hAnsi="Times New Roman" w:eastAsia="Times New Roman" w:cs="Times New Roman"/>
                <w:color w:val="auto"/>
                <w:sz w:val="21"/>
                <w:szCs w:val="21"/>
                <w:highlight w:val="none"/>
              </w:rPr>
              <w:t>75%</w:t>
            </w:r>
            <w:r>
              <w:rPr>
                <w:rFonts w:hint="default" w:ascii="Times New Roman" w:hAnsi="Times New Roman" w:cs="Times New Roman"/>
                <w:color w:val="auto"/>
                <w:spacing w:val="-2"/>
                <w:sz w:val="21"/>
                <w:szCs w:val="21"/>
                <w:highlight w:val="none"/>
              </w:rPr>
              <w:t>以上。</w:t>
            </w:r>
          </w:p>
        </w:tc>
        <w:tc>
          <w:tcPr>
            <w:tcW w:w="790" w:type="pct"/>
            <w:vMerge w:val="continue"/>
            <w:noWrap w:val="0"/>
            <w:vAlign w:val="center"/>
          </w:tcPr>
          <w:p w14:paraId="75A246E9">
            <w:pPr>
              <w:ind w:left="0" w:leftChars="0" w:right="-10" w:rightChars="0" w:firstLine="0" w:firstLineChars="0"/>
              <w:jc w:val="center"/>
              <w:rPr>
                <w:rFonts w:hint="default" w:ascii="Times New Roman" w:hAnsi="Times New Roman" w:cs="Times New Roman"/>
                <w:color w:val="auto"/>
                <w:sz w:val="21"/>
                <w:szCs w:val="21"/>
                <w:highlight w:val="none"/>
              </w:rPr>
            </w:pPr>
          </w:p>
        </w:tc>
      </w:tr>
      <w:tr w14:paraId="5854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890" w:type="pct"/>
            <w:vMerge w:val="restart"/>
            <w:noWrap w:val="0"/>
            <w:vAlign w:val="center"/>
          </w:tcPr>
          <w:p w14:paraId="6D8B40D9">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《畜禽规模养殖污染防</w:t>
            </w:r>
            <w:r>
              <w:rPr>
                <w:rFonts w:hint="default" w:ascii="Times New Roman" w:hAnsi="Times New Roman" w:cs="Times New Roman"/>
                <w:color w:val="auto"/>
                <w:spacing w:val="-29"/>
                <w:sz w:val="21"/>
                <w:szCs w:val="21"/>
                <w:highlight w:val="none"/>
              </w:rPr>
              <w:t>治条例》</w:t>
            </w:r>
            <w:r>
              <w:rPr>
                <w:rFonts w:hint="default" w:ascii="Times New Roman" w:hAnsi="Times New Roman" w:cs="Times New Roman"/>
                <w:color w:val="auto"/>
                <w:spacing w:val="-3"/>
                <w:sz w:val="21"/>
                <w:szCs w:val="21"/>
                <w:highlight w:val="none"/>
              </w:rPr>
              <w:t>（</w:t>
            </w:r>
            <w:r>
              <w:rPr>
                <w:rFonts w:hint="default" w:ascii="Times New Roman" w:hAnsi="Times New Roman" w:cs="Times New Roman"/>
                <w:color w:val="auto"/>
                <w:spacing w:val="-5"/>
                <w:sz w:val="21"/>
                <w:szCs w:val="21"/>
                <w:highlight w:val="none"/>
              </w:rPr>
              <w:t>中华人民共和</w:t>
            </w:r>
            <w:r>
              <w:rPr>
                <w:rFonts w:hint="default" w:ascii="Times New Roman" w:hAnsi="Times New Roman" w:cs="Times New Roman"/>
                <w:color w:val="auto"/>
                <w:spacing w:val="-9"/>
                <w:sz w:val="21"/>
                <w:szCs w:val="21"/>
                <w:highlight w:val="none"/>
              </w:rPr>
              <w:t>国国务院令第</w:t>
            </w:r>
            <w:r>
              <w:rPr>
                <w:rFonts w:hint="default" w:ascii="Times New Roman" w:hAnsi="Times New Roman" w:eastAsia="Times New Roman" w:cs="Times New Roman"/>
                <w:color w:val="auto"/>
                <w:sz w:val="21"/>
                <w:szCs w:val="21"/>
                <w:highlight w:val="none"/>
              </w:rPr>
              <w:t>643</w:t>
            </w:r>
            <w:r>
              <w:rPr>
                <w:rFonts w:hint="default" w:ascii="Times New Roman" w:hAnsi="Times New Roman" w:cs="Times New Roman"/>
                <w:color w:val="auto"/>
                <w:spacing w:val="-3"/>
                <w:sz w:val="21"/>
                <w:szCs w:val="21"/>
                <w:highlight w:val="none"/>
              </w:rPr>
              <w:t>号）</w:t>
            </w:r>
          </w:p>
        </w:tc>
        <w:tc>
          <w:tcPr>
            <w:tcW w:w="3319" w:type="pct"/>
            <w:noWrap w:val="0"/>
            <w:vAlign w:val="center"/>
          </w:tcPr>
          <w:p w14:paraId="3C36EF5D">
            <w:pPr>
              <w:pStyle w:val="69"/>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tc>
        <w:tc>
          <w:tcPr>
            <w:tcW w:w="790" w:type="pct"/>
            <w:vMerge w:val="continue"/>
            <w:noWrap w:val="0"/>
            <w:vAlign w:val="center"/>
          </w:tcPr>
          <w:p w14:paraId="5AC41238">
            <w:pPr>
              <w:ind w:left="0" w:leftChars="0" w:right="-10" w:rightChars="0" w:firstLine="0" w:firstLineChars="0"/>
              <w:jc w:val="center"/>
              <w:rPr>
                <w:rFonts w:hint="default" w:ascii="Times New Roman" w:hAnsi="Times New Roman" w:cs="Times New Roman"/>
                <w:color w:val="auto"/>
                <w:sz w:val="21"/>
                <w:szCs w:val="21"/>
                <w:highlight w:val="none"/>
              </w:rPr>
            </w:pPr>
          </w:p>
        </w:tc>
      </w:tr>
      <w:tr w14:paraId="3C46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890" w:type="pct"/>
            <w:vMerge w:val="continue"/>
            <w:noWrap w:val="0"/>
            <w:vAlign w:val="center"/>
          </w:tcPr>
          <w:p w14:paraId="1CCB5518">
            <w:pPr>
              <w:ind w:left="0" w:leftChars="0" w:right="-10" w:rightChars="0" w:firstLine="0" w:firstLineChars="0"/>
              <w:jc w:val="center"/>
              <w:rPr>
                <w:rFonts w:hint="default" w:ascii="Times New Roman" w:hAnsi="Times New Roman" w:cs="Times New Roman"/>
                <w:color w:val="auto"/>
                <w:sz w:val="21"/>
                <w:szCs w:val="21"/>
                <w:highlight w:val="none"/>
              </w:rPr>
            </w:pPr>
          </w:p>
        </w:tc>
        <w:tc>
          <w:tcPr>
            <w:tcW w:w="3319" w:type="pct"/>
            <w:noWrap w:val="0"/>
            <w:vAlign w:val="center"/>
          </w:tcPr>
          <w:p w14:paraId="2AFC37C2">
            <w:pPr>
              <w:pStyle w:val="69"/>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未建设污染防治配套设施、自行建设的配套设施不合格，或者未委托他人对畜禽养殖废弃物进</w:t>
            </w:r>
            <w:r>
              <w:rPr>
                <w:rFonts w:hint="default" w:ascii="Times New Roman" w:hAnsi="Times New Roman" w:cs="Times New Roman"/>
                <w:color w:val="auto"/>
                <w:sz w:val="21"/>
                <w:szCs w:val="21"/>
                <w:highlight w:val="none"/>
              </w:rPr>
              <w:t>行综合利用和无害化处理的，畜禽养殖场、养殖小区不得投入生产或者使用。</w:t>
            </w:r>
          </w:p>
        </w:tc>
        <w:tc>
          <w:tcPr>
            <w:tcW w:w="790" w:type="pct"/>
            <w:vMerge w:val="continue"/>
            <w:noWrap w:val="0"/>
            <w:vAlign w:val="center"/>
          </w:tcPr>
          <w:p w14:paraId="65C11778">
            <w:pPr>
              <w:ind w:left="0" w:leftChars="0" w:right="-10" w:rightChars="0" w:firstLine="0" w:firstLineChars="0"/>
              <w:jc w:val="center"/>
              <w:rPr>
                <w:rFonts w:hint="default" w:ascii="Times New Roman" w:hAnsi="Times New Roman" w:cs="Times New Roman"/>
                <w:color w:val="auto"/>
                <w:sz w:val="21"/>
                <w:szCs w:val="21"/>
                <w:highlight w:val="none"/>
              </w:rPr>
            </w:pPr>
          </w:p>
        </w:tc>
      </w:tr>
    </w:tbl>
    <w:p w14:paraId="6082813F">
      <w:pPr>
        <w:pStyle w:val="4"/>
        <w:keepNext w:val="0"/>
        <w:keepLines w:val="0"/>
        <w:pageBreakBefore w:val="0"/>
        <w:widowControl w:val="0"/>
        <w:kinsoku/>
        <w:wordWrap/>
        <w:overflowPunct/>
        <w:topLinePunct w:val="0"/>
        <w:autoSpaceDE w:val="0"/>
        <w:autoSpaceDN w:val="0"/>
        <w:bidi w:val="0"/>
        <w:adjustRightInd/>
        <w:snapToGrid/>
        <w:ind w:left="0" w:firstLine="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与《关于促进新疆畜牧业高质量发展的意见》（新党办发〔2020〕7号）符合性分析</w:t>
      </w:r>
    </w:p>
    <w:p w14:paraId="1BEBDC4B">
      <w:pPr>
        <w:pStyle w:val="127"/>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关于促进新疆畜牧业高质量发展的意见》明确提出五个重点：一、实施肉羊增产行动，5年全区新增500万只出栏肉羊生产能力；二、实施奶业振兴行动5年全区新增荷斯坦奶牛存栏20万头，新增原料奶产量100万吨以上；三、实施肉牛增产行动，5年全区新增30万头出栏肉牛生产能力；四、实施生猪产业转型升级行动，5年全区新增150万头生猪外销生产能力，五、实施家禽及特色产业发展行动，5年在南疆地区新增1亿羽出栏肉禽生产能力，在天山北坡新增2000万羽出栏肉禽生产能力，全区新增蛋禽存栏500万羽。</w:t>
      </w:r>
    </w:p>
    <w:p w14:paraId="0E6972AC">
      <w:pPr>
        <w:pStyle w:val="127"/>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本项目建成后，</w:t>
      </w:r>
      <w:r>
        <w:rPr>
          <w:rFonts w:hint="default" w:ascii="Times New Roman" w:hAnsi="Times New Roman" w:cs="Times New Roman"/>
          <w:color w:val="auto"/>
          <w:sz w:val="24"/>
          <w:lang w:val="en-US" w:eastAsia="zh-CN"/>
        </w:rPr>
        <w:t>本项目为蛋鸡规模化养殖项目，年存栏蛋鸡和育雏鸡60万羽</w:t>
      </w:r>
      <w:r>
        <w:rPr>
          <w:rFonts w:hint="default" w:ascii="Times New Roman" w:hAnsi="Times New Roman" w:eastAsia="宋体" w:cs="Times New Roman"/>
          <w:color w:val="auto"/>
          <w:lang w:val="en-US" w:eastAsia="zh-CN"/>
        </w:rPr>
        <w:t>。本项目符合《关于促进新疆畜牧业高质量发展的意见》相关要求。</w:t>
      </w:r>
    </w:p>
    <w:p w14:paraId="41DD641F">
      <w:pPr>
        <w:pStyle w:val="4"/>
        <w:bidi w:val="0"/>
        <w:rPr>
          <w:rFonts w:hint="default" w:ascii="Times New Roman" w:hAnsi="Times New Roman" w:cs="Times New Roman"/>
          <w:color w:val="auto"/>
          <w:lang w:val="de-DE"/>
        </w:rPr>
      </w:pPr>
      <w:bookmarkStart w:id="10" w:name="_Toc483733042"/>
      <w:r>
        <w:rPr>
          <w:rFonts w:hint="default" w:ascii="Times New Roman" w:hAnsi="Times New Roman" w:cs="Times New Roman"/>
          <w:color w:val="auto"/>
          <w:lang w:val="de-DE"/>
        </w:rPr>
        <w:t>与</w:t>
      </w:r>
      <w:bookmarkEnd w:id="10"/>
      <w:r>
        <w:rPr>
          <w:rFonts w:hint="default" w:ascii="Times New Roman" w:hAnsi="Times New Roman" w:cs="Times New Roman"/>
          <w:color w:val="auto"/>
          <w:lang w:val="de-DE" w:eastAsia="zh-CN"/>
        </w:rPr>
        <w:t>《“十四五”全国畜牧兽医行业发展规划》符合性分析</w:t>
      </w:r>
    </w:p>
    <w:p w14:paraId="4C3674E2">
      <w:pPr>
        <w:spacing w:line="360" w:lineRule="auto"/>
        <w:ind w:firstLine="480" w:firstLineChars="200"/>
        <w:rPr>
          <w:rFonts w:hint="default" w:ascii="Times New Roman" w:hAnsi="Times New Roman" w:eastAsia="宋体" w:cs="Times New Roman"/>
          <w:color w:val="auto"/>
          <w:sz w:val="24"/>
          <w:szCs w:val="24"/>
          <w:lang w:val="de-DE"/>
        </w:rPr>
      </w:pPr>
      <w:r>
        <w:rPr>
          <w:rFonts w:hint="default" w:ascii="Times New Roman" w:hAnsi="Times New Roman" w:eastAsia="宋体" w:cs="Times New Roman"/>
          <w:color w:val="auto"/>
          <w:sz w:val="24"/>
          <w:szCs w:val="24"/>
          <w:lang w:val="de-DE" w:eastAsia="zh-CN"/>
        </w:rPr>
        <w:t>《“十四五”全国畜牧兽医行业发展规划》（农牧发〔2021〕37号）中提出的家禽发展目标：禽肉、禽蛋产量分别稳定在2200万吨、3500万吨，保持基本自给，家禽养殖业产值达到1万亿元以上。区域布局与发展重点：肉鸡蛋鸡特色养殖区，包括西藏、青海、宁夏、甘肃、新疆（含新疆生产建设兵团）</w:t>
      </w:r>
      <w:r>
        <w:rPr>
          <w:rFonts w:hint="default" w:ascii="Times New Roman" w:hAnsi="Times New Roman" w:cs="Times New Roman"/>
          <w:color w:val="auto"/>
          <w:sz w:val="24"/>
          <w:szCs w:val="24"/>
          <w:lang w:val="de-DE" w:eastAsia="zh-CN"/>
        </w:rPr>
        <w:t>等省（区）</w:t>
      </w:r>
      <w:r>
        <w:rPr>
          <w:rFonts w:hint="default" w:ascii="Times New Roman" w:hAnsi="Times New Roman" w:eastAsia="宋体" w:cs="Times New Roman"/>
          <w:color w:val="auto"/>
          <w:sz w:val="24"/>
          <w:szCs w:val="24"/>
          <w:lang w:val="de-DE" w:eastAsia="zh-CN"/>
        </w:rPr>
        <w:t>，因地制宜发展地方品种肉鸡蛋鸡养殖，提高消费自给率。</w:t>
      </w:r>
    </w:p>
    <w:p w14:paraId="24741F52">
      <w:pPr>
        <w:spacing w:line="360" w:lineRule="auto"/>
        <w:ind w:firstLine="480" w:firstLineChars="200"/>
        <w:rPr>
          <w:rFonts w:hint="default" w:ascii="Times New Roman" w:hAnsi="Times New Roman" w:cs="Times New Roman"/>
          <w:color w:val="auto"/>
          <w:lang w:val="en-US"/>
        </w:rPr>
      </w:pPr>
      <w:r>
        <w:rPr>
          <w:rFonts w:hint="default" w:ascii="Times New Roman" w:hAnsi="Times New Roman" w:eastAsia="宋体" w:cs="Times New Roman"/>
          <w:color w:val="auto"/>
          <w:sz w:val="24"/>
          <w:szCs w:val="24"/>
          <w:lang w:val="de-DE" w:eastAsia="zh-CN"/>
        </w:rPr>
        <w:t>本项目为蛋鸡规模化养殖项目，年</w:t>
      </w:r>
      <w:r>
        <w:rPr>
          <w:rFonts w:hint="default" w:ascii="Times New Roman" w:hAnsi="Times New Roman" w:cs="Times New Roman"/>
          <w:color w:val="auto"/>
          <w:sz w:val="24"/>
          <w:szCs w:val="24"/>
          <w:lang w:val="en-US" w:eastAsia="zh-CN"/>
        </w:rPr>
        <w:t>存栏蛋鸡和育雏鸡60万羽，</w:t>
      </w:r>
      <w:r>
        <w:rPr>
          <w:rFonts w:hint="default" w:ascii="Times New Roman" w:hAnsi="Times New Roman" w:eastAsia="宋体" w:cs="Times New Roman"/>
          <w:color w:val="auto"/>
          <w:sz w:val="24"/>
          <w:szCs w:val="24"/>
          <w:lang w:val="de-DE" w:eastAsia="zh-CN"/>
        </w:rPr>
        <w:t>本项目的建设将会提高</w:t>
      </w:r>
      <w:r>
        <w:rPr>
          <w:rFonts w:hint="default" w:ascii="Times New Roman" w:hAnsi="Times New Roman" w:cs="Times New Roman"/>
          <w:color w:val="auto"/>
          <w:sz w:val="24"/>
          <w:szCs w:val="24"/>
          <w:lang w:val="en-US" w:eastAsia="zh-CN"/>
        </w:rPr>
        <w:t>北屯市</w:t>
      </w:r>
      <w:r>
        <w:rPr>
          <w:rFonts w:hint="default" w:ascii="Times New Roman" w:hAnsi="Times New Roman" w:eastAsia="宋体" w:cs="Times New Roman"/>
          <w:color w:val="auto"/>
          <w:sz w:val="24"/>
          <w:szCs w:val="24"/>
          <w:lang w:val="de-DE" w:eastAsia="zh-CN"/>
        </w:rPr>
        <w:t>家禽发展规模，稳定禽肉、禽蛋产量。符合《“十四五”全国畜牧兽医行业发展规划》（农牧发〔2021〕37号）中家禽发展目标。</w:t>
      </w:r>
    </w:p>
    <w:p w14:paraId="587006D5">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相关规划符合性分析</w:t>
      </w:r>
    </w:p>
    <w:p w14:paraId="3EC5E4EB">
      <w:pPr>
        <w:pStyle w:val="16"/>
        <w:bidi w:val="0"/>
        <w:rPr>
          <w:rFonts w:hint="default" w:ascii="Times New Roman" w:hAnsi="Times New Roman" w:cs="Times New Roman"/>
          <w:color w:val="auto"/>
        </w:rPr>
      </w:pPr>
      <w:r>
        <w:rPr>
          <w:rFonts w:hint="default" w:ascii="Times New Roman" w:hAnsi="Times New Roman" w:cs="Times New Roman"/>
          <w:color w:val="auto"/>
        </w:rPr>
        <w:t>项目与目前我国有关法律法规及规章制度的符合性分析见表</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w:t>
      </w:r>
    </w:p>
    <w:p w14:paraId="71D7D8C5">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ab/>
      </w:r>
      <w:r>
        <w:rPr>
          <w:rFonts w:hint="default" w:ascii="Times New Roman" w:hAnsi="Times New Roman" w:cs="Times New Roman"/>
          <w:color w:val="auto"/>
        </w:rPr>
        <w:t>相关规划符合性分析一览表</w:t>
      </w:r>
    </w:p>
    <w:tbl>
      <w:tblPr>
        <w:tblStyle w:val="33"/>
        <w:tblW w:w="50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9"/>
        <w:gridCol w:w="5036"/>
        <w:gridCol w:w="2158"/>
      </w:tblGrid>
      <w:tr w14:paraId="1424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699" w:type="pct"/>
            <w:noWrap w:val="0"/>
            <w:vAlign w:val="center"/>
          </w:tcPr>
          <w:p w14:paraId="15B54A83">
            <w:pPr>
              <w:pStyle w:val="69"/>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政策法规</w:t>
            </w:r>
          </w:p>
        </w:tc>
        <w:tc>
          <w:tcPr>
            <w:tcW w:w="3010" w:type="pct"/>
            <w:noWrap w:val="0"/>
            <w:vAlign w:val="center"/>
          </w:tcPr>
          <w:p w14:paraId="43215B0F">
            <w:pPr>
              <w:pStyle w:val="69"/>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相关条款及规定</w:t>
            </w:r>
          </w:p>
        </w:tc>
        <w:tc>
          <w:tcPr>
            <w:tcW w:w="1290" w:type="pct"/>
            <w:noWrap w:val="0"/>
            <w:vAlign w:val="center"/>
          </w:tcPr>
          <w:p w14:paraId="3CF6C459">
            <w:pPr>
              <w:pStyle w:val="69"/>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符合性分析</w:t>
            </w:r>
          </w:p>
        </w:tc>
      </w:tr>
      <w:tr w14:paraId="7E30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7" w:hRule="atLeast"/>
        </w:trPr>
        <w:tc>
          <w:tcPr>
            <w:tcW w:w="699" w:type="pct"/>
            <w:noWrap w:val="0"/>
            <w:vAlign w:val="center"/>
          </w:tcPr>
          <w:p w14:paraId="3F166094">
            <w:pPr>
              <w:pStyle w:val="69"/>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《中华人民共和国国民经济和社会发展第十四个五年规划</w:t>
            </w:r>
            <w:r>
              <w:rPr>
                <w:rFonts w:hint="default" w:ascii="Times New Roman" w:hAnsi="Times New Roman" w:cs="Times New Roman"/>
                <w:color w:val="auto"/>
                <w:sz w:val="21"/>
                <w:szCs w:val="21"/>
                <w:highlight w:val="none"/>
                <w:lang w:eastAsia="zh-CN"/>
              </w:rPr>
              <w:t>和</w:t>
            </w:r>
            <w:r>
              <w:rPr>
                <w:rFonts w:hint="default" w:ascii="Times New Roman" w:hAnsi="Times New Roman" w:cs="Times New Roman"/>
                <w:color w:val="auto"/>
                <w:sz w:val="21"/>
                <w:szCs w:val="21"/>
                <w:highlight w:val="none"/>
              </w:rPr>
              <w:t>2035年远景年远景目标纲要》</w:t>
            </w:r>
          </w:p>
        </w:tc>
        <w:tc>
          <w:tcPr>
            <w:tcW w:w="3010" w:type="pct"/>
            <w:noWrap w:val="0"/>
            <w:vAlign w:val="center"/>
          </w:tcPr>
          <w:p w14:paraId="7405249C">
            <w:pPr>
              <w:pStyle w:val="69"/>
              <w:keepNext w:val="0"/>
              <w:keepLines w:val="0"/>
              <w:pageBreakBefore w:val="0"/>
              <w:widowControl w:val="0"/>
              <w:kinsoku/>
              <w:wordWrap/>
              <w:overflowPunct/>
              <w:topLinePunct w:val="0"/>
              <w:autoSpaceDE w:val="0"/>
              <w:autoSpaceDN w:val="0"/>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深化农业结构调整，优化农业生产布局，建设优势农产品产业带和特色农产品优势区。推进粮经饲统筹、农林牧渔协调，优化种植业结构，大力发展现代畜牧业，促进水产生态健康养殖。推进农业绿色转型，加强产地环境保护治理，推进秸秆综合利用和畜禽粪污资源化利用</w:t>
            </w:r>
            <w:r>
              <w:rPr>
                <w:rFonts w:hint="default" w:ascii="Times New Roman" w:hAnsi="Times New Roman" w:cs="Times New Roman"/>
                <w:color w:val="auto"/>
                <w:sz w:val="21"/>
                <w:szCs w:val="21"/>
                <w:highlight w:val="none"/>
                <w:lang w:eastAsia="zh-CN"/>
              </w:rPr>
              <w:t>。</w:t>
            </w:r>
          </w:p>
        </w:tc>
        <w:tc>
          <w:tcPr>
            <w:tcW w:w="1290" w:type="pct"/>
            <w:noWrap w:val="0"/>
            <w:vAlign w:val="center"/>
          </w:tcPr>
          <w:p w14:paraId="71AF170B">
            <w:pPr>
              <w:pStyle w:val="69"/>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rPr>
              <w:t>属于标准化规模养殖，本次环评按照相关环保规范要求，对本项目运营期养殖场污染物实行统一的收集和治理，并积极推进畜禽粪污资源化利用，项目符合该规划的要求。</w:t>
            </w:r>
          </w:p>
        </w:tc>
      </w:tr>
      <w:tr w14:paraId="0608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1" w:hRule="atLeast"/>
        </w:trPr>
        <w:tc>
          <w:tcPr>
            <w:tcW w:w="699" w:type="pct"/>
            <w:noWrap w:val="0"/>
            <w:vAlign w:val="center"/>
          </w:tcPr>
          <w:p w14:paraId="39F88CCC">
            <w:pPr>
              <w:pStyle w:val="69"/>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《新疆生产建设兵团国民经济和社会发展第十四个五年规划和</w:t>
            </w:r>
            <w:r>
              <w:rPr>
                <w:rFonts w:hint="default" w:ascii="Times New Roman" w:hAnsi="Times New Roman" w:cs="Times New Roman"/>
                <w:color w:val="auto"/>
                <w:sz w:val="21"/>
                <w:szCs w:val="21"/>
                <w:highlight w:val="none"/>
                <w:lang w:eastAsia="zh-CN"/>
              </w:rPr>
              <w:t>二〇三五</w:t>
            </w:r>
            <w:r>
              <w:rPr>
                <w:rFonts w:hint="default" w:ascii="Times New Roman" w:hAnsi="Times New Roman" w:cs="Times New Roman"/>
                <w:color w:val="auto"/>
                <w:sz w:val="21"/>
                <w:szCs w:val="21"/>
                <w:highlight w:val="none"/>
              </w:rPr>
              <w:t>年远景目标纲要》</w:t>
            </w:r>
          </w:p>
        </w:tc>
        <w:tc>
          <w:tcPr>
            <w:tcW w:w="3010" w:type="pct"/>
            <w:noWrap w:val="0"/>
            <w:vAlign w:val="center"/>
          </w:tcPr>
          <w:p w14:paraId="06B425A2">
            <w:pPr>
              <w:pStyle w:val="69"/>
              <w:keepNext w:val="0"/>
              <w:keepLines w:val="0"/>
              <w:pageBreakBefore w:val="0"/>
              <w:widowControl w:val="0"/>
              <w:kinsoku/>
              <w:wordWrap/>
              <w:overflowPunct/>
              <w:topLinePunct w:val="0"/>
              <w:autoSpaceDE w:val="0"/>
              <w:autoSpaceDN w:val="0"/>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力发展畜牧业。坚持农牧结合，调整优化农区畜牧业，适度发展草原畜牧业。加快提升畜牧业综合生产能力，大力发展肉类和乳制品精深加工，加快标准化规模养殖基地建设，建设一批高标准现代畜牧业产业示范区。大力发展生猪、肉牛产业，实施奶业振兴行动，稳步推进肉羊增产，支持特色家禽养殖，因地制宜发展马、驴、兔、鹿等特色养殖。到2025年，力争标准化规模化养殖场比例达到80%。</w:t>
            </w:r>
          </w:p>
        </w:tc>
        <w:tc>
          <w:tcPr>
            <w:tcW w:w="1290" w:type="pct"/>
            <w:noWrap w:val="0"/>
            <w:vAlign w:val="center"/>
          </w:tcPr>
          <w:p w14:paraId="71F8736E">
            <w:pPr>
              <w:pStyle w:val="69"/>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default" w:ascii="Times New Roman" w:hAnsi="Times New Roman" w:cs="Times New Roman"/>
                <w:color w:val="auto"/>
                <w:sz w:val="21"/>
                <w:szCs w:val="21"/>
                <w:highlight w:val="none"/>
                <w:lang w:eastAsia="zh-CN"/>
              </w:rPr>
              <w:t>年</w:t>
            </w:r>
            <w:r>
              <w:rPr>
                <w:rFonts w:hint="default" w:ascii="Times New Roman" w:hAnsi="Times New Roman" w:cs="Times New Roman"/>
                <w:color w:val="auto"/>
                <w:sz w:val="21"/>
                <w:szCs w:val="21"/>
                <w:highlight w:val="none"/>
                <w:lang w:val="en-US" w:eastAsia="zh-CN"/>
              </w:rPr>
              <w:t>存栏蛋鸡和育雏鸡60</w:t>
            </w:r>
            <w:r>
              <w:rPr>
                <w:rFonts w:hint="default" w:ascii="Times New Roman" w:hAnsi="Times New Roman" w:cs="Times New Roman"/>
                <w:color w:val="auto"/>
                <w:sz w:val="21"/>
                <w:szCs w:val="21"/>
                <w:highlight w:val="none"/>
                <w:lang w:eastAsia="zh-CN"/>
              </w:rPr>
              <w:t>万羽</w:t>
            </w:r>
            <w:r>
              <w:rPr>
                <w:rFonts w:hint="default" w:ascii="Times New Roman" w:hAnsi="Times New Roman" w:cs="Times New Roman"/>
                <w:color w:val="auto"/>
                <w:sz w:val="21"/>
                <w:szCs w:val="21"/>
                <w:highlight w:val="none"/>
              </w:rPr>
              <w:t>。属于标准化规模养殖，符合</w:t>
            </w:r>
            <w:r>
              <w:rPr>
                <w:rFonts w:hint="default" w:ascii="Times New Roman" w:hAnsi="Times New Roman" w:cs="Times New Roman"/>
                <w:color w:val="0000FF"/>
                <w:sz w:val="21"/>
                <w:szCs w:val="21"/>
                <w:highlight w:val="none"/>
              </w:rPr>
              <w:t>加快标准化规模养殖基地建设要求</w:t>
            </w:r>
            <w:r>
              <w:rPr>
                <w:rFonts w:hint="default" w:ascii="Times New Roman" w:hAnsi="Times New Roman" w:cs="Times New Roman"/>
                <w:color w:val="auto"/>
                <w:sz w:val="21"/>
                <w:szCs w:val="21"/>
                <w:highlight w:val="none"/>
              </w:rPr>
              <w:t>，因此本项目符合规划纲要的有关要求。</w:t>
            </w:r>
          </w:p>
        </w:tc>
      </w:tr>
      <w:tr w14:paraId="0657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699" w:type="pct"/>
            <w:noWrap w:val="0"/>
            <w:vAlign w:val="center"/>
          </w:tcPr>
          <w:p w14:paraId="00F4BD8E">
            <w:pPr>
              <w:keepNext w:val="0"/>
              <w:keepLines w:val="0"/>
              <w:pageBreakBefore w:val="0"/>
              <w:widowControl/>
              <w:suppressLineNumbers w:val="0"/>
              <w:kinsoku/>
              <w:wordWrap/>
              <w:overflowPunct/>
              <w:topLinePunct w:val="0"/>
              <w:autoSpaceDE w:val="0"/>
              <w:autoSpaceDN w:val="0"/>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zh-CN"/>
              </w:rPr>
              <w:t>《新疆生产建设兵团“十四五”生态环境保护规划》</w:t>
            </w:r>
          </w:p>
        </w:tc>
        <w:tc>
          <w:tcPr>
            <w:tcW w:w="3010" w:type="pct"/>
            <w:noWrap w:val="0"/>
            <w:vAlign w:val="center"/>
          </w:tcPr>
          <w:p w14:paraId="6C8D3DC4">
            <w:pPr>
              <w:pStyle w:val="69"/>
              <w:keepNext w:val="0"/>
              <w:keepLines w:val="0"/>
              <w:pageBreakBefore w:val="0"/>
              <w:widowControl w:val="0"/>
              <w:kinsoku/>
              <w:wordWrap/>
              <w:overflowPunct/>
              <w:topLinePunct w:val="0"/>
              <w:autoSpaceDE w:val="0"/>
              <w:autoSpaceDN w:val="0"/>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加强恶臭、有毒有害大气污染物防控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加强工业臭气异味治理，开展无异味企业建设，加强垃圾处理、污水处理各环节和畜禽养殖场臭气异味控制，提升恶臭治理水平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严格控制餐饮油烟，加大超标排放处罚力度。探索建立有毒有害大气污染物管理体系和工作机制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加强农业面源水污染防治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扎实开展农业面源水污染综合整治，持续加强对兵团农业面源污染控制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加强农排渠的水污染治理，采取农业灌溉系统改造、生态拦截沟建设、污水净化塘等措施，减少农田退水污染负荷</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强化屠宰行业外排污水预处理，鼓励深度处理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加强水产养殖尾水治理，推广应用封闭式循环水、零废水排放或尾水处理后排放的水产养殖新技术</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农业面源水污染防治工程</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推进畜禽养殖废弃物资源化利用，开展农业面源水污染综合整治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推进养殖业清洁化和生态化发展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推广节水、节料等清洁养殖工艺和干清粪、微生物发酵等实用技术，实现畜禽粪污源头减量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严格规范兽药、饲料及饲料添加剂的生产和使用，严厉打击兽药生产企业违法违规生产禁用兽用药物行为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大力推进畜禽养殖废弃物资源化利用，推动规模化养殖场粪污处理基础设施设备配套建设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鼓励和引导社会资本参与畜禽粪污资源化利用，推动建立病死畜禽无害化集中处理体系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到2025年，畜禽粪污综合利用率达到80%以上</w:t>
            </w:r>
            <w:r>
              <w:rPr>
                <w:rFonts w:hint="default" w:ascii="Times New Roman" w:hAnsi="Times New Roman" w:eastAsia="宋体" w:cs="Times New Roman"/>
                <w:color w:val="auto"/>
                <w:sz w:val="21"/>
                <w:szCs w:val="21"/>
                <w:highlight w:val="none"/>
                <w:lang w:eastAsia="zh-CN"/>
              </w:rPr>
              <w:t>。</w:t>
            </w:r>
          </w:p>
        </w:tc>
        <w:tc>
          <w:tcPr>
            <w:tcW w:w="1290" w:type="pct"/>
            <w:noWrap w:val="0"/>
            <w:vAlign w:val="center"/>
          </w:tcPr>
          <w:p w14:paraId="334FAA82">
            <w:pPr>
              <w:pStyle w:val="15"/>
              <w:rPr>
                <w:rFonts w:hint="default" w:ascii="Times New Roman" w:hAnsi="Times New Roman" w:cs="Times New Roman"/>
                <w:color w:val="auto"/>
                <w:sz w:val="21"/>
                <w:szCs w:val="21"/>
                <w:highlight w:val="none"/>
              </w:rPr>
            </w:pPr>
            <w:r>
              <w:rPr>
                <w:rFonts w:hint="default" w:ascii="Times New Roman" w:hAnsi="Times New Roman" w:cs="Times New Roman"/>
                <w:sz w:val="21"/>
                <w:szCs w:val="21"/>
                <w:lang w:eastAsia="zh-CN"/>
              </w:rPr>
              <w:t>饲料加工产生的粉尘</w:t>
            </w:r>
            <w:r>
              <w:rPr>
                <w:rFonts w:hint="default" w:ascii="Times New Roman" w:hAnsi="Times New Roman" w:cs="Times New Roman"/>
                <w:sz w:val="21"/>
                <w:szCs w:val="21"/>
                <w:lang w:val="en-US" w:eastAsia="zh-CN"/>
              </w:rPr>
              <w:t>经袋式除尘器处理后达标排放，</w:t>
            </w:r>
            <w:r>
              <w:rPr>
                <w:rFonts w:hint="default" w:ascii="Times New Roman" w:hAnsi="Times New Roman" w:eastAsia="宋体" w:cs="Times New Roman"/>
                <w:color w:val="auto"/>
                <w:sz w:val="21"/>
                <w:szCs w:val="21"/>
                <w:highlight w:val="none"/>
              </w:rPr>
              <w:t>加强恶臭、有毒有害大气污染物防控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畜禽养殖场臭气异味控制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bidi="zh-CN"/>
              </w:rPr>
              <w:t>固体粪便集中在鸡粪发酵处理场腐熟发酵无害化处置后外售给项目区周边的农户；做到不外排。</w:t>
            </w:r>
          </w:p>
        </w:tc>
      </w:tr>
    </w:tbl>
    <w:p w14:paraId="3465CC84">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相关技术规范符合性分析</w:t>
      </w:r>
    </w:p>
    <w:p w14:paraId="0BA6EFED">
      <w:pPr>
        <w:pStyle w:val="5"/>
        <w:bidi w:val="0"/>
        <w:rPr>
          <w:rFonts w:hint="default" w:ascii="Times New Roman" w:hAnsi="Times New Roman" w:cs="Times New Roman"/>
          <w:color w:val="auto"/>
          <w:lang w:val="de-DE"/>
        </w:rPr>
      </w:pPr>
      <w:r>
        <w:rPr>
          <w:rFonts w:hint="default" w:ascii="Times New Roman" w:hAnsi="Times New Roman" w:cs="Times New Roman"/>
          <w:color w:val="auto"/>
          <w:lang w:val="de-DE"/>
        </w:rPr>
        <w:t>与《关于做好畜禽规模养殖项目环境影响评价管理工作的通知》</w:t>
      </w:r>
      <w:r>
        <w:rPr>
          <w:rFonts w:hint="default" w:ascii="Times New Roman" w:hAnsi="Times New Roman" w:cs="Times New Roman"/>
          <w:color w:val="auto"/>
          <w:lang w:val="de-DE" w:eastAsia="zh-CN"/>
        </w:rPr>
        <w:t>（环办环评〔2018〕31号）</w:t>
      </w:r>
      <w:r>
        <w:rPr>
          <w:rFonts w:hint="default" w:ascii="Times New Roman" w:hAnsi="Times New Roman" w:cs="Times New Roman"/>
          <w:color w:val="auto"/>
          <w:lang w:val="de-DE"/>
        </w:rPr>
        <w:t>的相符性</w:t>
      </w:r>
    </w:p>
    <w:p w14:paraId="3DF7D70B">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zh-CN"/>
        </w:rPr>
        <w:t>本项目与《关于做好畜禽规模养殖项目环境影响评价管理工作的通知》的相符性</w:t>
      </w:r>
      <w:r>
        <w:rPr>
          <w:rFonts w:hint="default" w:ascii="Times New Roman" w:hAnsi="Times New Roman" w:cs="Times New Roman"/>
          <w:color w:val="auto"/>
          <w:sz w:val="24"/>
        </w:rPr>
        <w:t>分析详见表1.4-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p w14:paraId="2BAEDC4E">
      <w:pPr>
        <w:pStyle w:val="14"/>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b/>
          <w:color w:val="auto"/>
          <w:sz w:val="21"/>
          <w:szCs w:val="21"/>
        </w:rPr>
        <w:t>项目</w:t>
      </w:r>
      <w:r>
        <w:rPr>
          <w:rFonts w:hint="default" w:ascii="Times New Roman" w:hAnsi="Times New Roman" w:cs="Times New Roman"/>
          <w:b/>
          <w:color w:val="auto"/>
          <w:sz w:val="21"/>
          <w:szCs w:val="21"/>
          <w:lang w:val="zh-CN"/>
        </w:rPr>
        <w:t>与《关于做好畜禽规模养殖项目环境影响评价管理工作的通知》相符性</w:t>
      </w:r>
      <w:r>
        <w:rPr>
          <w:rFonts w:hint="default" w:ascii="Times New Roman" w:hAnsi="Times New Roman" w:cs="Times New Roman"/>
          <w:b/>
          <w:color w:val="auto"/>
          <w:sz w:val="21"/>
          <w:szCs w:val="21"/>
        </w:rPr>
        <w:t>分析</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5"/>
        <w:gridCol w:w="4420"/>
        <w:gridCol w:w="2280"/>
        <w:gridCol w:w="935"/>
      </w:tblGrid>
      <w:tr w14:paraId="54DF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tcBorders>
              <w:tl2br w:val="nil"/>
              <w:tr2bl w:val="nil"/>
            </w:tcBorders>
            <w:noWrap/>
            <w:vAlign w:val="center"/>
          </w:tcPr>
          <w:p w14:paraId="7B1778EC">
            <w:pPr>
              <w:adjustRightInd w:val="0"/>
              <w:snapToGrid w:val="0"/>
              <w:jc w:val="center"/>
              <w:rPr>
                <w:rFonts w:hint="default" w:ascii="Times New Roman" w:hAnsi="Times New Roman" w:cs="Times New Roman"/>
                <w:color w:val="auto"/>
                <w:szCs w:val="21"/>
              </w:rPr>
            </w:pPr>
          </w:p>
        </w:tc>
        <w:tc>
          <w:tcPr>
            <w:tcW w:w="4420" w:type="dxa"/>
            <w:tcBorders>
              <w:tl2br w:val="nil"/>
              <w:tr2bl w:val="nil"/>
            </w:tcBorders>
            <w:noWrap/>
            <w:vAlign w:val="center"/>
          </w:tcPr>
          <w:p w14:paraId="268C2F4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具体规定与要求</w:t>
            </w:r>
          </w:p>
        </w:tc>
        <w:tc>
          <w:tcPr>
            <w:tcW w:w="2280" w:type="dxa"/>
            <w:tcBorders>
              <w:tl2br w:val="nil"/>
              <w:tr2bl w:val="nil"/>
            </w:tcBorders>
            <w:noWrap/>
            <w:vAlign w:val="center"/>
          </w:tcPr>
          <w:p w14:paraId="49A725E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本项目实际情况</w:t>
            </w:r>
          </w:p>
        </w:tc>
        <w:tc>
          <w:tcPr>
            <w:tcW w:w="935" w:type="dxa"/>
            <w:tcBorders>
              <w:tl2br w:val="nil"/>
              <w:tr2bl w:val="nil"/>
            </w:tcBorders>
            <w:noWrap/>
            <w:vAlign w:val="center"/>
          </w:tcPr>
          <w:p w14:paraId="1A9AD71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符合性分析</w:t>
            </w:r>
          </w:p>
        </w:tc>
      </w:tr>
      <w:tr w14:paraId="3B23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vMerge w:val="restart"/>
            <w:tcBorders>
              <w:tl2br w:val="nil"/>
              <w:tr2bl w:val="nil"/>
            </w:tcBorders>
            <w:noWrap/>
            <w:vAlign w:val="center"/>
          </w:tcPr>
          <w:p w14:paraId="47B26C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优化项目选址，合理布置养殖场区</w:t>
            </w:r>
          </w:p>
        </w:tc>
        <w:tc>
          <w:tcPr>
            <w:tcW w:w="4420" w:type="dxa"/>
            <w:tcBorders>
              <w:tl2br w:val="nil"/>
              <w:tr2bl w:val="nil"/>
            </w:tcBorders>
            <w:noWrap/>
            <w:vAlign w:val="center"/>
          </w:tcPr>
          <w:p w14:paraId="2AAA9E60">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w:t>
            </w:r>
            <w:r>
              <w:rPr>
                <w:rFonts w:hint="default" w:ascii="Times New Roman" w:hAnsi="Times New Roman" w:cs="Times New Roman"/>
                <w:color w:val="auto"/>
                <w:szCs w:val="21"/>
                <w:lang w:eastAsia="zh-CN"/>
              </w:rPr>
              <w:t>法律法规</w:t>
            </w:r>
            <w:r>
              <w:rPr>
                <w:rFonts w:hint="default" w:ascii="Times New Roman" w:hAnsi="Times New Roman" w:cs="Times New Roman"/>
                <w:color w:val="auto"/>
                <w:szCs w:val="21"/>
              </w:rPr>
              <w:t>规定的禁止养殖区域</w:t>
            </w:r>
          </w:p>
        </w:tc>
        <w:tc>
          <w:tcPr>
            <w:tcW w:w="2280" w:type="dxa"/>
            <w:tcBorders>
              <w:tl2br w:val="nil"/>
              <w:tr2bl w:val="nil"/>
            </w:tcBorders>
            <w:noWrap/>
            <w:vAlign w:val="center"/>
          </w:tcPr>
          <w:p w14:paraId="11561E4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本项目位于</w:t>
            </w:r>
            <w:r>
              <w:rPr>
                <w:rFonts w:hint="default" w:ascii="Times New Roman" w:hAnsi="Times New Roman" w:cs="Times New Roman"/>
                <w:color w:val="auto"/>
                <w:szCs w:val="21"/>
                <w:lang w:val="en-US" w:eastAsia="zh-CN"/>
              </w:rPr>
              <w:t>第十师188团</w:t>
            </w:r>
            <w:r>
              <w:rPr>
                <w:rFonts w:hint="default" w:ascii="Times New Roman" w:hAnsi="Times New Roman" w:cs="Times New Roman"/>
                <w:color w:val="auto"/>
                <w:szCs w:val="21"/>
              </w:rPr>
              <w:t>，不属于保护区核心区及缓冲区，不在人口集中地区，不在</w:t>
            </w:r>
            <w:r>
              <w:rPr>
                <w:rFonts w:hint="default" w:ascii="Times New Roman" w:hAnsi="Times New Roman" w:cs="Times New Roman"/>
                <w:color w:val="auto"/>
                <w:szCs w:val="21"/>
                <w:lang w:val="en-US" w:eastAsia="zh-CN"/>
              </w:rPr>
              <w:t>北屯市</w:t>
            </w:r>
            <w:r>
              <w:rPr>
                <w:rFonts w:hint="default" w:ascii="Times New Roman" w:hAnsi="Times New Roman" w:cs="Times New Roman"/>
                <w:color w:val="auto"/>
                <w:szCs w:val="21"/>
              </w:rPr>
              <w:t>划定的禁养区、限养区及其他需要特殊保护区域</w:t>
            </w:r>
          </w:p>
        </w:tc>
        <w:tc>
          <w:tcPr>
            <w:tcW w:w="935" w:type="dxa"/>
            <w:tcBorders>
              <w:tl2br w:val="nil"/>
              <w:tr2bl w:val="nil"/>
            </w:tcBorders>
            <w:noWrap/>
            <w:vAlign w:val="center"/>
          </w:tcPr>
          <w:p w14:paraId="030EB80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14:paraId="3C8A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vMerge w:val="continue"/>
            <w:tcBorders>
              <w:tl2br w:val="nil"/>
              <w:tr2bl w:val="nil"/>
            </w:tcBorders>
            <w:noWrap/>
            <w:vAlign w:val="center"/>
          </w:tcPr>
          <w:p w14:paraId="17884944">
            <w:pPr>
              <w:adjustRightInd w:val="0"/>
              <w:snapToGrid w:val="0"/>
              <w:jc w:val="center"/>
              <w:rPr>
                <w:rFonts w:hint="default" w:ascii="Times New Roman" w:hAnsi="Times New Roman" w:cs="Times New Roman"/>
                <w:color w:val="auto"/>
                <w:szCs w:val="21"/>
              </w:rPr>
            </w:pPr>
          </w:p>
        </w:tc>
        <w:tc>
          <w:tcPr>
            <w:tcW w:w="4420" w:type="dxa"/>
            <w:tcBorders>
              <w:tl2br w:val="nil"/>
              <w:tr2bl w:val="nil"/>
            </w:tcBorders>
            <w:noWrap/>
            <w:vAlign w:val="center"/>
          </w:tcPr>
          <w:p w14:paraId="54E94601">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大气环境》要求计算大气环境防护距离，作为养殖场选址以及周边规划控制的依据，减轻对周围环境保护目标的不利影响</w:t>
            </w:r>
          </w:p>
        </w:tc>
        <w:tc>
          <w:tcPr>
            <w:tcW w:w="2280" w:type="dxa"/>
            <w:tcBorders>
              <w:tl2br w:val="nil"/>
              <w:tr2bl w:val="nil"/>
            </w:tcBorders>
            <w:noWrap/>
            <w:vAlign w:val="center"/>
          </w:tcPr>
          <w:p w14:paraId="616FF470">
            <w:pPr>
              <w:pStyle w:val="15"/>
              <w:rPr>
                <w:rFonts w:hint="default" w:ascii="Times New Roman" w:hAnsi="Times New Roman" w:cs="Times New Roman"/>
                <w:bCs/>
                <w:color w:val="auto"/>
                <w:szCs w:val="21"/>
              </w:rPr>
            </w:pPr>
            <w:r>
              <w:rPr>
                <w:rFonts w:hint="default" w:ascii="Times New Roman" w:hAnsi="Times New Roman" w:cs="Times New Roman"/>
                <w:bCs/>
                <w:color w:val="auto"/>
                <w:szCs w:val="21"/>
              </w:rPr>
              <w:t>本项目养殖区</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粪便处理和病死</w:t>
            </w:r>
            <w:r>
              <w:rPr>
                <w:rFonts w:hint="default" w:ascii="Times New Roman" w:hAnsi="Times New Roman" w:cs="Times New Roman"/>
                <w:bCs/>
                <w:color w:val="auto"/>
                <w:szCs w:val="21"/>
                <w:lang w:val="en-US" w:eastAsia="zh-CN"/>
              </w:rPr>
              <w:t>鸡</w:t>
            </w:r>
            <w:r>
              <w:rPr>
                <w:rFonts w:hint="eastAsia" w:ascii="Times New Roman" w:hAnsi="Times New Roman" w:cs="Times New Roman"/>
                <w:bCs/>
                <w:color w:val="auto"/>
                <w:szCs w:val="21"/>
                <w:lang w:val="en-US" w:eastAsia="zh-CN"/>
              </w:rPr>
              <w:t>安全填埋场</w:t>
            </w:r>
            <w:r>
              <w:rPr>
                <w:rFonts w:hint="default" w:ascii="Times New Roman" w:hAnsi="Times New Roman" w:cs="Times New Roman"/>
                <w:bCs/>
                <w:color w:val="auto"/>
                <w:szCs w:val="21"/>
              </w:rPr>
              <w:t>等产生恶臭影响的设施</w:t>
            </w:r>
            <w:r>
              <w:rPr>
                <w:rFonts w:hint="default" w:ascii="Times New Roman" w:hAnsi="Times New Roman" w:cs="Times New Roman"/>
                <w:bCs/>
                <w:color w:val="auto"/>
                <w:szCs w:val="21"/>
                <w:lang w:val="en-US" w:eastAsia="zh-CN"/>
              </w:rPr>
              <w:t>以及</w:t>
            </w:r>
            <w:r>
              <w:rPr>
                <w:rFonts w:hint="default" w:ascii="Times New Roman" w:hAnsi="Times New Roman" w:cs="Times New Roman"/>
                <w:lang w:eastAsia="zh-CN"/>
              </w:rPr>
              <w:t>饲料加工产生的粉尘</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均</w:t>
            </w:r>
            <w:r>
              <w:rPr>
                <w:rFonts w:hint="default" w:ascii="Times New Roman" w:hAnsi="Times New Roman" w:cs="Times New Roman"/>
                <w:bCs/>
                <w:color w:val="auto"/>
                <w:szCs w:val="21"/>
              </w:rPr>
              <w:t>位于养殖场区主导风向的下风向位置，并远离周边环境保护目标</w:t>
            </w:r>
          </w:p>
        </w:tc>
        <w:tc>
          <w:tcPr>
            <w:tcW w:w="935" w:type="dxa"/>
            <w:tcBorders>
              <w:tl2br w:val="nil"/>
              <w:tr2bl w:val="nil"/>
            </w:tcBorders>
            <w:noWrap/>
            <w:vAlign w:val="center"/>
          </w:tcPr>
          <w:p w14:paraId="296D126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14:paraId="6D6B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vMerge w:val="restart"/>
            <w:tcBorders>
              <w:tl2br w:val="nil"/>
              <w:tr2bl w:val="nil"/>
            </w:tcBorders>
            <w:noWrap/>
            <w:vAlign w:val="center"/>
          </w:tcPr>
          <w:p w14:paraId="005DB8B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加强粪污减量控制，促进畜禽养殖粪污资源化利用</w:t>
            </w:r>
          </w:p>
        </w:tc>
        <w:tc>
          <w:tcPr>
            <w:tcW w:w="4420" w:type="dxa"/>
            <w:tcBorders>
              <w:tl2br w:val="nil"/>
              <w:tr2bl w:val="nil"/>
            </w:tcBorders>
            <w:noWrap/>
            <w:vAlign w:val="center"/>
          </w:tcPr>
          <w:p w14:paraId="37B7C0E3">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tc>
        <w:tc>
          <w:tcPr>
            <w:tcW w:w="2280" w:type="dxa"/>
            <w:tcBorders>
              <w:tl2br w:val="nil"/>
              <w:tr2bl w:val="nil"/>
            </w:tcBorders>
            <w:noWrap/>
            <w:vAlign w:val="center"/>
          </w:tcPr>
          <w:p w14:paraId="727872CD">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采取干清粪方式，场区采取雨污分离措施</w:t>
            </w:r>
          </w:p>
        </w:tc>
        <w:tc>
          <w:tcPr>
            <w:tcW w:w="935" w:type="dxa"/>
            <w:tcBorders>
              <w:tl2br w:val="nil"/>
              <w:tr2bl w:val="nil"/>
            </w:tcBorders>
            <w:noWrap/>
            <w:vAlign w:val="center"/>
          </w:tcPr>
          <w:p w14:paraId="53D616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14:paraId="65A5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vMerge w:val="continue"/>
            <w:tcBorders>
              <w:tl2br w:val="nil"/>
              <w:tr2bl w:val="nil"/>
            </w:tcBorders>
            <w:noWrap/>
            <w:vAlign w:val="center"/>
          </w:tcPr>
          <w:p w14:paraId="36FF3A8C">
            <w:pPr>
              <w:adjustRightInd w:val="0"/>
              <w:snapToGrid w:val="0"/>
              <w:rPr>
                <w:rFonts w:hint="default" w:ascii="Times New Roman" w:hAnsi="Times New Roman" w:cs="Times New Roman"/>
                <w:color w:val="auto"/>
                <w:szCs w:val="21"/>
              </w:rPr>
            </w:pPr>
          </w:p>
        </w:tc>
        <w:tc>
          <w:tcPr>
            <w:tcW w:w="4420" w:type="dxa"/>
            <w:tcBorders>
              <w:tl2br w:val="nil"/>
              <w:tr2bl w:val="nil"/>
            </w:tcBorders>
            <w:noWrap/>
            <w:vAlign w:val="center"/>
          </w:tcPr>
          <w:p w14:paraId="6C4A0258">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种养结合”绿色发展</w:t>
            </w:r>
          </w:p>
        </w:tc>
        <w:tc>
          <w:tcPr>
            <w:tcW w:w="2280" w:type="dxa"/>
            <w:tcBorders>
              <w:tl2br w:val="nil"/>
              <w:tr2bl w:val="nil"/>
            </w:tcBorders>
            <w:noWrap/>
            <w:vAlign w:val="center"/>
          </w:tcPr>
          <w:p w14:paraId="30699D37">
            <w:pPr>
              <w:adjustRightInd w:val="0"/>
              <w:snapToGrid w:val="0"/>
              <w:rPr>
                <w:rFonts w:hint="default" w:ascii="Times New Roman" w:hAnsi="Times New Roman" w:cs="Times New Roman"/>
                <w:color w:val="auto"/>
                <w:szCs w:val="21"/>
              </w:rPr>
            </w:pPr>
            <w:r>
              <w:rPr>
                <w:rFonts w:hint="default" w:ascii="Times New Roman" w:hAnsi="Times New Roman" w:cs="Times New Roman"/>
                <w:bCs/>
                <w:color w:val="auto"/>
                <w:szCs w:val="21"/>
              </w:rPr>
              <w:t>本项目采取因地制宜，集中处置的方式，</w:t>
            </w:r>
            <w:r>
              <w:rPr>
                <w:rFonts w:hint="default" w:ascii="Times New Roman" w:hAnsi="Times New Roman" w:cs="Times New Roman"/>
                <w:bCs/>
                <w:color w:val="auto"/>
                <w:szCs w:val="21"/>
                <w:highlight w:val="none"/>
              </w:rPr>
              <w:t>粪便</w:t>
            </w:r>
            <w:r>
              <w:rPr>
                <w:rFonts w:hint="default" w:ascii="Times New Roman" w:hAnsi="Times New Roman" w:cs="Times New Roman"/>
                <w:bCs/>
                <w:color w:val="auto"/>
                <w:szCs w:val="21"/>
                <w:highlight w:val="none"/>
                <w:lang w:val="en-US" w:eastAsia="zh-CN"/>
              </w:rPr>
              <w:t>暂存鸡粪发酵处理场后发酵后外售农户综合利用</w:t>
            </w:r>
            <w:r>
              <w:rPr>
                <w:rFonts w:hint="default" w:ascii="Times New Roman" w:hAnsi="Times New Roman" w:cs="Times New Roman"/>
                <w:bCs/>
                <w:color w:val="auto"/>
                <w:szCs w:val="21"/>
              </w:rPr>
              <w:t>。</w:t>
            </w:r>
          </w:p>
        </w:tc>
        <w:tc>
          <w:tcPr>
            <w:tcW w:w="935" w:type="dxa"/>
            <w:tcBorders>
              <w:tl2br w:val="nil"/>
              <w:tr2bl w:val="nil"/>
            </w:tcBorders>
            <w:noWrap/>
            <w:vAlign w:val="center"/>
          </w:tcPr>
          <w:p w14:paraId="65E3C80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14:paraId="64C0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vMerge w:val="continue"/>
            <w:tcBorders>
              <w:tl2br w:val="nil"/>
              <w:tr2bl w:val="nil"/>
            </w:tcBorders>
            <w:noWrap/>
            <w:vAlign w:val="center"/>
          </w:tcPr>
          <w:p w14:paraId="65D76A7D">
            <w:pPr>
              <w:adjustRightInd w:val="0"/>
              <w:snapToGrid w:val="0"/>
              <w:rPr>
                <w:rFonts w:hint="default" w:ascii="Times New Roman" w:hAnsi="Times New Roman" w:cs="Times New Roman"/>
                <w:color w:val="auto"/>
                <w:szCs w:val="21"/>
              </w:rPr>
            </w:pPr>
          </w:p>
        </w:tc>
        <w:tc>
          <w:tcPr>
            <w:tcW w:w="4420" w:type="dxa"/>
            <w:tcBorders>
              <w:tl2br w:val="nil"/>
              <w:tr2bl w:val="nil"/>
            </w:tcBorders>
            <w:noWrap/>
            <w:vAlign w:val="center"/>
          </w:tcPr>
          <w:p w14:paraId="63464C84">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当土地消纳能力不足时，应进一步提高资源化利用能力或适当减少养殖规模。鼓励依托符合环保要求的专业化粪污处理利用企业，提高畜禽养殖粪污集中收集利用能力。环评应明确畜禽养殖粪污资源化利用的主体，严格落实利用渠道或途径，确保资源化利用有效实施</w:t>
            </w:r>
          </w:p>
        </w:tc>
        <w:tc>
          <w:tcPr>
            <w:tcW w:w="2280" w:type="dxa"/>
            <w:tcBorders>
              <w:tl2br w:val="nil"/>
              <w:tr2bl w:val="nil"/>
            </w:tcBorders>
            <w:noWrap/>
            <w:vAlign w:val="center"/>
          </w:tcPr>
          <w:p w14:paraId="4BF4C13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本项目</w:t>
            </w:r>
            <w:r>
              <w:rPr>
                <w:rFonts w:hint="default" w:ascii="Times New Roman" w:hAnsi="Times New Roman" w:cs="Times New Roman"/>
                <w:bCs/>
                <w:color w:val="auto"/>
                <w:szCs w:val="21"/>
                <w:highlight w:val="none"/>
              </w:rPr>
              <w:t>粪便</w:t>
            </w:r>
            <w:r>
              <w:rPr>
                <w:rFonts w:hint="default" w:ascii="Times New Roman" w:hAnsi="Times New Roman" w:cs="Times New Roman"/>
                <w:bCs/>
                <w:color w:val="auto"/>
                <w:szCs w:val="21"/>
                <w:highlight w:val="none"/>
                <w:lang w:val="en-US" w:eastAsia="zh-CN"/>
              </w:rPr>
              <w:t>暂存鸡粪发酵处理场后发酵后外售农户综合利用。</w:t>
            </w:r>
          </w:p>
        </w:tc>
        <w:tc>
          <w:tcPr>
            <w:tcW w:w="935" w:type="dxa"/>
            <w:tcBorders>
              <w:tl2br w:val="nil"/>
              <w:tr2bl w:val="nil"/>
            </w:tcBorders>
            <w:noWrap/>
            <w:vAlign w:val="center"/>
          </w:tcPr>
          <w:p w14:paraId="58412A7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14:paraId="6252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vMerge w:val="restart"/>
            <w:tcBorders>
              <w:tl2br w:val="nil"/>
              <w:tr2bl w:val="nil"/>
            </w:tcBorders>
            <w:noWrap/>
            <w:vAlign w:val="center"/>
          </w:tcPr>
          <w:p w14:paraId="020DDA32">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强化粪污治理措施，做好污染防治</w:t>
            </w:r>
          </w:p>
        </w:tc>
        <w:tc>
          <w:tcPr>
            <w:tcW w:w="4420" w:type="dxa"/>
            <w:tcBorders>
              <w:tl2br w:val="nil"/>
              <w:tr2bl w:val="nil"/>
            </w:tcBorders>
            <w:noWrap/>
            <w:vAlign w:val="center"/>
          </w:tcPr>
          <w:p w14:paraId="19C2709F">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tc>
        <w:tc>
          <w:tcPr>
            <w:tcW w:w="2280" w:type="dxa"/>
            <w:tcBorders>
              <w:tl2br w:val="nil"/>
              <w:tr2bl w:val="nil"/>
            </w:tcBorders>
            <w:noWrap/>
            <w:vAlign w:val="center"/>
          </w:tcPr>
          <w:p w14:paraId="2D31697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本项目采用干清粪，</w:t>
            </w:r>
            <w:r>
              <w:rPr>
                <w:rFonts w:hint="default" w:ascii="Times New Roman" w:hAnsi="Times New Roman" w:cs="Times New Roman"/>
                <w:bCs/>
                <w:color w:val="auto"/>
                <w:szCs w:val="21"/>
                <w:highlight w:val="none"/>
              </w:rPr>
              <w:t>粪便</w:t>
            </w:r>
            <w:r>
              <w:rPr>
                <w:rFonts w:hint="default" w:ascii="Times New Roman" w:hAnsi="Times New Roman" w:cs="Times New Roman"/>
                <w:bCs/>
                <w:color w:val="auto"/>
                <w:szCs w:val="21"/>
                <w:highlight w:val="none"/>
                <w:lang w:val="en-US" w:eastAsia="zh-CN"/>
              </w:rPr>
              <w:t>暂存鸡粪发酵处理场后发酵后外售农户综合利用</w:t>
            </w:r>
          </w:p>
        </w:tc>
        <w:tc>
          <w:tcPr>
            <w:tcW w:w="935" w:type="dxa"/>
            <w:tcBorders>
              <w:tl2br w:val="nil"/>
              <w:tr2bl w:val="nil"/>
            </w:tcBorders>
            <w:noWrap/>
            <w:vAlign w:val="center"/>
          </w:tcPr>
          <w:p w14:paraId="34E173A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14:paraId="7740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vMerge w:val="continue"/>
            <w:tcBorders>
              <w:tl2br w:val="nil"/>
              <w:tr2bl w:val="nil"/>
            </w:tcBorders>
            <w:noWrap/>
            <w:vAlign w:val="center"/>
          </w:tcPr>
          <w:p w14:paraId="7D49B2EA">
            <w:pPr>
              <w:adjustRightInd w:val="0"/>
              <w:snapToGrid w:val="0"/>
              <w:rPr>
                <w:rFonts w:hint="default" w:ascii="Times New Roman" w:hAnsi="Times New Roman" w:cs="Times New Roman"/>
                <w:color w:val="auto"/>
                <w:szCs w:val="21"/>
              </w:rPr>
            </w:pPr>
          </w:p>
        </w:tc>
        <w:tc>
          <w:tcPr>
            <w:tcW w:w="4420" w:type="dxa"/>
            <w:tcBorders>
              <w:tl2br w:val="nil"/>
              <w:tr2bl w:val="nil"/>
            </w:tcBorders>
            <w:noWrap/>
            <w:vAlign w:val="center"/>
          </w:tcPr>
          <w:p w14:paraId="55795AA2">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tc>
        <w:tc>
          <w:tcPr>
            <w:tcW w:w="2280" w:type="dxa"/>
            <w:tcBorders>
              <w:tl2br w:val="nil"/>
              <w:tr2bl w:val="nil"/>
            </w:tcBorders>
            <w:noWrap/>
            <w:vAlign w:val="center"/>
          </w:tcPr>
          <w:p w14:paraId="4244233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采用干清粪，</w:t>
            </w:r>
            <w:r>
              <w:rPr>
                <w:rFonts w:hint="default" w:ascii="Times New Roman" w:hAnsi="Times New Roman" w:cs="Times New Roman"/>
                <w:color w:val="0000FF"/>
                <w:szCs w:val="21"/>
                <w:lang w:val="en-US" w:eastAsia="zh-CN"/>
              </w:rPr>
              <w:t>鸡舍粪便收集设施（</w:t>
            </w:r>
            <w:r>
              <w:rPr>
                <w:rFonts w:hint="eastAsia" w:ascii="Times New Roman" w:hAnsi="Times New Roman" w:cs="Times New Roman"/>
                <w:color w:val="0000FF"/>
                <w:szCs w:val="21"/>
                <w:lang w:val="en-US" w:eastAsia="zh-CN"/>
              </w:rPr>
              <w:t>粪便传送带</w:t>
            </w:r>
            <w:r>
              <w:rPr>
                <w:rFonts w:hint="default" w:ascii="Times New Roman" w:hAnsi="Times New Roman" w:cs="Times New Roman"/>
                <w:color w:val="0000FF"/>
                <w:szCs w:val="21"/>
                <w:lang w:val="en-US" w:eastAsia="zh-CN"/>
              </w:rPr>
              <w:t>和清粪机）清洗废水用于粪便堆肥</w:t>
            </w:r>
            <w:r>
              <w:rPr>
                <w:rFonts w:hint="default" w:ascii="Times New Roman" w:hAnsi="Times New Roman" w:cs="Times New Roman"/>
                <w:color w:val="auto"/>
                <w:szCs w:val="21"/>
                <w:lang w:val="en-US" w:eastAsia="zh-CN"/>
              </w:rPr>
              <w:t>，</w:t>
            </w:r>
            <w:r>
              <w:rPr>
                <w:rFonts w:hint="default" w:ascii="Times New Roman" w:hAnsi="Times New Roman" w:cs="Times New Roman"/>
                <w:bCs/>
                <w:color w:val="auto"/>
                <w:szCs w:val="21"/>
                <w:highlight w:val="none"/>
              </w:rPr>
              <w:t>粪便</w:t>
            </w:r>
            <w:r>
              <w:rPr>
                <w:rFonts w:hint="default" w:ascii="Times New Roman" w:hAnsi="Times New Roman" w:cs="Times New Roman"/>
                <w:bCs/>
                <w:color w:val="auto"/>
                <w:szCs w:val="21"/>
                <w:highlight w:val="none"/>
                <w:lang w:val="en-US" w:eastAsia="zh-CN"/>
              </w:rPr>
              <w:t>暂存鸡粪发酵</w:t>
            </w:r>
            <w:r>
              <w:rPr>
                <w:rFonts w:hint="eastAsia" w:ascii="Times New Roman" w:hAnsi="Times New Roman" w:cs="Times New Roman"/>
                <w:bCs/>
                <w:color w:val="auto"/>
                <w:szCs w:val="21"/>
                <w:highlight w:val="none"/>
                <w:lang w:val="en-US" w:eastAsia="zh-CN"/>
              </w:rPr>
              <w:t>处理厂</w:t>
            </w:r>
            <w:r>
              <w:rPr>
                <w:rFonts w:hint="default" w:ascii="Times New Roman" w:hAnsi="Times New Roman" w:cs="Times New Roman"/>
                <w:bCs/>
                <w:color w:val="auto"/>
                <w:szCs w:val="21"/>
                <w:highlight w:val="none"/>
                <w:lang w:val="en-US" w:eastAsia="zh-CN"/>
              </w:rPr>
              <w:t>后发酵后外售农户综合利用</w:t>
            </w:r>
          </w:p>
        </w:tc>
        <w:tc>
          <w:tcPr>
            <w:tcW w:w="935" w:type="dxa"/>
            <w:tcBorders>
              <w:tl2br w:val="nil"/>
              <w:tr2bl w:val="nil"/>
            </w:tcBorders>
            <w:noWrap/>
            <w:vAlign w:val="center"/>
          </w:tcPr>
          <w:p w14:paraId="580038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14:paraId="7995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vMerge w:val="continue"/>
            <w:tcBorders>
              <w:tl2br w:val="nil"/>
              <w:tr2bl w:val="nil"/>
            </w:tcBorders>
            <w:noWrap/>
            <w:vAlign w:val="center"/>
          </w:tcPr>
          <w:p w14:paraId="1F192868">
            <w:pPr>
              <w:adjustRightInd w:val="0"/>
              <w:snapToGrid w:val="0"/>
              <w:rPr>
                <w:rFonts w:hint="default" w:ascii="Times New Roman" w:hAnsi="Times New Roman" w:cs="Times New Roman"/>
                <w:color w:val="auto"/>
                <w:szCs w:val="21"/>
              </w:rPr>
            </w:pPr>
          </w:p>
        </w:tc>
        <w:tc>
          <w:tcPr>
            <w:tcW w:w="4420" w:type="dxa"/>
            <w:tcBorders>
              <w:tl2br w:val="nil"/>
              <w:tr2bl w:val="nil"/>
            </w:tcBorders>
            <w:noWrap/>
            <w:vAlign w:val="center"/>
          </w:tcPr>
          <w:p w14:paraId="456526B0">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tc>
        <w:tc>
          <w:tcPr>
            <w:tcW w:w="2280" w:type="dxa"/>
            <w:tcBorders>
              <w:tl2br w:val="nil"/>
              <w:tr2bl w:val="nil"/>
            </w:tcBorders>
            <w:noWrap/>
            <w:vAlign w:val="center"/>
          </w:tcPr>
          <w:p w14:paraId="039A8DF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采用干清粪，鸡舍粪便收集设施（</w:t>
            </w:r>
            <w:r>
              <w:rPr>
                <w:rFonts w:hint="eastAsia" w:ascii="Times New Roman" w:hAnsi="Times New Roman" w:cs="Times New Roman"/>
                <w:color w:val="auto"/>
                <w:szCs w:val="21"/>
                <w:lang w:val="en-US" w:eastAsia="zh-CN"/>
              </w:rPr>
              <w:t>粪便传送带</w:t>
            </w:r>
            <w:r>
              <w:rPr>
                <w:rFonts w:hint="default" w:ascii="Times New Roman" w:hAnsi="Times New Roman" w:cs="Times New Roman"/>
                <w:color w:val="auto"/>
                <w:szCs w:val="21"/>
                <w:lang w:val="en-US" w:eastAsia="zh-CN"/>
              </w:rPr>
              <w:t>和清粪机）清洗废水用于粪便堆肥，增加有机肥湿度，</w:t>
            </w:r>
            <w:r>
              <w:rPr>
                <w:rFonts w:hint="default" w:ascii="Times New Roman" w:hAnsi="Times New Roman" w:cs="Times New Roman"/>
                <w:bCs/>
                <w:color w:val="auto"/>
                <w:szCs w:val="21"/>
                <w:highlight w:val="none"/>
              </w:rPr>
              <w:t>粪便</w:t>
            </w:r>
            <w:r>
              <w:rPr>
                <w:rFonts w:hint="default" w:ascii="Times New Roman" w:hAnsi="Times New Roman" w:cs="Times New Roman"/>
                <w:bCs/>
                <w:color w:val="auto"/>
                <w:szCs w:val="21"/>
                <w:highlight w:val="none"/>
                <w:lang w:val="en-US" w:eastAsia="zh-CN"/>
              </w:rPr>
              <w:t>暂存鸡粪发酵处理场后发酵后外售农户综合利用</w:t>
            </w:r>
          </w:p>
        </w:tc>
        <w:tc>
          <w:tcPr>
            <w:tcW w:w="935" w:type="dxa"/>
            <w:tcBorders>
              <w:tl2br w:val="nil"/>
              <w:tr2bl w:val="nil"/>
            </w:tcBorders>
            <w:noWrap/>
            <w:vAlign w:val="center"/>
          </w:tcPr>
          <w:p w14:paraId="2BA6B30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14:paraId="4531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vMerge w:val="continue"/>
            <w:tcBorders>
              <w:tl2br w:val="nil"/>
              <w:tr2bl w:val="nil"/>
            </w:tcBorders>
            <w:noWrap/>
            <w:vAlign w:val="center"/>
          </w:tcPr>
          <w:p w14:paraId="3DA8DB3C">
            <w:pPr>
              <w:adjustRightInd w:val="0"/>
              <w:snapToGrid w:val="0"/>
              <w:rPr>
                <w:rFonts w:hint="default" w:ascii="Times New Roman" w:hAnsi="Times New Roman" w:cs="Times New Roman"/>
                <w:color w:val="auto"/>
                <w:szCs w:val="21"/>
              </w:rPr>
            </w:pPr>
          </w:p>
        </w:tc>
        <w:tc>
          <w:tcPr>
            <w:tcW w:w="4420" w:type="dxa"/>
            <w:tcBorders>
              <w:tl2br w:val="nil"/>
              <w:tr2bl w:val="nil"/>
            </w:tcBorders>
            <w:noWrap/>
            <w:vAlign w:val="center"/>
          </w:tcPr>
          <w:p w14:paraId="30650D71">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tc>
        <w:tc>
          <w:tcPr>
            <w:tcW w:w="2280" w:type="dxa"/>
            <w:tcBorders>
              <w:tl2br w:val="nil"/>
              <w:tr2bl w:val="nil"/>
            </w:tcBorders>
            <w:noWrap/>
            <w:vAlign w:val="center"/>
          </w:tcPr>
          <w:p w14:paraId="296D9E5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本项目病死</w:t>
            </w:r>
            <w:r>
              <w:rPr>
                <w:rFonts w:hint="default" w:ascii="Times New Roman" w:hAnsi="Times New Roman" w:cs="Times New Roman"/>
                <w:color w:val="auto"/>
                <w:szCs w:val="21"/>
                <w:lang w:eastAsia="zh-CN"/>
              </w:rPr>
              <w:t>鸡</w:t>
            </w:r>
            <w:r>
              <w:rPr>
                <w:rFonts w:hint="default" w:ascii="Times New Roman" w:hAnsi="Times New Roman" w:cs="Times New Roman"/>
                <w:color w:val="auto"/>
                <w:szCs w:val="21"/>
              </w:rPr>
              <w:t>集中处置，</w:t>
            </w:r>
            <w:r>
              <w:rPr>
                <w:rFonts w:hint="default" w:ascii="Times New Roman" w:hAnsi="Times New Roman" w:cs="Times New Roman"/>
                <w:color w:val="auto"/>
                <w:szCs w:val="21"/>
                <w:lang w:eastAsia="zh-CN"/>
              </w:rPr>
              <w:t>鸡</w:t>
            </w:r>
            <w:r>
              <w:rPr>
                <w:rFonts w:hint="default" w:ascii="Times New Roman" w:hAnsi="Times New Roman" w:cs="Times New Roman"/>
                <w:color w:val="auto"/>
                <w:szCs w:val="21"/>
              </w:rPr>
              <w:t>舍内加强通风，粪便即产即清，采用除臭剂、增强厂区绿化等措施</w:t>
            </w:r>
          </w:p>
        </w:tc>
        <w:tc>
          <w:tcPr>
            <w:tcW w:w="935" w:type="dxa"/>
            <w:tcBorders>
              <w:tl2br w:val="nil"/>
              <w:tr2bl w:val="nil"/>
            </w:tcBorders>
            <w:noWrap/>
            <w:vAlign w:val="center"/>
          </w:tcPr>
          <w:p w14:paraId="5582E77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14:paraId="7E0D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5" w:type="dxa"/>
            <w:tcBorders>
              <w:tl2br w:val="nil"/>
              <w:tr2bl w:val="nil"/>
            </w:tcBorders>
            <w:noWrap/>
            <w:vAlign w:val="center"/>
          </w:tcPr>
          <w:p w14:paraId="02AAF4D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落实环评信息公开要求，发挥公众参与的监督作用</w:t>
            </w:r>
          </w:p>
        </w:tc>
        <w:tc>
          <w:tcPr>
            <w:tcW w:w="4420" w:type="dxa"/>
            <w:tcBorders>
              <w:tl2br w:val="nil"/>
              <w:tr2bl w:val="nil"/>
            </w:tcBorders>
            <w:noWrap/>
            <w:vAlign w:val="center"/>
          </w:tcPr>
          <w:p w14:paraId="08DF7108">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建设单位在项目环评报告书报送审批前，应采取适当形式，遵循依法、有序、公开、便利的原则，公开征求意见并对真实性和结果负责</w:t>
            </w:r>
          </w:p>
        </w:tc>
        <w:tc>
          <w:tcPr>
            <w:tcW w:w="2280" w:type="dxa"/>
            <w:tcBorders>
              <w:tl2br w:val="nil"/>
              <w:tr2bl w:val="nil"/>
            </w:tcBorders>
            <w:noWrap/>
            <w:vAlign w:val="center"/>
          </w:tcPr>
          <w:p w14:paraId="1627862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建设单位在本项目环评报告书报送审批前进行了三次公示</w:t>
            </w:r>
          </w:p>
        </w:tc>
        <w:tc>
          <w:tcPr>
            <w:tcW w:w="935" w:type="dxa"/>
            <w:tcBorders>
              <w:tl2br w:val="nil"/>
              <w:tr2bl w:val="nil"/>
            </w:tcBorders>
            <w:noWrap/>
            <w:vAlign w:val="center"/>
          </w:tcPr>
          <w:p w14:paraId="6ED6B7A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bl>
    <w:p w14:paraId="42FBFF12">
      <w:pPr>
        <w:pStyle w:val="5"/>
        <w:bidi w:val="0"/>
        <w:rPr>
          <w:rFonts w:hint="default" w:ascii="Times New Roman" w:hAnsi="Times New Roman" w:cs="Times New Roman"/>
          <w:color w:val="auto"/>
        </w:rPr>
      </w:pPr>
      <w:r>
        <w:rPr>
          <w:rFonts w:hint="default" w:ascii="Times New Roman" w:hAnsi="Times New Roman" w:cs="Times New Roman"/>
          <w:color w:val="auto"/>
        </w:rPr>
        <w:t>与《畜禽粪便无害化处置技术规范》</w:t>
      </w:r>
      <w:r>
        <w:rPr>
          <w:rFonts w:hint="default" w:ascii="Times New Roman" w:hAnsi="Times New Roman" w:cs="Times New Roman"/>
          <w:color w:val="auto"/>
          <w:lang w:eastAsia="zh-CN"/>
        </w:rPr>
        <w:t>（GB/T36195-2018）</w:t>
      </w:r>
      <w:r>
        <w:rPr>
          <w:rFonts w:hint="default" w:ascii="Times New Roman" w:hAnsi="Times New Roman" w:cs="Times New Roman"/>
          <w:color w:val="auto"/>
        </w:rPr>
        <w:t>的符合性分析</w:t>
      </w:r>
    </w:p>
    <w:p w14:paraId="4CBCB3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A.粪便处理场选址及布局</w:t>
      </w:r>
    </w:p>
    <w:p w14:paraId="51E978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①不应在下列区域内建设畜禽粪便处理场：</w:t>
      </w:r>
    </w:p>
    <w:p w14:paraId="06662C38">
      <w:pPr>
        <w:numPr>
          <w:ilvl w:val="0"/>
          <w:numId w:val="3"/>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生活饮用水水源保护区、风景名胜区、自然保护区的核心区及缓冲区。</w:t>
      </w:r>
    </w:p>
    <w:p w14:paraId="270591F4">
      <w:pPr>
        <w:numPr>
          <w:ilvl w:val="0"/>
          <w:numId w:val="3"/>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城市和城镇居民区，包括文教</w:t>
      </w:r>
      <w:r>
        <w:rPr>
          <w:rFonts w:hint="default" w:ascii="Times New Roman" w:hAnsi="Times New Roman" w:cs="Times New Roman"/>
          <w:color w:val="auto"/>
          <w:sz w:val="24"/>
          <w:lang w:eastAsia="zh-CN"/>
        </w:rPr>
        <w:t>科研</w:t>
      </w:r>
      <w:r>
        <w:rPr>
          <w:rFonts w:hint="default" w:ascii="Times New Roman" w:hAnsi="Times New Roman" w:cs="Times New Roman"/>
          <w:color w:val="auto"/>
          <w:sz w:val="24"/>
        </w:rPr>
        <w:t>、医疗、商业和工业等人口集中地区。</w:t>
      </w:r>
    </w:p>
    <w:p w14:paraId="097275B8">
      <w:pPr>
        <w:numPr>
          <w:ilvl w:val="0"/>
          <w:numId w:val="3"/>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县级及县级以上人民政府依法划定的禁养区域</w:t>
      </w:r>
    </w:p>
    <w:p w14:paraId="2974BDF6">
      <w:pPr>
        <w:numPr>
          <w:ilvl w:val="0"/>
          <w:numId w:val="3"/>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国家或地方</w:t>
      </w:r>
      <w:r>
        <w:rPr>
          <w:rFonts w:hint="default" w:ascii="Times New Roman" w:hAnsi="Times New Roman" w:cs="Times New Roman"/>
          <w:color w:val="auto"/>
          <w:sz w:val="24"/>
          <w:lang w:eastAsia="zh-CN"/>
        </w:rPr>
        <w:t>法律法规</w:t>
      </w:r>
      <w:r>
        <w:rPr>
          <w:rFonts w:hint="default" w:ascii="Times New Roman" w:hAnsi="Times New Roman" w:cs="Times New Roman"/>
          <w:color w:val="auto"/>
          <w:sz w:val="24"/>
        </w:rPr>
        <w:t>规定需要特殊保护的其他区域。</w:t>
      </w:r>
    </w:p>
    <w:p w14:paraId="78B6CDB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在禁建区域附近建设畜禽粪便处理场，应设在上述规定的禁建区域常年主导风向的下风向或侧下风向处，场界与禁建区域边界的最小距离不应小于3km。</w:t>
      </w:r>
    </w:p>
    <w:p w14:paraId="4F775D0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②集中监理的畜禽粪便处理场与畜禽养殖区域的最小距离应大于2km。</w:t>
      </w:r>
    </w:p>
    <w:p w14:paraId="2A9BCD1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③畜禽粪便处理场地应距离功能地表水体400m以上。</w:t>
      </w:r>
    </w:p>
    <w:p w14:paraId="69D1F80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④畜禽粪便处理场区应采取地面硬化、防渗漏、防径流和雨污分流等措施。</w:t>
      </w:r>
    </w:p>
    <w:p w14:paraId="227B1FC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B.粪便收集、贮存和运输</w:t>
      </w:r>
    </w:p>
    <w:p w14:paraId="1A34505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①畜禽生产过程宜采用</w:t>
      </w:r>
      <w:r>
        <w:rPr>
          <w:rFonts w:hint="default" w:ascii="Times New Roman" w:hAnsi="Times New Roman" w:cs="Times New Roman"/>
          <w:color w:val="auto"/>
          <w:sz w:val="24"/>
          <w:lang w:eastAsia="zh-CN"/>
        </w:rPr>
        <w:t>干</w:t>
      </w:r>
      <w:r>
        <w:rPr>
          <w:rFonts w:hint="default" w:ascii="Times New Roman" w:hAnsi="Times New Roman" w:cs="Times New Roman"/>
          <w:color w:val="auto"/>
          <w:sz w:val="24"/>
        </w:rPr>
        <w:t>清粪工艺，实施雨污分流，减少污染物排放量。</w:t>
      </w:r>
    </w:p>
    <w:p w14:paraId="138627E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②畜禽粪便贮存设施应符合GB/T27622的规定。</w:t>
      </w:r>
    </w:p>
    <w:p w14:paraId="5D34B90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③畜禽养殖污水贮存设施应符合GB/T26624的规定。</w:t>
      </w:r>
    </w:p>
    <w:p w14:paraId="51B5DE4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④畜禽粪便收集、运输过程中，应采取防遗洒、防渗漏等措施。</w:t>
      </w:r>
    </w:p>
    <w:p w14:paraId="7E518C3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C.粪便处理</w:t>
      </w:r>
    </w:p>
    <w:p w14:paraId="390B046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①固态应满足表</w:t>
      </w:r>
      <w:r>
        <w:rPr>
          <w:rFonts w:hint="default" w:ascii="Times New Roman" w:hAnsi="Times New Roman" w:cs="Times New Roman"/>
          <w:color w:val="auto"/>
          <w:sz w:val="24"/>
          <w:lang w:val="en-US" w:eastAsia="zh-CN"/>
        </w:rPr>
        <w:t>2.7-10</w:t>
      </w:r>
      <w:r>
        <w:rPr>
          <w:rFonts w:hint="default" w:ascii="Times New Roman" w:hAnsi="Times New Roman" w:cs="Times New Roman"/>
          <w:color w:val="auto"/>
          <w:sz w:val="24"/>
        </w:rPr>
        <w:t>畜禽粪便无害化处理技术规范中的相关要求。</w:t>
      </w:r>
    </w:p>
    <w:p w14:paraId="3EA98688">
      <w:pPr>
        <w:spacing w:line="360" w:lineRule="auto"/>
        <w:ind w:firstLine="480" w:firstLineChars="200"/>
        <w:rPr>
          <w:rFonts w:hint="default" w:ascii="Times New Roman" w:hAnsi="Times New Roman" w:eastAsia="宋体" w:cs="Times New Roman"/>
          <w:color w:val="auto"/>
          <w:sz w:val="24"/>
          <w:lang w:val="en-US"/>
        </w:rPr>
      </w:pPr>
      <w:r>
        <w:rPr>
          <w:rFonts w:hint="default" w:ascii="Times New Roman" w:hAnsi="Times New Roman" w:cs="Times New Roman"/>
          <w:color w:val="auto"/>
          <w:sz w:val="24"/>
        </w:rPr>
        <w:t>本项目</w:t>
      </w:r>
      <w:r>
        <w:rPr>
          <w:rFonts w:hint="default" w:ascii="Times New Roman" w:hAnsi="Times New Roman" w:eastAsia="宋体" w:cs="Times New Roman"/>
          <w:color w:val="auto"/>
          <w:sz w:val="24"/>
        </w:rPr>
        <w:t>位于</w:t>
      </w:r>
      <w:r>
        <w:rPr>
          <w:rFonts w:hint="default" w:ascii="Times New Roman" w:hAnsi="Times New Roman" w:eastAsia="宋体" w:cs="Times New Roman"/>
          <w:color w:val="auto"/>
          <w:sz w:val="24"/>
          <w:lang w:val="en-US" w:eastAsia="zh-CN"/>
        </w:rPr>
        <w:t>新疆生产建设兵团第十师188团，养殖场项目区北侧为养殖场、东侧为林带、西侧为林带，南侧为空地。项目选址和布置符合</w:t>
      </w:r>
      <w:r>
        <w:rPr>
          <w:rFonts w:hint="default" w:ascii="Times New Roman" w:hAnsi="Times New Roman" w:cs="Times New Roman"/>
          <w:color w:val="auto"/>
        </w:rPr>
        <w:t>《畜禽粪便无害化处置技术规范》</w:t>
      </w:r>
      <w:r>
        <w:rPr>
          <w:rFonts w:hint="default" w:ascii="Times New Roman" w:hAnsi="Times New Roman" w:cs="Times New Roman"/>
          <w:color w:val="auto"/>
          <w:lang w:eastAsia="zh-CN"/>
        </w:rPr>
        <w:t>（GB/T36195-2018）。</w:t>
      </w:r>
    </w:p>
    <w:p w14:paraId="2811B5E7">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采用干清粪，鸡舍粪便收集设施（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eastAsia="宋体" w:cs="Times New Roman"/>
          <w:color w:val="auto"/>
          <w:sz w:val="24"/>
          <w:lang w:val="en-US" w:eastAsia="zh-CN"/>
        </w:rPr>
        <w:t>和清粪机）清洗废水用于粪便堆肥，</w:t>
      </w:r>
      <w:r>
        <w:rPr>
          <w:rFonts w:hint="default" w:ascii="Times New Roman" w:hAnsi="Times New Roman" w:eastAsia="宋体" w:cs="Times New Roman"/>
          <w:color w:val="auto"/>
          <w:sz w:val="24"/>
        </w:rPr>
        <w:t>粪便</w:t>
      </w:r>
      <w:r>
        <w:rPr>
          <w:rFonts w:hint="default" w:ascii="Times New Roman" w:hAnsi="Times New Roman" w:eastAsia="宋体" w:cs="Times New Roman"/>
          <w:color w:val="auto"/>
          <w:sz w:val="24"/>
          <w:lang w:val="en-US" w:eastAsia="zh-CN"/>
        </w:rPr>
        <w:t>暂存鸡粪发酵</w:t>
      </w:r>
      <w:r>
        <w:rPr>
          <w:rFonts w:hint="eastAsia" w:ascii="Times New Roman" w:hAnsi="Times New Roman" w:cs="Times New Roman"/>
          <w:color w:val="auto"/>
          <w:sz w:val="24"/>
          <w:lang w:val="en-US" w:eastAsia="zh-CN"/>
        </w:rPr>
        <w:t>处理厂</w:t>
      </w:r>
      <w:r>
        <w:rPr>
          <w:rFonts w:hint="default" w:ascii="Times New Roman" w:hAnsi="Times New Roman" w:eastAsia="宋体" w:cs="Times New Roman"/>
          <w:color w:val="auto"/>
          <w:sz w:val="24"/>
          <w:lang w:val="en-US" w:eastAsia="zh-CN"/>
        </w:rPr>
        <w:t>后发酵后外售农户综合利用。</w:t>
      </w:r>
      <w:r>
        <w:rPr>
          <w:rFonts w:hint="default" w:ascii="Times New Roman" w:hAnsi="Times New Roman" w:eastAsia="宋体" w:cs="Times New Roman"/>
          <w:color w:val="auto"/>
          <w:sz w:val="24"/>
        </w:rPr>
        <w:t>粪便收集、贮存和运输符合相关要求</w:t>
      </w:r>
      <w:r>
        <w:rPr>
          <w:rFonts w:hint="default" w:ascii="Times New Roman" w:hAnsi="Times New Roman" w:cs="Times New Roman"/>
          <w:color w:val="auto"/>
          <w:sz w:val="24"/>
        </w:rPr>
        <w:t>。</w:t>
      </w:r>
    </w:p>
    <w:p w14:paraId="4C8CDD2B">
      <w:pPr>
        <w:pStyle w:val="5"/>
        <w:bidi w:val="0"/>
        <w:rPr>
          <w:rFonts w:hint="default" w:ascii="Times New Roman" w:hAnsi="Times New Roman" w:cs="Times New Roman"/>
          <w:color w:val="auto"/>
        </w:rPr>
      </w:pPr>
      <w:r>
        <w:rPr>
          <w:rFonts w:hint="default" w:ascii="Times New Roman" w:hAnsi="Times New Roman" w:cs="Times New Roman"/>
          <w:color w:val="auto"/>
        </w:rPr>
        <w:t>与《规模畜禽养殖场污染防治最佳可行技术指南</w:t>
      </w:r>
      <w:r>
        <w:rPr>
          <w:rFonts w:hint="default" w:ascii="Times New Roman" w:hAnsi="Times New Roman" w:cs="Times New Roman"/>
          <w:color w:val="auto"/>
          <w:lang w:eastAsia="zh-CN"/>
        </w:rPr>
        <w:t>（</w:t>
      </w:r>
      <w:r>
        <w:rPr>
          <w:rFonts w:hint="default" w:ascii="Times New Roman" w:hAnsi="Times New Roman" w:cs="Times New Roman"/>
          <w:color w:val="auto"/>
        </w:rPr>
        <w:t>试行</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eastAsia="zh-CN"/>
        </w:rPr>
        <w:t>（HJ-BAT-10）</w:t>
      </w:r>
      <w:r>
        <w:rPr>
          <w:rFonts w:hint="default" w:ascii="Times New Roman" w:hAnsi="Times New Roman" w:cs="Times New Roman"/>
          <w:color w:val="auto"/>
        </w:rPr>
        <w:t>相符性分析</w:t>
      </w:r>
    </w:p>
    <w:p w14:paraId="6A1D0A6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规模畜禽养殖场污染防治最佳可行技术指南（试行）》中提出，干清粪技术是指畜禽排放的粪便一经产生便通过机械或人工收集、清除，根据养殖场规模情况可选择人工或机械清粪工艺。人工清粪就是利用清扫工具人工将畜禽舍内的粪便清扫收集。该技术具有设备简单、能耗低、投资少等优点，但劳动量大，生产效率低。机械清粪指采用专用的机械设备进行清粪。机械清粪效率高，但一次性投资较大，运行维护费用较高。畜禽粪便堆肥发酵技术利用搅拌机或人工翻堆机对堆肥进行翻堆，使粪污均匀接触空气，粪便利用好氧菌进行发酵，并使堆肥物料迅速分解，防止臭气产生。</w:t>
      </w:r>
    </w:p>
    <w:p w14:paraId="4109507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highlight w:val="none"/>
        </w:rPr>
        <w:t>本项目粪便处理工艺采用干清粪工艺，</w:t>
      </w:r>
      <w:r>
        <w:rPr>
          <w:rFonts w:hint="default" w:ascii="Times New Roman" w:hAnsi="Times New Roman" w:cs="Times New Roman"/>
          <w:color w:val="auto"/>
          <w:sz w:val="24"/>
          <w:highlight w:val="none"/>
          <w:lang w:val="en-US" w:eastAsia="zh-CN"/>
        </w:rPr>
        <w:t>粪便收集至鸡粪发酵处理场暂存后发酵后外售农户综合利用，</w:t>
      </w:r>
      <w:r>
        <w:rPr>
          <w:rFonts w:hint="default" w:ascii="Times New Roman" w:hAnsi="Times New Roman" w:cs="Times New Roman"/>
          <w:color w:val="auto"/>
          <w:sz w:val="24"/>
          <w:highlight w:val="none"/>
        </w:rPr>
        <w:t>病死</w:t>
      </w:r>
      <w:r>
        <w:rPr>
          <w:rFonts w:hint="default" w:ascii="Times New Roman" w:hAnsi="Times New Roman" w:cs="Times New Roman"/>
          <w:color w:val="auto"/>
          <w:sz w:val="24"/>
          <w:highlight w:val="none"/>
          <w:lang w:eastAsia="zh-CN"/>
        </w:rPr>
        <w:t>鸡</w:t>
      </w:r>
      <w:r>
        <w:rPr>
          <w:rFonts w:hint="default" w:ascii="Times New Roman" w:hAnsi="Times New Roman" w:cs="Times New Roman"/>
          <w:color w:val="auto"/>
          <w:sz w:val="24"/>
          <w:highlight w:val="none"/>
        </w:rPr>
        <w:t>采用</w:t>
      </w:r>
      <w:r>
        <w:rPr>
          <w:rFonts w:hint="default" w:ascii="Times New Roman" w:hAnsi="Times New Roman" w:cs="Times New Roman"/>
          <w:color w:val="auto"/>
          <w:sz w:val="24"/>
          <w:szCs w:val="20"/>
          <w:highlight w:val="none"/>
        </w:rPr>
        <w:t>无害化</w:t>
      </w:r>
      <w:r>
        <w:rPr>
          <w:rFonts w:hint="default" w:ascii="Times New Roman" w:hAnsi="Times New Roman" w:cs="Times New Roman"/>
          <w:color w:val="auto"/>
          <w:sz w:val="24"/>
          <w:szCs w:val="20"/>
          <w:highlight w:val="none"/>
          <w:lang w:val="en-US" w:eastAsia="zh-CN"/>
        </w:rPr>
        <w:t>填埋处置</w:t>
      </w:r>
      <w:r>
        <w:rPr>
          <w:rFonts w:hint="default" w:ascii="Times New Roman" w:hAnsi="Times New Roman" w:cs="Times New Roman"/>
          <w:color w:val="auto"/>
          <w:sz w:val="24"/>
          <w:szCs w:val="20"/>
          <w:highlight w:val="none"/>
        </w:rPr>
        <w:t>，</w:t>
      </w:r>
      <w:r>
        <w:rPr>
          <w:rFonts w:hint="default" w:ascii="Times New Roman" w:hAnsi="Times New Roman" w:cs="Times New Roman"/>
          <w:color w:val="auto"/>
          <w:sz w:val="24"/>
          <w:szCs w:val="20"/>
          <w:highlight w:val="none"/>
          <w:lang w:val="en-US" w:eastAsia="zh-CN"/>
        </w:rPr>
        <w:t>鸡舍</w:t>
      </w:r>
      <w:r>
        <w:rPr>
          <w:rFonts w:hint="default" w:ascii="Times New Roman" w:hAnsi="Times New Roman" w:cs="Times New Roman"/>
          <w:color w:val="auto"/>
          <w:sz w:val="24"/>
          <w:szCs w:val="20"/>
          <w:highlight w:val="none"/>
        </w:rPr>
        <w:t>养殖废气</w:t>
      </w:r>
      <w:r>
        <w:rPr>
          <w:rFonts w:hint="default" w:ascii="Times New Roman" w:hAnsi="Times New Roman" w:cs="Times New Roman"/>
          <w:color w:val="auto"/>
          <w:sz w:val="24"/>
          <w:szCs w:val="20"/>
          <w:highlight w:val="none"/>
          <w:lang w:eastAsia="zh-CN"/>
        </w:rPr>
        <w:t>、</w:t>
      </w:r>
      <w:r>
        <w:rPr>
          <w:rFonts w:hint="default" w:ascii="Times New Roman" w:hAnsi="Times New Roman" w:cs="Times New Roman"/>
          <w:color w:val="auto"/>
          <w:sz w:val="24"/>
          <w:szCs w:val="20"/>
          <w:highlight w:val="none"/>
          <w:lang w:val="en-US" w:eastAsia="zh-CN"/>
        </w:rPr>
        <w:t>鸡粪发酵处理场恶臭</w:t>
      </w:r>
      <w:r>
        <w:rPr>
          <w:rFonts w:hint="default" w:ascii="Times New Roman" w:hAnsi="Times New Roman" w:cs="Times New Roman"/>
          <w:color w:val="auto"/>
          <w:sz w:val="24"/>
          <w:szCs w:val="20"/>
          <w:highlight w:val="none"/>
        </w:rPr>
        <w:t>主要采用</w:t>
      </w:r>
      <w:r>
        <w:rPr>
          <w:rFonts w:hint="default" w:ascii="Times New Roman" w:hAnsi="Times New Roman" w:cs="Times New Roman"/>
          <w:color w:val="auto"/>
          <w:sz w:val="24"/>
          <w:szCs w:val="20"/>
          <w:highlight w:val="none"/>
          <w:lang w:val="en-US" w:eastAsia="zh-CN"/>
        </w:rPr>
        <w:t>喷洒生物除臭剂</w:t>
      </w:r>
      <w:r>
        <w:rPr>
          <w:rFonts w:hint="default" w:ascii="Times New Roman" w:hAnsi="Times New Roman" w:cs="Times New Roman"/>
          <w:color w:val="auto"/>
          <w:sz w:val="24"/>
          <w:szCs w:val="20"/>
          <w:highlight w:val="none"/>
        </w:rPr>
        <w:t>。因此本项目的处理工艺基本满足</w:t>
      </w:r>
      <w:r>
        <w:rPr>
          <w:rFonts w:hint="default" w:ascii="Times New Roman" w:hAnsi="Times New Roman" w:cs="Times New Roman"/>
          <w:color w:val="auto"/>
          <w:sz w:val="24"/>
          <w:highlight w:val="none"/>
        </w:rPr>
        <w:t>规模畜禽养殖场污染防治最佳可行技术指南的相关要求</w:t>
      </w:r>
      <w:r>
        <w:rPr>
          <w:rFonts w:hint="default" w:ascii="Times New Roman" w:hAnsi="Times New Roman" w:cs="Times New Roman"/>
          <w:color w:val="auto"/>
          <w:sz w:val="24"/>
        </w:rPr>
        <w:t>。</w:t>
      </w:r>
    </w:p>
    <w:p w14:paraId="348939EE">
      <w:pPr>
        <w:pStyle w:val="5"/>
        <w:bidi w:val="0"/>
        <w:rPr>
          <w:rFonts w:hint="default" w:ascii="Times New Roman" w:hAnsi="Times New Roman" w:cs="Times New Roman"/>
          <w:color w:val="auto"/>
          <w:sz w:val="24"/>
        </w:rPr>
      </w:pPr>
      <w:r>
        <w:rPr>
          <w:rFonts w:hint="default" w:ascii="Times New Roman" w:hAnsi="Times New Roman" w:cs="Times New Roman"/>
          <w:b/>
          <w:bCs/>
          <w:color w:val="auto"/>
          <w:sz w:val="24"/>
        </w:rPr>
        <w:t>与《关于进一步明确畜禽粪污还田利用要求强化养殖污染监管的通知》</w:t>
      </w:r>
      <w:r>
        <w:rPr>
          <w:rFonts w:hint="default" w:ascii="Times New Roman" w:hAnsi="Times New Roman" w:cs="Times New Roman"/>
          <w:b/>
          <w:bCs/>
          <w:color w:val="auto"/>
          <w:sz w:val="24"/>
          <w:lang w:val="en-US" w:eastAsia="zh-CN"/>
        </w:rPr>
        <w:t>（农办牧〔2020〕23号）</w:t>
      </w:r>
      <w:r>
        <w:rPr>
          <w:rFonts w:hint="default" w:ascii="Times New Roman" w:hAnsi="Times New Roman" w:cs="Times New Roman"/>
          <w:b/>
          <w:bCs/>
          <w:color w:val="auto"/>
          <w:sz w:val="24"/>
        </w:rPr>
        <w:t>的符合性</w:t>
      </w:r>
    </w:p>
    <w:p w14:paraId="4B83C9F6">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一、畅通还田利用渠道</w:t>
      </w:r>
    </w:p>
    <w:p w14:paraId="43B03CFB">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一）鼓励畜禽粪污还田利用。国家支持畜禽养殖场户建设畜禽粪污无害化处理和资源化利用设施，鼓励采取粪肥还田、制取沼气、生产有机肥等方式进行资源化利用。已获得环评批复的规模养殖场在建设和运营过程中，如需将粪污处理由达标排放（含按农田灌溉水标准排放）变更为资源化利用（不含商业化沼气工程和商品有机肥生产），在项目竣工环保验收前变更的，按照非重大变动纳入竣工环境保护验收管理；在竣工环保验收后变更的，按照改建项目依法开展环评。</w:t>
      </w:r>
    </w:p>
    <w:p w14:paraId="3E41637C">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二）明确还田利用标准规范。畜禽粪污的处理应根据排放去向或利用方式的不同执行相应的标准规范。对配套土地充足的养殖场户，粪污经无害化处理后还田利用具体要求及限量应符合《畜禽粪便无害化处理技术规范》（GB/T36195-2018）和《畜禽粪便还田技术规范》（GB/T25246），配套土地面积应达到《畜禽粪污土地承载力测算技术指南》（以下简称《指南》）要求的最小面积。对配套土地不足的养殖场户，粪污经处理后向环境排放的，应符合《畜禽养殖业污染物排放标准》（GB18596）和地方有关排放标准。用于农田灌溉的，应符合《农田灌溉水质标准》（GB5084）。</w:t>
      </w:r>
    </w:p>
    <w:p w14:paraId="0C0C2BB5">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二、加强事中事后监管</w:t>
      </w:r>
    </w:p>
    <w:p w14:paraId="16419C40">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一）落实养殖场户主体责任。养殖场户应当切实履行粪污利用和污染防治主体责任，采取措施，对畜禽粪污进行科学处理和资源化利用，防止污染环境。从事畜禽规模养殖要严格落实《中华人民共和国固体废物污染环境防治法》《中华人民共和国水污染防治法》《畜禽规模养殖污染防治条例》等要求，建设粪污无害化处理和资源化利用设施并确保其正常运行，或委托第三方代为实现粪污无害化处理和资源化利用。对畜禽规模养殖污染防治设施配套不到位，粪污未经无害化处理直接还田或向环境排放，不符合国家和地方排放标准的，农业农村部门要加强技术指导和服务，生态环境部门要依法查处。</w:t>
      </w:r>
    </w:p>
    <w:p w14:paraId="1DED2111">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二）强化粪污还田利用过程监管。养殖场户应依法配置粪污贮存设施，设施总容积不得低于当地农作物生产用肥的最大间隔时间内产生粪污的总量，配套土地面积不得小于《指南》要求的最小面积；配套土地面积不足的，应委托第三方代为实现粪污资源化。达不到前述要求且无法证明粪污去向的，视同超出土地消纳能力。</w:t>
      </w:r>
    </w:p>
    <w:p w14:paraId="4268B024">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三、强化保障和支撑</w:t>
      </w:r>
    </w:p>
    <w:p w14:paraId="1158ECFB">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完善粪肥还田管理制度。督促指导规模养殖场制定畜禽粪肥还田利用计划，根据养殖规模明确配套农田面积、农田类型、种植制度、粪肥使用时间及使用量等。推动建立畜禽粪污处理和粪肥利用台账，避免施用超量或时间不合理，并作为监督执法的重要依据。加强日常监测，及时掌握粪污养分和有害物质含量，严防还田环境风险。</w:t>
      </w:r>
    </w:p>
    <w:p w14:paraId="209BDED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二）加强技术和装备支撑。加快畜禽粪污资源化利用先进工艺、技术和装备研发，着力破除粪污资源化利用过程中的技术和成本障碍。鼓励养殖场户全量收集和利用畜禽粪污，根据实际情况选择合理的输送和施用方式，不再强制要求固液分离。结合本地实际，推行经济高效的粪污资源化利用技术模式，积极推广全量机械化施用，逐步改进粪肥施用方式</w:t>
      </w:r>
      <w:r>
        <w:rPr>
          <w:rFonts w:hint="default" w:ascii="Times New Roman" w:hAnsi="Times New Roman" w:cs="Times New Roman"/>
          <w:color w:val="auto"/>
          <w:sz w:val="24"/>
        </w:rPr>
        <w:t>。</w:t>
      </w:r>
    </w:p>
    <w:p w14:paraId="305F6F32">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highlight w:val="none"/>
          <w:lang w:eastAsia="zh-CN"/>
        </w:rPr>
        <w:t>本项目运营期产生的粪便采用干清粪工艺，</w:t>
      </w:r>
      <w:r>
        <w:rPr>
          <w:rFonts w:hint="default" w:ascii="Times New Roman" w:hAnsi="Times New Roman" w:cs="Times New Roman"/>
          <w:color w:val="auto"/>
          <w:sz w:val="24"/>
          <w:highlight w:val="none"/>
          <w:lang w:val="en-US" w:eastAsia="zh-CN"/>
        </w:rPr>
        <w:t>鸡粪自动收集后输送至鸡粪发酵</w:t>
      </w:r>
      <w:r>
        <w:rPr>
          <w:rFonts w:hint="eastAsia" w:ascii="Times New Roman" w:hAnsi="Times New Roman" w:cs="Times New Roman"/>
          <w:color w:val="auto"/>
          <w:sz w:val="24"/>
          <w:highlight w:val="none"/>
          <w:lang w:val="en-US" w:eastAsia="zh-CN"/>
        </w:rPr>
        <w:t>处理厂</w:t>
      </w:r>
      <w:r>
        <w:rPr>
          <w:rFonts w:hint="default" w:ascii="Times New Roman" w:hAnsi="Times New Roman" w:cs="Times New Roman"/>
          <w:color w:val="auto"/>
          <w:sz w:val="24"/>
          <w:highlight w:val="none"/>
          <w:lang w:val="en-US" w:eastAsia="zh-CN"/>
        </w:rPr>
        <w:t>暂存后发酵后外售农户综合利用</w:t>
      </w:r>
      <w:r>
        <w:rPr>
          <w:rFonts w:hint="default" w:ascii="Times New Roman" w:hAnsi="Times New Roman" w:cs="Times New Roman"/>
          <w:color w:val="auto"/>
          <w:sz w:val="24"/>
          <w:highlight w:val="none"/>
          <w:lang w:eastAsia="zh-CN"/>
        </w:rPr>
        <w:t>；可实现粪污无害化处理、粪污资源化利用，项目位于</w:t>
      </w:r>
      <w:r>
        <w:rPr>
          <w:rFonts w:hint="default" w:ascii="Times New Roman" w:hAnsi="Times New Roman" w:cs="Times New Roman"/>
          <w:color w:val="auto"/>
          <w:sz w:val="24"/>
          <w:highlight w:val="none"/>
          <w:lang w:val="en-US" w:eastAsia="zh-CN"/>
        </w:rPr>
        <w:t>第十师188团，不属于禁止开发的区域</w:t>
      </w:r>
      <w:r>
        <w:rPr>
          <w:rFonts w:hint="default" w:ascii="Times New Roman" w:hAnsi="Times New Roman" w:cs="Times New Roman"/>
          <w:color w:val="auto"/>
          <w:sz w:val="24"/>
          <w:lang w:eastAsia="zh-CN"/>
        </w:rPr>
        <w:t>。</w:t>
      </w:r>
    </w:p>
    <w:p w14:paraId="1FEBE89C">
      <w:pPr>
        <w:pStyle w:val="5"/>
        <w:bidi w:val="0"/>
        <w:rPr>
          <w:rFonts w:hint="default" w:ascii="Times New Roman" w:hAnsi="Times New Roman" w:cs="Times New Roman"/>
          <w:color w:val="auto"/>
        </w:rPr>
      </w:pPr>
      <w:r>
        <w:rPr>
          <w:rFonts w:hint="default" w:ascii="Times New Roman" w:hAnsi="Times New Roman" w:cs="Times New Roman"/>
          <w:color w:val="auto"/>
        </w:rPr>
        <w:t>与《畜禽规模养殖场粪污资源化利用设施建设规范</w:t>
      </w:r>
      <w:r>
        <w:rPr>
          <w:rFonts w:hint="default" w:ascii="Times New Roman" w:hAnsi="Times New Roman" w:cs="Times New Roman"/>
          <w:color w:val="auto"/>
          <w:lang w:eastAsia="zh-CN"/>
        </w:rPr>
        <w:t>（</w:t>
      </w:r>
      <w:r>
        <w:rPr>
          <w:rFonts w:hint="default" w:ascii="Times New Roman" w:hAnsi="Times New Roman" w:cs="Times New Roman"/>
          <w:color w:val="auto"/>
        </w:rPr>
        <w:t>试行</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农牧办</w:t>
      </w:r>
      <w:r>
        <w:rPr>
          <w:rFonts w:hint="default" w:ascii="Times New Roman" w:hAnsi="Times New Roman" w:cs="Times New Roman"/>
          <w:color w:val="auto"/>
          <w:lang w:eastAsia="zh-CN"/>
        </w:rPr>
        <w:t>〔2018〕2号</w:t>
      </w:r>
      <w:r>
        <w:rPr>
          <w:rFonts w:hint="default" w:ascii="Times New Roman" w:hAnsi="Times New Roman" w:cs="Times New Roman"/>
          <w:color w:val="auto"/>
        </w:rPr>
        <w:t>文</w:t>
      </w:r>
      <w:r>
        <w:rPr>
          <w:rFonts w:hint="default" w:ascii="Times New Roman" w:hAnsi="Times New Roman" w:cs="Times New Roman"/>
          <w:color w:val="auto"/>
          <w:lang w:eastAsia="zh-CN"/>
        </w:rPr>
        <w:t>）</w:t>
      </w:r>
      <w:r>
        <w:rPr>
          <w:rFonts w:hint="default" w:ascii="Times New Roman" w:hAnsi="Times New Roman" w:cs="Times New Roman"/>
          <w:color w:val="auto"/>
        </w:rPr>
        <w:t>的符合性</w:t>
      </w:r>
    </w:p>
    <w:p w14:paraId="5248E7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畜禽规模养殖场粪污资源化利用设施建设规范（试行）</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p>
    <w:p w14:paraId="09DF59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第四条畜禽规模养殖场应根据养殖污染防治要求，建设与养殖规模相配套的粪污资源化利用设施设备，并确保正常运行。</w:t>
      </w:r>
    </w:p>
    <w:p w14:paraId="08C016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第五条畜禽规模养殖场宜采用干清粪工艺。采用水泡粪工艺的要控制用水量，减少粪污产生总量。鼓励水冲粪工艺改造为干清粪或水泡粪。不同畜种不同清粪工艺最高允许排水量按照GB18596执行。</w:t>
      </w:r>
    </w:p>
    <w:p w14:paraId="467BEE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第六条畜禽规模养殖场应及时对粪污进行收集、贮存，粪污暂存池（场）应满足防渗、防雨、防溢流等要求。固体粪便暂存池（场）的设计按照GB/T27622执行。污水暂存池的设计按照GB/T26624执行。</w:t>
      </w:r>
    </w:p>
    <w:p w14:paraId="6B00C7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第七条畜禽规模养殖场应建设雨污分离设施，污水宜采用暗沟或管道输送。</w:t>
      </w:r>
    </w:p>
    <w:p w14:paraId="02742C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第八条规模养殖场干清粪或固液分离后的固体粪便可采用堆肥、沤肥、生产垫料等方式进行处理利用。固体粪便堆肥（生产垫料）宜采用条垛式、槽式、发酵仓、强制通风静态垛等好氧工艺，或其他适用技术，同时配套必要的混合、输送、搅拌、供氧等设施设备。</w:t>
      </w:r>
    </w:p>
    <w:p w14:paraId="4394D1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highlight w:val="none"/>
        </w:rPr>
        <w:t>本项目的清粪采用干清粪方式，</w:t>
      </w:r>
      <w:r>
        <w:rPr>
          <w:rFonts w:hint="default" w:ascii="Times New Roman" w:hAnsi="Times New Roman" w:cs="Times New Roman"/>
          <w:color w:val="auto"/>
          <w:sz w:val="24"/>
          <w:highlight w:val="none"/>
          <w:lang w:val="en-US" w:eastAsia="zh-CN"/>
        </w:rPr>
        <w:t>鸡粪经收集后暂存至鸡粪发酵</w:t>
      </w:r>
      <w:r>
        <w:rPr>
          <w:rFonts w:hint="eastAsia" w:ascii="Times New Roman" w:hAnsi="Times New Roman" w:cs="Times New Roman"/>
          <w:color w:val="auto"/>
          <w:sz w:val="24"/>
          <w:highlight w:val="none"/>
          <w:lang w:val="en-US" w:eastAsia="zh-CN"/>
        </w:rPr>
        <w:t>处理厂</w:t>
      </w:r>
      <w:r>
        <w:rPr>
          <w:rFonts w:hint="default" w:ascii="Times New Roman" w:hAnsi="Times New Roman" w:cs="Times New Roman"/>
          <w:color w:val="auto"/>
          <w:sz w:val="24"/>
          <w:highlight w:val="none"/>
          <w:lang w:val="en-US" w:eastAsia="zh-CN"/>
        </w:rPr>
        <w:t>，发酵后外售农户综合利用，养殖过程无养殖废水产生，项目鸡舍粪便收集设施（</w:t>
      </w:r>
      <w:r>
        <w:rPr>
          <w:rFonts w:hint="eastAsia" w:ascii="Times New Roman" w:hAnsi="Times New Roman" w:cs="Times New Roman"/>
          <w:color w:val="auto"/>
          <w:sz w:val="24"/>
          <w:highlight w:val="none"/>
          <w:lang w:val="en-US" w:eastAsia="zh-CN"/>
        </w:rPr>
        <w:t>粪便传送带</w:t>
      </w:r>
      <w:r>
        <w:rPr>
          <w:rFonts w:hint="default" w:ascii="Times New Roman" w:hAnsi="Times New Roman" w:cs="Times New Roman"/>
          <w:color w:val="auto"/>
          <w:sz w:val="24"/>
          <w:highlight w:val="none"/>
          <w:lang w:val="en-US" w:eastAsia="zh-CN"/>
        </w:rPr>
        <w:t>和清粪机）定期进行冲洗，与生活污水排入废水收集池处理后用于粪便堆肥，增加有机肥湿度</w:t>
      </w:r>
      <w:r>
        <w:rPr>
          <w:rFonts w:hint="default" w:ascii="Times New Roman" w:hAnsi="Times New Roman" w:cs="Times New Roman"/>
          <w:color w:val="auto"/>
          <w:sz w:val="24"/>
          <w:highlight w:val="none"/>
        </w:rPr>
        <w:t>，满足“利用设施建设规范”的相关要求</w:t>
      </w:r>
      <w:r>
        <w:rPr>
          <w:rFonts w:hint="default" w:ascii="Times New Roman" w:hAnsi="Times New Roman" w:cs="Times New Roman"/>
          <w:color w:val="auto"/>
          <w:sz w:val="24"/>
        </w:rPr>
        <w:t>。</w:t>
      </w:r>
    </w:p>
    <w:p w14:paraId="62D2768A">
      <w:pPr>
        <w:pStyle w:val="5"/>
        <w:bidi w:val="0"/>
        <w:rPr>
          <w:rFonts w:hint="default" w:ascii="Times New Roman" w:hAnsi="Times New Roman" w:cs="Times New Roman"/>
        </w:rPr>
      </w:pPr>
      <w:r>
        <w:rPr>
          <w:rFonts w:hint="default" w:ascii="Times New Roman" w:hAnsi="Times New Roman" w:cs="Times New Roman"/>
          <w:lang w:val="en-US" w:eastAsia="zh-CN"/>
        </w:rPr>
        <w:t>与《畜禽粪便无害化处理技术规范》（NY/T1168-2006）符合性</w:t>
      </w:r>
    </w:p>
    <w:p w14:paraId="56F61C4A">
      <w:pPr>
        <w:pStyle w:val="14"/>
        <w:keepNext w:val="0"/>
        <w:keepLines w:val="0"/>
        <w:pageBreakBefore w:val="0"/>
        <w:widowControl w:val="0"/>
        <w:kinsoku/>
        <w:wordWrap/>
        <w:overflowPunct/>
        <w:topLinePunct w:val="0"/>
        <w:autoSpaceDE/>
        <w:autoSpaceDN/>
        <w:bidi w:val="0"/>
        <w:adjustRightInd w:val="0"/>
        <w:snapToGrid/>
        <w:spacing w:before="157" w:beforeLines="50" w:line="240" w:lineRule="auto"/>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3.1</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cs="Times New Roman"/>
          <w:color w:val="FF0000"/>
          <w:sz w:val="21"/>
          <w:szCs w:val="21"/>
          <w:highlight w:val="none"/>
          <w:lang w:val="en-US" w:eastAsia="zh-CN"/>
        </w:rPr>
        <w:t>与《畜禽粪便无害化处理技术规范》（NY/T1168-2006）符合性</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2"/>
        <w:gridCol w:w="3594"/>
        <w:gridCol w:w="923"/>
      </w:tblGrid>
      <w:tr w14:paraId="3126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03F912CF">
            <w:pPr>
              <w:pStyle w:val="126"/>
              <w:keepNext w:val="0"/>
              <w:keepLines w:val="0"/>
              <w:suppressLineNumbers w:val="0"/>
              <w:bidi w:val="0"/>
              <w:spacing w:before="0" w:beforeAutospacing="0" w:after="0" w:afterAutospacing="0"/>
              <w:ind w:left="0" w:right="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NY/T1168-2006</w:t>
            </w:r>
          </w:p>
        </w:tc>
        <w:tc>
          <w:tcPr>
            <w:tcW w:w="2106" w:type="pct"/>
            <w:tcBorders>
              <w:tl2br w:val="nil"/>
              <w:tr2bl w:val="nil"/>
            </w:tcBorders>
            <w:noWrap w:val="0"/>
            <w:vAlign w:val="center"/>
          </w:tcPr>
          <w:p w14:paraId="00636801">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本项目</w:t>
            </w:r>
          </w:p>
        </w:tc>
        <w:tc>
          <w:tcPr>
            <w:tcW w:w="541" w:type="pct"/>
            <w:tcBorders>
              <w:tl2br w:val="nil"/>
              <w:tr2bl w:val="nil"/>
            </w:tcBorders>
            <w:noWrap w:val="0"/>
            <w:vAlign w:val="center"/>
          </w:tcPr>
          <w:p w14:paraId="2E9B197C">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符合性</w:t>
            </w:r>
          </w:p>
        </w:tc>
      </w:tr>
      <w:tr w14:paraId="6DC1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2351" w:type="pct"/>
            <w:tcBorders>
              <w:tl2br w:val="nil"/>
              <w:tr2bl w:val="nil"/>
            </w:tcBorders>
            <w:noWrap w:val="0"/>
            <w:vAlign w:val="center"/>
          </w:tcPr>
          <w:p w14:paraId="74F31A24">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设置在畜禽养殖区域内的粪便处理设施应按照NY/T682的规定设计，应设在养殖场的生产区、生活管理区的常年主导风向的下风向或侧风向处，与主要生产设施之间保持100m以上的距离。</w:t>
            </w:r>
          </w:p>
        </w:tc>
        <w:tc>
          <w:tcPr>
            <w:tcW w:w="2106" w:type="pct"/>
            <w:tcBorders>
              <w:tl2br w:val="nil"/>
              <w:tr2bl w:val="nil"/>
            </w:tcBorders>
            <w:noWrap w:val="0"/>
            <w:vAlign w:val="center"/>
          </w:tcPr>
          <w:p w14:paraId="287A58F5">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本项目所在区域年主导风向为西北风，项目粪便处理设施基本位于区域常年主要风频的下风向。与其他功能区间距保持100m以上距离。</w:t>
            </w:r>
          </w:p>
        </w:tc>
        <w:tc>
          <w:tcPr>
            <w:tcW w:w="541" w:type="pct"/>
            <w:tcBorders>
              <w:tl2br w:val="nil"/>
              <w:tr2bl w:val="nil"/>
            </w:tcBorders>
            <w:noWrap w:val="0"/>
            <w:vAlign w:val="center"/>
          </w:tcPr>
          <w:p w14:paraId="37C71C58">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w:t>
            </w:r>
          </w:p>
        </w:tc>
      </w:tr>
      <w:tr w14:paraId="6D66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23C670D5">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粪污处理场地距离功能地表水体400m以上，应采取地面硬化、防渗漏、防径流和雨污分流等措施。</w:t>
            </w:r>
          </w:p>
        </w:tc>
        <w:tc>
          <w:tcPr>
            <w:tcW w:w="2106" w:type="pct"/>
            <w:tcBorders>
              <w:tl2br w:val="nil"/>
              <w:tr2bl w:val="nil"/>
            </w:tcBorders>
            <w:noWrap w:val="0"/>
            <w:vAlign w:val="center"/>
          </w:tcPr>
          <w:p w14:paraId="101C8356">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本项目周边无地表水体，满足要求。要求其在施工设计中采取地面硬化、防渗漏、防径流和雨污分流等措施。</w:t>
            </w:r>
          </w:p>
        </w:tc>
        <w:tc>
          <w:tcPr>
            <w:tcW w:w="541" w:type="pct"/>
            <w:tcBorders>
              <w:tl2br w:val="nil"/>
              <w:tr2bl w:val="nil"/>
            </w:tcBorders>
            <w:noWrap w:val="0"/>
            <w:vAlign w:val="center"/>
          </w:tcPr>
          <w:p w14:paraId="1A8A6A5F">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w:t>
            </w:r>
          </w:p>
        </w:tc>
      </w:tr>
    </w:tbl>
    <w:p w14:paraId="71172984">
      <w:pPr>
        <w:pStyle w:val="5"/>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《农业农村部办公厅关于进一步强化病死畜禽无害化处理工作的通知》（农办牧〔2024〕25号）</w:t>
      </w:r>
    </w:p>
    <w:p w14:paraId="18E4D821">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1. 严格落实无害化处理责任</w:t>
      </w:r>
    </w:p>
    <w:p w14:paraId="3D45D8EA">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属地管理责任：地方各级人民政府对本地区病死畜禽无害化处理负总责，需积极推动落实病死畜禽无害化处理工作属地管理责任。</w:t>
      </w:r>
    </w:p>
    <w:p w14:paraId="0C9EA1EB">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监督管理责任：农业农村部门需严格落实监督管理责任，督促指导畜禽养殖场（户）、屠宰厂（场）、无害化处理场等生产经营主体，规范处置病死畜禽和病害畜禽产品，并建立工作台账，详细记录处置的种类、数量和去向等情况。</w:t>
      </w:r>
    </w:p>
    <w:p w14:paraId="6D9A83DD">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2. 健全无害化处理体系</w:t>
      </w:r>
    </w:p>
    <w:p w14:paraId="6CD71DE4">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优化处理体系：各地需加快优化病死畜禽无害化处理体系，完善工作机制，加强政策支持，提升处理能力。</w:t>
      </w:r>
    </w:p>
    <w:p w14:paraId="13ED517D">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淘汰落后处理方式：逐步淘汰深埋、化尸窖、堆肥等落后处理方式，依法关停不符合动物防疫条件、无害化处理技术规范、生产安全以及环保要求的无害化处理场。</w:t>
      </w:r>
    </w:p>
    <w:p w14:paraId="748FAF5F">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3. 加强无害化处理监督管理</w:t>
      </w:r>
    </w:p>
    <w:p w14:paraId="17429C79">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信息化管理：加快推进病死畜禽无害化处理信息化管理，规范生产经营主体填报收集、运输、暂存、无害化处理及产物流向等全链条信息数据，强化统计分析和智能预警。</w:t>
      </w:r>
    </w:p>
    <w:p w14:paraId="232559BC">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执法监管：各地农业农村部门需加大排查力度，强化部门协作，建立健全线索通报、联合执法、案件移送等长效工作机制，严厉打击随意弃置、买卖、屠宰、加工病死畜禽的违法犯罪行为。</w:t>
      </w:r>
    </w:p>
    <w:p w14:paraId="4977706E">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4. 落实无害化处理补助政策</w:t>
      </w:r>
    </w:p>
    <w:p w14:paraId="4090B548">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补助资金拨付：各地农业农村部门要积极协调财政部门，按照“谁处理补给谁”的原则，统筹用好中央和地方资金，及时对承担养殖环节病死猪无害化处理任务的实施者给予补助。</w:t>
      </w:r>
    </w:p>
    <w:p w14:paraId="53EB2FB0">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补助标准：例如，养殖环节病死猪（不含流产的死胎）集中无害化处理财政补助标准为80元/头。</w:t>
      </w:r>
    </w:p>
    <w:p w14:paraId="0BAF76E3">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5. 严控无害化处理产物流向</w:t>
      </w:r>
    </w:p>
    <w:p w14:paraId="24CAD74A">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资源化利用：鼓励在符合国家有关法律法规规定的情况下，对病死畜禽和病害畜禽产品无害化处理产物进行资源化利用。</w:t>
      </w:r>
    </w:p>
    <w:p w14:paraId="7F176DE1">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流向监控：各地农业农村部门要督促指导畜禽养殖场、屠宰厂（场）、无害化处理场等严控处理产物流向，查验购买方资质并留存相关材料，签订销售合同，详细记录处理产物销售情况。</w:t>
      </w:r>
    </w:p>
    <w:p w14:paraId="2C2E75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rPr>
      </w:pPr>
      <w:r>
        <w:rPr>
          <w:rFonts w:hint="default" w:ascii="Times New Roman" w:hAnsi="Times New Roman" w:cs="Times New Roman"/>
          <w:color w:val="FF0000"/>
          <w:sz w:val="24"/>
          <w:highlight w:val="none"/>
        </w:rPr>
        <w:t>本项目</w:t>
      </w:r>
      <w:r>
        <w:rPr>
          <w:rFonts w:hint="default" w:ascii="Times New Roman" w:hAnsi="Times New Roman" w:cs="Times New Roman"/>
          <w:color w:val="FF0000"/>
          <w:sz w:val="24"/>
          <w:highlight w:val="none"/>
          <w:lang w:val="en-US" w:eastAsia="zh-CN"/>
        </w:rPr>
        <w:t>病死鸡安全填埋，</w:t>
      </w:r>
      <w:r>
        <w:rPr>
          <w:rFonts w:hint="default" w:ascii="Times New Roman" w:hAnsi="Times New Roman" w:cs="Times New Roman"/>
          <w:color w:val="FF0000"/>
          <w:sz w:val="24"/>
          <w:highlight w:val="none"/>
        </w:rPr>
        <w:t>按照国家有关</w:t>
      </w:r>
      <w:r>
        <w:rPr>
          <w:rFonts w:hint="default" w:ascii="Times New Roman" w:hAnsi="Times New Roman" w:cs="Times New Roman"/>
          <w:color w:val="FF0000"/>
          <w:sz w:val="24"/>
          <w:highlight w:val="none"/>
          <w:lang w:eastAsia="zh-CN"/>
        </w:rPr>
        <w:t>规定</w:t>
      </w:r>
      <w:r>
        <w:rPr>
          <w:rFonts w:hint="default" w:ascii="Times New Roman" w:hAnsi="Times New Roman" w:cs="Times New Roman"/>
          <w:color w:val="FF0000"/>
          <w:sz w:val="24"/>
          <w:highlight w:val="none"/>
        </w:rPr>
        <w:t>将建立工作台账， 详细记录处置的种类、数量和去向等情况。</w:t>
      </w:r>
    </w:p>
    <w:p w14:paraId="7A796CDE">
      <w:pPr>
        <w:pStyle w:val="5"/>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与《畜禽养殖场</w:t>
      </w:r>
      <w:r>
        <w:rPr>
          <w:rFonts w:hint="eastAsia" w:ascii="Times New Roman" w:hAnsi="Times New Roman" w:cs="Times New Roman"/>
          <w:color w:val="FF0000"/>
          <w:lang w:val="en-US" w:eastAsia="zh-CN"/>
        </w:rPr>
        <w:t>（</w:t>
      </w:r>
      <w:r>
        <w:rPr>
          <w:rFonts w:hint="default" w:ascii="Times New Roman" w:hAnsi="Times New Roman" w:cs="Times New Roman"/>
          <w:color w:val="FF0000"/>
          <w:lang w:val="en-US" w:eastAsia="zh-CN"/>
        </w:rPr>
        <w:t>户)粪污处理设施建设技术指南》符合性分析</w:t>
      </w:r>
    </w:p>
    <w:p w14:paraId="1656CC59">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与农业农村部办公厅、生态环境部办公厅关于印发《畜禽养殖场</w:t>
      </w:r>
      <w:r>
        <w:rPr>
          <w:rFonts w:hint="eastAsia" w:ascii="Times New Roman" w:hAnsi="Times New Roman" w:cs="Times New Roman"/>
          <w:color w:val="FF0000"/>
          <w:sz w:val="24"/>
          <w:lang w:val="en-US" w:eastAsia="zh-CN"/>
        </w:rPr>
        <w:t>（</w:t>
      </w:r>
      <w:r>
        <w:rPr>
          <w:rFonts w:hint="default" w:ascii="Times New Roman" w:hAnsi="Times New Roman" w:eastAsia="宋体" w:cs="Times New Roman"/>
          <w:color w:val="FF0000"/>
          <w:sz w:val="24"/>
          <w:lang w:val="en-US" w:eastAsia="zh-CN"/>
        </w:rPr>
        <w:t>户)粪污处理设施建设技术指南》的通知</w:t>
      </w:r>
      <w:r>
        <w:rPr>
          <w:rFonts w:hint="eastAsia" w:ascii="Times New Roman" w:hAnsi="Times New Roman" w:cs="Times New Roman"/>
          <w:color w:val="FF0000"/>
          <w:sz w:val="24"/>
          <w:lang w:val="en-US" w:eastAsia="zh-CN"/>
        </w:rPr>
        <w:t>（</w:t>
      </w:r>
      <w:r>
        <w:rPr>
          <w:rFonts w:hint="default" w:ascii="Times New Roman" w:hAnsi="Times New Roman" w:eastAsia="宋体" w:cs="Times New Roman"/>
          <w:color w:val="FF0000"/>
          <w:sz w:val="24"/>
          <w:lang w:val="en-US" w:eastAsia="zh-CN"/>
        </w:rPr>
        <w:t>农办牧〔2022〕19号)符合性分析见下表。</w:t>
      </w:r>
    </w:p>
    <w:p w14:paraId="5015F900">
      <w:pPr>
        <w:pStyle w:val="14"/>
        <w:bidi w:val="0"/>
        <w:rPr>
          <w:rFonts w:hint="default" w:ascii="Times New Roman" w:hAnsi="Times New Roman" w:cs="Times New Roman"/>
          <w:color w:val="FF0000"/>
          <w:lang w:val="en-US" w:eastAsia="zh-CN"/>
        </w:rPr>
      </w:pPr>
      <w:r>
        <w:rPr>
          <w:rFonts w:hint="default" w:ascii="Times New Roman" w:hAnsi="Times New Roman" w:cs="Times New Roman"/>
          <w:color w:val="FF0000"/>
        </w:rPr>
        <w:t xml:space="preserve">表 </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1.4</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w:t>
      </w:r>
      <w:r>
        <w:rPr>
          <w:rFonts w:hint="default" w:ascii="Times New Roman" w:hAnsi="Times New Roman" w:cs="Times New Roman"/>
          <w:color w:val="FF0000"/>
        </w:rPr>
        <w:fldChar w:fldCharType="end"/>
      </w:r>
      <w:r>
        <w:rPr>
          <w:rFonts w:hint="default" w:ascii="Times New Roman" w:hAnsi="Times New Roman" w:cs="Times New Roman"/>
          <w:color w:val="FF0000"/>
          <w:lang w:val="en-US" w:eastAsia="zh-CN"/>
        </w:rPr>
        <w:t>畜禽养殖场</w:t>
      </w:r>
      <w:r>
        <w:rPr>
          <w:rFonts w:hint="eastAsia" w:ascii="Times New Roman" w:hAnsi="Times New Roman" w:cs="Times New Roman"/>
          <w:color w:val="FF0000"/>
          <w:lang w:val="en-US" w:eastAsia="zh-CN"/>
        </w:rPr>
        <w:t>（</w:t>
      </w:r>
      <w:r>
        <w:rPr>
          <w:rFonts w:hint="default" w:ascii="Times New Roman" w:hAnsi="Times New Roman" w:cs="Times New Roman"/>
          <w:color w:val="FF0000"/>
          <w:lang w:val="en-US" w:eastAsia="zh-CN"/>
        </w:rPr>
        <w:t>户)粪污处理设施建设技术指南符合性分析</w:t>
      </w:r>
    </w:p>
    <w:tbl>
      <w:tblPr>
        <w:tblStyle w:val="76"/>
        <w:tblW w:w="91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5783"/>
        <w:gridCol w:w="2822"/>
      </w:tblGrid>
      <w:tr w14:paraId="0390E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564" w:type="dxa"/>
            <w:vAlign w:val="center"/>
          </w:tcPr>
          <w:p w14:paraId="501A6C99">
            <w:pPr>
              <w:pStyle w:val="113"/>
              <w:spacing w:before="74" w:line="221" w:lineRule="auto"/>
              <w:ind w:left="64"/>
              <w:rPr>
                <w:rFonts w:hint="default" w:ascii="Times New Roman" w:hAnsi="Times New Roman" w:cs="Times New Roman"/>
                <w:color w:val="FF0000"/>
                <w:sz w:val="21"/>
                <w:szCs w:val="21"/>
              </w:rPr>
            </w:pPr>
            <w:r>
              <w:rPr>
                <w:rFonts w:hint="default" w:ascii="Times New Roman" w:hAnsi="Times New Roman" w:cs="Times New Roman"/>
                <w:color w:val="FF0000"/>
                <w:spacing w:val="6"/>
                <w:sz w:val="21"/>
                <w:szCs w:val="21"/>
              </w:rPr>
              <w:t>序号</w:t>
            </w:r>
          </w:p>
        </w:tc>
        <w:tc>
          <w:tcPr>
            <w:tcW w:w="5783" w:type="dxa"/>
            <w:vAlign w:val="center"/>
          </w:tcPr>
          <w:p w14:paraId="4370F39B">
            <w:pPr>
              <w:pStyle w:val="113"/>
              <w:spacing w:before="73" w:line="219" w:lineRule="auto"/>
              <w:ind w:left="2450"/>
              <w:rPr>
                <w:rFonts w:hint="default" w:ascii="Times New Roman" w:hAnsi="Times New Roman" w:cs="Times New Roman"/>
                <w:color w:val="FF0000"/>
                <w:sz w:val="21"/>
                <w:szCs w:val="21"/>
              </w:rPr>
            </w:pPr>
            <w:r>
              <w:rPr>
                <w:rFonts w:hint="default" w:ascii="Times New Roman" w:hAnsi="Times New Roman" w:cs="Times New Roman"/>
                <w:color w:val="FF0000"/>
                <w:spacing w:val="2"/>
                <w:sz w:val="21"/>
                <w:szCs w:val="21"/>
              </w:rPr>
              <w:t>建设内容</w:t>
            </w:r>
          </w:p>
        </w:tc>
        <w:tc>
          <w:tcPr>
            <w:tcW w:w="2822" w:type="dxa"/>
            <w:vAlign w:val="center"/>
          </w:tcPr>
          <w:p w14:paraId="1482CFB5">
            <w:pPr>
              <w:pStyle w:val="113"/>
              <w:spacing w:before="73" w:line="219" w:lineRule="auto"/>
              <w:ind w:left="987"/>
              <w:rPr>
                <w:rFonts w:hint="default" w:ascii="Times New Roman" w:hAnsi="Times New Roman" w:cs="Times New Roman"/>
                <w:color w:val="FF0000"/>
                <w:sz w:val="21"/>
                <w:szCs w:val="21"/>
              </w:rPr>
            </w:pPr>
            <w:r>
              <w:rPr>
                <w:rFonts w:hint="default" w:ascii="Times New Roman" w:hAnsi="Times New Roman" w:cs="Times New Roman"/>
                <w:color w:val="FF0000"/>
                <w:spacing w:val="2"/>
                <w:sz w:val="21"/>
                <w:szCs w:val="21"/>
              </w:rPr>
              <w:t>是否符合</w:t>
            </w:r>
          </w:p>
        </w:tc>
      </w:tr>
      <w:tr w14:paraId="74138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7" w:hRule="atLeast"/>
        </w:trPr>
        <w:tc>
          <w:tcPr>
            <w:tcW w:w="564" w:type="dxa"/>
            <w:vAlign w:val="center"/>
          </w:tcPr>
          <w:p w14:paraId="7DF85282">
            <w:pPr>
              <w:pStyle w:val="113"/>
              <w:spacing w:before="43" w:line="235" w:lineRule="auto"/>
              <w:ind w:left="204"/>
              <w:rPr>
                <w:rFonts w:hint="default" w:ascii="Times New Roman" w:hAnsi="Times New Roman" w:eastAsia="宋体" w:cs="Times New Roman"/>
                <w:color w:val="FF0000"/>
                <w:sz w:val="21"/>
                <w:szCs w:val="21"/>
                <w:lang w:eastAsia="zh-CN"/>
              </w:rPr>
            </w:pPr>
            <w:r>
              <w:rPr>
                <w:rFonts w:hint="default" w:ascii="Times New Roman" w:hAnsi="Times New Roman" w:cs="Times New Roman"/>
                <w:color w:val="FF0000"/>
                <w:sz w:val="21"/>
                <w:szCs w:val="21"/>
                <w:lang w:val="en-US" w:eastAsia="zh-CN"/>
              </w:rPr>
              <w:t>1</w:t>
            </w:r>
          </w:p>
        </w:tc>
        <w:tc>
          <w:tcPr>
            <w:tcW w:w="5783" w:type="dxa"/>
            <w:vAlign w:val="center"/>
          </w:tcPr>
          <w:p w14:paraId="2BBA4A20">
            <w:pPr>
              <w:pStyle w:val="113"/>
              <w:spacing w:before="151" w:line="241" w:lineRule="auto"/>
              <w:ind w:left="11" w:right="79"/>
              <w:jc w:val="both"/>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畜禽养殖场应根据养殖污染防治要求和当地环境承载力，配备与设计生产能力、粪污处理利用方式相匹配的畜禽粪污处理设</w:t>
            </w:r>
            <w:r>
              <w:rPr>
                <w:rFonts w:hint="default" w:ascii="Times New Roman" w:hAnsi="Times New Roman" w:cs="Times New Roman"/>
                <w:color w:val="FF0000"/>
                <w:spacing w:val="-1"/>
                <w:sz w:val="21"/>
                <w:szCs w:val="21"/>
              </w:rPr>
              <w:t>施设备，满足防雨、防渗、防溢流和安全防护要求，并确保正</w:t>
            </w:r>
            <w:r>
              <w:rPr>
                <w:rFonts w:hint="default" w:ascii="Times New Roman" w:hAnsi="Times New Roman" w:cs="Times New Roman"/>
                <w:color w:val="FF0000"/>
                <w:sz w:val="21"/>
                <w:szCs w:val="21"/>
              </w:rPr>
              <w:t>常运行。交由第三方处理机构处理畜禽粪污的，应按照转运时间间隔建设粪污暂存设施。畜禽养殖户应当采取措施，对畜禽</w:t>
            </w:r>
            <w:r>
              <w:rPr>
                <w:rFonts w:hint="default" w:ascii="Times New Roman" w:hAnsi="Times New Roman" w:cs="Times New Roman"/>
                <w:color w:val="FF0000"/>
                <w:spacing w:val="-1"/>
                <w:sz w:val="21"/>
                <w:szCs w:val="21"/>
              </w:rPr>
              <w:t>粪污进行科学处理，防止污染环境。</w:t>
            </w:r>
          </w:p>
        </w:tc>
        <w:tc>
          <w:tcPr>
            <w:tcW w:w="2822" w:type="dxa"/>
            <w:vAlign w:val="center"/>
          </w:tcPr>
          <w:p w14:paraId="7F4EA141">
            <w:pPr>
              <w:pStyle w:val="113"/>
              <w:spacing w:before="19" w:line="219" w:lineRule="auto"/>
              <w:ind w:left="37"/>
              <w:jc w:val="left"/>
              <w:rPr>
                <w:rFonts w:hint="default" w:ascii="Times New Roman" w:hAnsi="Times New Roman" w:cs="Times New Roman"/>
                <w:color w:val="FF0000"/>
                <w:sz w:val="21"/>
                <w:szCs w:val="21"/>
              </w:rPr>
            </w:pPr>
            <w:r>
              <w:rPr>
                <w:rFonts w:hint="default" w:ascii="Times New Roman" w:hAnsi="Times New Roman" w:cs="Times New Roman"/>
                <w:color w:val="FF0000"/>
                <w:spacing w:val="1"/>
                <w:sz w:val="21"/>
                <w:szCs w:val="21"/>
              </w:rPr>
              <w:t>符合。项目废水处理后用于周</w:t>
            </w:r>
            <w:r>
              <w:rPr>
                <w:rFonts w:hint="default" w:ascii="Times New Roman" w:hAnsi="Times New Roman" w:cs="Times New Roman"/>
                <w:color w:val="FF0000"/>
                <w:spacing w:val="-1"/>
                <w:sz w:val="21"/>
                <w:szCs w:val="21"/>
              </w:rPr>
              <w:t>边农田灌溉，粪</w:t>
            </w:r>
            <w:r>
              <w:rPr>
                <w:rFonts w:hint="default" w:ascii="Times New Roman" w:hAnsi="Times New Roman" w:cs="Times New Roman"/>
                <w:color w:val="FF0000"/>
                <w:spacing w:val="-1"/>
                <w:sz w:val="21"/>
                <w:szCs w:val="21"/>
                <w:lang w:val="en-US" w:eastAsia="zh-CN"/>
              </w:rPr>
              <w:t>便</w:t>
            </w:r>
            <w:r>
              <w:rPr>
                <w:rFonts w:hint="default" w:ascii="Times New Roman" w:hAnsi="Times New Roman" w:cs="Times New Roman"/>
                <w:color w:val="FF0000"/>
                <w:spacing w:val="-1"/>
                <w:sz w:val="21"/>
                <w:szCs w:val="21"/>
              </w:rPr>
              <w:t>经高温好氧发酵设备处理后有机肥半成品外售，能满足</w:t>
            </w:r>
            <w:r>
              <w:rPr>
                <w:rFonts w:hint="default" w:ascii="Times New Roman" w:hAnsi="Times New Roman" w:cs="Times New Roman"/>
                <w:color w:val="FF0000"/>
                <w:sz w:val="21"/>
                <w:szCs w:val="21"/>
              </w:rPr>
              <w:t>防雨、防渗、防溢流和安全防</w:t>
            </w:r>
            <w:r>
              <w:rPr>
                <w:rFonts w:hint="default" w:ascii="Times New Roman" w:hAnsi="Times New Roman" w:cs="Times New Roman"/>
                <w:color w:val="FF0000"/>
                <w:spacing w:val="-1"/>
                <w:sz w:val="21"/>
                <w:szCs w:val="21"/>
              </w:rPr>
              <w:t>护要求，并确保正常运行。</w:t>
            </w:r>
          </w:p>
        </w:tc>
      </w:tr>
      <w:tr w14:paraId="0C6C0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6" w:hRule="atLeast"/>
        </w:trPr>
        <w:tc>
          <w:tcPr>
            <w:tcW w:w="564" w:type="dxa"/>
            <w:vAlign w:val="center"/>
          </w:tcPr>
          <w:p w14:paraId="1D106261">
            <w:pPr>
              <w:pStyle w:val="113"/>
              <w:spacing w:before="69" w:line="241" w:lineRule="auto"/>
              <w:ind w:left="214"/>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2</w:t>
            </w:r>
          </w:p>
        </w:tc>
        <w:tc>
          <w:tcPr>
            <w:tcW w:w="5783" w:type="dxa"/>
            <w:vAlign w:val="center"/>
          </w:tcPr>
          <w:p w14:paraId="2E6110F2">
            <w:pPr>
              <w:pStyle w:val="113"/>
              <w:spacing w:before="11" w:line="212" w:lineRule="auto"/>
              <w:ind w:left="11"/>
              <w:rPr>
                <w:rFonts w:hint="default" w:ascii="Times New Roman" w:hAnsi="Times New Roman" w:cs="Times New Roman"/>
                <w:color w:val="FF0000"/>
                <w:sz w:val="21"/>
                <w:szCs w:val="21"/>
              </w:rPr>
            </w:pPr>
            <w:r>
              <w:rPr>
                <w:rFonts w:hint="default" w:ascii="Times New Roman" w:hAnsi="Times New Roman" w:cs="Times New Roman"/>
                <w:color w:val="FF0000"/>
                <w:spacing w:val="1"/>
                <w:sz w:val="21"/>
                <w:szCs w:val="21"/>
              </w:rPr>
              <w:t>畜禽养殖场</w:t>
            </w:r>
            <w:r>
              <w:rPr>
                <w:rFonts w:hint="eastAsia" w:ascii="Times New Roman" w:hAnsi="Times New Roman" w:eastAsia="宋体" w:cs="Times New Roman"/>
                <w:color w:val="FF0000"/>
                <w:spacing w:val="1"/>
                <w:sz w:val="21"/>
                <w:szCs w:val="21"/>
                <w:lang w:eastAsia="zh-CN"/>
              </w:rPr>
              <w:t>（</w:t>
            </w:r>
            <w:r>
              <w:rPr>
                <w:rFonts w:hint="default" w:ascii="Times New Roman" w:hAnsi="Times New Roman" w:cs="Times New Roman"/>
                <w:color w:val="FF0000"/>
                <w:spacing w:val="1"/>
                <w:sz w:val="21"/>
                <w:szCs w:val="21"/>
              </w:rPr>
              <w:t>户)宜采用干清粪、水泡粪、地面垫料、床</w:t>
            </w:r>
            <w:r>
              <w:rPr>
                <w:rFonts w:hint="eastAsia" w:ascii="Times New Roman" w:hAnsi="Times New Roman" w:eastAsia="宋体" w:cs="Times New Roman"/>
                <w:color w:val="FF0000"/>
                <w:spacing w:val="1"/>
                <w:sz w:val="21"/>
                <w:szCs w:val="21"/>
                <w:lang w:eastAsia="zh-CN"/>
              </w:rPr>
              <w:t>（</w:t>
            </w:r>
            <w:r>
              <w:rPr>
                <w:rFonts w:hint="default" w:ascii="Times New Roman" w:hAnsi="Times New Roman" w:cs="Times New Roman"/>
                <w:color w:val="FF0000"/>
                <w:spacing w:val="1"/>
                <w:sz w:val="21"/>
                <w:szCs w:val="21"/>
              </w:rPr>
              <w:t>网)</w:t>
            </w:r>
            <w:r>
              <w:rPr>
                <w:rFonts w:hint="default" w:ascii="Times New Roman" w:hAnsi="Times New Roman" w:cs="Times New Roman"/>
                <w:color w:val="FF0000"/>
                <w:spacing w:val="-4"/>
                <w:sz w:val="21"/>
                <w:szCs w:val="21"/>
              </w:rPr>
              <w:t>下垫料等清粪工艺，逐步淘汰水冲粪工艺，合理控制清粪环节用水量。新建养殖场采用干清粪工艺的，鼓励</w:t>
            </w:r>
            <w:r>
              <w:rPr>
                <w:rFonts w:hint="default" w:ascii="Times New Roman" w:hAnsi="Times New Roman" w:cs="Times New Roman"/>
                <w:color w:val="FF0000"/>
                <w:spacing w:val="-5"/>
                <w:sz w:val="21"/>
                <w:szCs w:val="21"/>
              </w:rPr>
              <w:t>进行机械干清粪。</w:t>
            </w:r>
            <w:r>
              <w:rPr>
                <w:rFonts w:hint="default" w:ascii="Times New Roman" w:hAnsi="Times New Roman" w:cs="Times New Roman"/>
                <w:color w:val="FF0000"/>
                <w:spacing w:val="-4"/>
                <w:sz w:val="21"/>
                <w:szCs w:val="21"/>
              </w:rPr>
              <w:t>鼓励畜禽养殖场采用碗式或液位控制等防溢漏饮水器，</w:t>
            </w:r>
            <w:r>
              <w:rPr>
                <w:rFonts w:hint="default" w:ascii="Times New Roman" w:hAnsi="Times New Roman" w:cs="Times New Roman"/>
                <w:color w:val="FF0000"/>
                <w:spacing w:val="-5"/>
                <w:sz w:val="21"/>
                <w:szCs w:val="21"/>
              </w:rPr>
              <w:t>减少饮</w:t>
            </w:r>
            <w:r>
              <w:rPr>
                <w:rFonts w:hint="default" w:ascii="Times New Roman" w:hAnsi="Times New Roman" w:cs="Times New Roman"/>
                <w:color w:val="FF0000"/>
                <w:spacing w:val="-4"/>
                <w:sz w:val="21"/>
                <w:szCs w:val="21"/>
              </w:rPr>
              <w:t>水漏水。新建猪、鸡等养殖场宜采取圈舍封闭半封闭</w:t>
            </w:r>
            <w:r>
              <w:rPr>
                <w:rFonts w:hint="default" w:ascii="Times New Roman" w:hAnsi="Times New Roman" w:cs="Times New Roman"/>
                <w:color w:val="FF0000"/>
                <w:spacing w:val="-5"/>
                <w:sz w:val="21"/>
                <w:szCs w:val="21"/>
              </w:rPr>
              <w:t>管理，鼓</w:t>
            </w:r>
            <w:r>
              <w:rPr>
                <w:rFonts w:hint="default" w:ascii="Times New Roman" w:hAnsi="Times New Roman" w:cs="Times New Roman"/>
                <w:color w:val="FF0000"/>
                <w:spacing w:val="-4"/>
                <w:sz w:val="21"/>
                <w:szCs w:val="21"/>
              </w:rPr>
              <w:t>励有条件的现有畜禽养殖场开展圈舍封闭改造，对恶臭气体进行收集处理。</w:t>
            </w:r>
            <w:r>
              <w:rPr>
                <w:rFonts w:hint="default" w:ascii="Times New Roman" w:hAnsi="Times New Roman" w:cs="Times New Roman"/>
                <w:color w:val="FF0000"/>
                <w:sz w:val="21"/>
                <w:szCs w:val="21"/>
              </w:rPr>
              <w:t>畜禽养殖场</w:t>
            </w:r>
            <w:r>
              <w:rPr>
                <w:rFonts w:hint="eastAsia" w:ascii="Times New Roman" w:hAnsi="Times New Roman" w:eastAsia="宋体" w:cs="Times New Roman"/>
                <w:color w:val="FF0000"/>
                <w:sz w:val="21"/>
                <w:szCs w:val="21"/>
                <w:lang w:eastAsia="zh-CN"/>
              </w:rPr>
              <w:t>（</w:t>
            </w:r>
            <w:r>
              <w:rPr>
                <w:rFonts w:hint="default" w:ascii="Times New Roman" w:hAnsi="Times New Roman" w:cs="Times New Roman"/>
                <w:color w:val="FF0000"/>
                <w:sz w:val="21"/>
                <w:szCs w:val="21"/>
              </w:rPr>
              <w:t>户)应保持合理的清粪频次，及时收集圈舍和运</w:t>
            </w:r>
            <w:r>
              <w:rPr>
                <w:rFonts w:hint="default" w:ascii="Times New Roman" w:hAnsi="Times New Roman" w:cs="Times New Roman"/>
                <w:color w:val="FF0000"/>
                <w:spacing w:val="-1"/>
                <w:sz w:val="21"/>
                <w:szCs w:val="21"/>
              </w:rPr>
              <w:t>动场的粪污。鼓励畜禽养殖场做好运动场的防雨、防渗和防溢流，降低环境污染风险。</w:t>
            </w:r>
          </w:p>
        </w:tc>
        <w:tc>
          <w:tcPr>
            <w:tcW w:w="2822" w:type="dxa"/>
            <w:vAlign w:val="center"/>
          </w:tcPr>
          <w:p w14:paraId="351A0CC8">
            <w:pPr>
              <w:pStyle w:val="113"/>
              <w:spacing w:before="271" w:line="219" w:lineRule="auto"/>
              <w:jc w:val="left"/>
              <w:rPr>
                <w:rFonts w:hint="default" w:ascii="Times New Roman" w:hAnsi="Times New Roman" w:cs="Times New Roman"/>
                <w:color w:val="FF0000"/>
                <w:sz w:val="21"/>
                <w:szCs w:val="21"/>
              </w:rPr>
            </w:pPr>
            <w:r>
              <w:rPr>
                <w:rFonts w:hint="default" w:ascii="Times New Roman" w:hAnsi="Times New Roman" w:cs="Times New Roman"/>
                <w:color w:val="FF0000"/>
                <w:spacing w:val="-1"/>
                <w:sz w:val="21"/>
                <w:szCs w:val="21"/>
              </w:rPr>
              <w:t>符合。项目采用干清粪工艺</w:t>
            </w:r>
          </w:p>
        </w:tc>
      </w:tr>
      <w:tr w14:paraId="61922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564" w:type="dxa"/>
            <w:vAlign w:val="center"/>
          </w:tcPr>
          <w:p w14:paraId="4A4245C5">
            <w:pPr>
              <w:pStyle w:val="113"/>
              <w:spacing w:before="68"/>
              <w:ind w:left="214"/>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3</w:t>
            </w:r>
          </w:p>
        </w:tc>
        <w:tc>
          <w:tcPr>
            <w:tcW w:w="5783" w:type="dxa"/>
            <w:vAlign w:val="center"/>
          </w:tcPr>
          <w:p w14:paraId="03506ED1">
            <w:pPr>
              <w:pStyle w:val="113"/>
              <w:spacing w:before="137" w:line="250" w:lineRule="auto"/>
              <w:ind w:left="11" w:right="102" w:firstLine="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畜禽养殖场</w:t>
            </w:r>
            <w:r>
              <w:rPr>
                <w:rFonts w:hint="eastAsia" w:ascii="Times New Roman" w:hAnsi="Times New Roman" w:eastAsia="宋体" w:cs="Times New Roman"/>
                <w:color w:val="FF0000"/>
                <w:sz w:val="21"/>
                <w:szCs w:val="21"/>
                <w:lang w:eastAsia="zh-CN"/>
              </w:rPr>
              <w:t>（</w:t>
            </w:r>
            <w:r>
              <w:rPr>
                <w:rFonts w:hint="default" w:ascii="Times New Roman" w:hAnsi="Times New Roman" w:cs="Times New Roman"/>
                <w:color w:val="FF0000"/>
                <w:sz w:val="21"/>
                <w:szCs w:val="21"/>
              </w:rPr>
              <w:t>户)应建设雨污分流设施，液体粪污应采用暗沟</w:t>
            </w:r>
            <w:r>
              <w:rPr>
                <w:rFonts w:hint="default" w:ascii="Times New Roman" w:hAnsi="Times New Roman" w:cs="Times New Roman"/>
                <w:color w:val="FF0000"/>
                <w:spacing w:val="-1"/>
                <w:sz w:val="21"/>
                <w:szCs w:val="21"/>
              </w:rPr>
              <w:t>或管道输送，采取密闭措施，做好安全防护，输送管路要合理设置检查口，检查口应加盖且一般高于地面5厘米以上，防止雨水倒灌。</w:t>
            </w:r>
          </w:p>
        </w:tc>
        <w:tc>
          <w:tcPr>
            <w:tcW w:w="2822" w:type="dxa"/>
            <w:vAlign w:val="center"/>
          </w:tcPr>
          <w:p w14:paraId="31363090">
            <w:pPr>
              <w:pStyle w:val="113"/>
              <w:spacing w:before="26" w:line="219" w:lineRule="auto"/>
              <w:jc w:val="left"/>
              <w:rPr>
                <w:rFonts w:hint="default" w:ascii="Times New Roman" w:hAnsi="Times New Roman" w:cs="Times New Roman"/>
                <w:color w:val="FF0000"/>
                <w:sz w:val="21"/>
                <w:szCs w:val="21"/>
              </w:rPr>
            </w:pPr>
            <w:r>
              <w:rPr>
                <w:rFonts w:hint="default" w:ascii="Times New Roman" w:hAnsi="Times New Roman" w:cs="Times New Roman"/>
                <w:color w:val="FF0000"/>
                <w:spacing w:val="-1"/>
                <w:sz w:val="21"/>
                <w:szCs w:val="21"/>
              </w:rPr>
              <w:t>符合。项目建设雨污分流设施，液体粪污采用暗沟和管道输送，采取密闭措施，并做好</w:t>
            </w:r>
            <w:r>
              <w:rPr>
                <w:rFonts w:hint="default" w:ascii="Times New Roman" w:hAnsi="Times New Roman" w:cs="Times New Roman"/>
                <w:color w:val="FF0000"/>
                <w:sz w:val="21"/>
                <w:szCs w:val="21"/>
              </w:rPr>
              <w:t>安全防护，输送管路设有检查</w:t>
            </w:r>
            <w:r>
              <w:rPr>
                <w:rFonts w:hint="default" w:ascii="Times New Roman" w:hAnsi="Times New Roman" w:cs="Times New Roman"/>
                <w:color w:val="FF0000"/>
                <w:spacing w:val="-21"/>
                <w:sz w:val="21"/>
                <w:szCs w:val="21"/>
              </w:rPr>
              <w:t>口。</w:t>
            </w:r>
          </w:p>
        </w:tc>
      </w:tr>
      <w:tr w14:paraId="1D20D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8" w:hRule="atLeast"/>
        </w:trPr>
        <w:tc>
          <w:tcPr>
            <w:tcW w:w="564" w:type="dxa"/>
            <w:vAlign w:val="center"/>
          </w:tcPr>
          <w:p w14:paraId="38EBF403">
            <w:pPr>
              <w:pStyle w:val="113"/>
              <w:spacing w:before="72" w:line="241" w:lineRule="auto"/>
              <w:ind w:left="224"/>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w:t>
            </w:r>
          </w:p>
        </w:tc>
        <w:tc>
          <w:tcPr>
            <w:tcW w:w="5783" w:type="dxa"/>
            <w:vAlign w:val="center"/>
          </w:tcPr>
          <w:p w14:paraId="4D752768">
            <w:pPr>
              <w:pStyle w:val="113"/>
              <w:spacing w:before="9" w:line="219" w:lineRule="auto"/>
              <w:ind w:left="11"/>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畜禽养殖场</w:t>
            </w:r>
            <w:r>
              <w:rPr>
                <w:rFonts w:hint="eastAsia" w:ascii="Times New Roman" w:hAnsi="Times New Roman" w:eastAsia="宋体" w:cs="Times New Roman"/>
                <w:color w:val="FF0000"/>
                <w:sz w:val="21"/>
                <w:szCs w:val="21"/>
                <w:lang w:eastAsia="zh-CN"/>
              </w:rPr>
              <w:t>（</w:t>
            </w:r>
            <w:r>
              <w:rPr>
                <w:rFonts w:hint="default" w:ascii="Times New Roman" w:hAnsi="Times New Roman" w:cs="Times New Roman"/>
                <w:color w:val="FF0000"/>
                <w:sz w:val="21"/>
                <w:szCs w:val="21"/>
              </w:rPr>
              <w:t>户)建设畜禽粪污暂存池</w:t>
            </w:r>
            <w:r>
              <w:rPr>
                <w:rFonts w:hint="eastAsia" w:ascii="Times New Roman" w:hAnsi="Times New Roman" w:eastAsia="宋体" w:cs="Times New Roman"/>
                <w:color w:val="FF0000"/>
                <w:sz w:val="21"/>
                <w:szCs w:val="21"/>
                <w:lang w:eastAsia="zh-CN"/>
              </w:rPr>
              <w:t>（</w:t>
            </w:r>
            <w:r>
              <w:rPr>
                <w:rFonts w:hint="default" w:ascii="Times New Roman" w:hAnsi="Times New Roman" w:cs="Times New Roman"/>
                <w:color w:val="FF0000"/>
                <w:sz w:val="21"/>
                <w:szCs w:val="21"/>
              </w:rPr>
              <w:t>场)的，液体粪污暂</w:t>
            </w:r>
            <w:r>
              <w:rPr>
                <w:rFonts w:hint="default" w:ascii="Times New Roman" w:hAnsi="Times New Roman" w:cs="Times New Roman"/>
                <w:color w:val="FF0000"/>
                <w:spacing w:val="1"/>
                <w:sz w:val="21"/>
                <w:szCs w:val="21"/>
              </w:rPr>
              <w:t>存池容积不小于单位</w:t>
            </w:r>
            <w:r>
              <w:rPr>
                <w:rFonts w:hint="default" w:ascii="Times New Roman" w:hAnsi="Times New Roman" w:eastAsia="宋体" w:cs="Times New Roman"/>
                <w:color w:val="FF0000"/>
                <w:spacing w:val="1"/>
                <w:sz w:val="21"/>
                <w:szCs w:val="21"/>
                <w:lang w:eastAsia="zh-CN"/>
              </w:rPr>
              <w:t>畜禽</w:t>
            </w:r>
            <w:r>
              <w:rPr>
                <w:rFonts w:hint="default" w:ascii="Times New Roman" w:hAnsi="Times New Roman" w:cs="Times New Roman"/>
                <w:color w:val="FF0000"/>
                <w:spacing w:val="1"/>
                <w:sz w:val="21"/>
                <w:szCs w:val="21"/>
              </w:rPr>
              <w:t>液体粪污日产生量</w:t>
            </w:r>
            <w:r>
              <w:rPr>
                <w:rFonts w:hint="eastAsia" w:ascii="Times New Roman" w:hAnsi="Times New Roman" w:eastAsia="宋体" w:cs="Times New Roman"/>
                <w:color w:val="FF0000"/>
                <w:spacing w:val="1"/>
                <w:sz w:val="21"/>
                <w:szCs w:val="21"/>
                <w:lang w:eastAsia="zh-CN"/>
              </w:rPr>
              <w:t>（</w:t>
            </w:r>
            <w:r>
              <w:rPr>
                <w:rFonts w:hint="default" w:ascii="Times New Roman" w:hAnsi="Times New Roman" w:cs="Times New Roman"/>
                <w:color w:val="FF0000"/>
                <w:spacing w:val="1"/>
                <w:sz w:val="21"/>
                <w:szCs w:val="21"/>
              </w:rPr>
              <w:t>立方米/天头、</w:t>
            </w:r>
            <w:r>
              <w:rPr>
                <w:rFonts w:hint="default" w:ascii="Times New Roman" w:hAnsi="Times New Roman" w:cs="Times New Roman"/>
                <w:color w:val="FF0000"/>
                <w:spacing w:val="-2"/>
                <w:sz w:val="21"/>
                <w:szCs w:val="21"/>
              </w:rPr>
              <w:t>只、羽)×暂存周期</w:t>
            </w:r>
            <w:r>
              <w:rPr>
                <w:rFonts w:hint="eastAsia" w:ascii="Times New Roman" w:hAnsi="Times New Roman" w:eastAsia="宋体" w:cs="Times New Roman"/>
                <w:color w:val="FF0000"/>
                <w:spacing w:val="-2"/>
                <w:sz w:val="21"/>
                <w:szCs w:val="21"/>
                <w:lang w:eastAsia="zh-CN"/>
              </w:rPr>
              <w:t>（</w:t>
            </w:r>
            <w:r>
              <w:rPr>
                <w:rFonts w:hint="default" w:ascii="Times New Roman" w:hAnsi="Times New Roman" w:cs="Times New Roman"/>
                <w:color w:val="FF0000"/>
                <w:spacing w:val="-2"/>
                <w:sz w:val="21"/>
                <w:szCs w:val="21"/>
              </w:rPr>
              <w:t>天)×设计存栏量</w:t>
            </w:r>
            <w:r>
              <w:rPr>
                <w:rFonts w:hint="eastAsia" w:ascii="Times New Roman" w:hAnsi="Times New Roman" w:eastAsia="宋体" w:cs="Times New Roman"/>
                <w:color w:val="FF0000"/>
                <w:spacing w:val="-2"/>
                <w:sz w:val="21"/>
                <w:szCs w:val="21"/>
                <w:lang w:eastAsia="zh-CN"/>
              </w:rPr>
              <w:t>（</w:t>
            </w:r>
            <w:r>
              <w:rPr>
                <w:rFonts w:hint="default" w:ascii="Times New Roman" w:hAnsi="Times New Roman" w:cs="Times New Roman"/>
                <w:color w:val="FF0000"/>
                <w:spacing w:val="-2"/>
                <w:sz w:val="21"/>
                <w:szCs w:val="21"/>
              </w:rPr>
              <w:t>头、只、羽),固体</w:t>
            </w:r>
            <w:r>
              <w:rPr>
                <w:rFonts w:hint="default" w:ascii="Times New Roman" w:hAnsi="Times New Roman" w:cs="Times New Roman"/>
                <w:color w:val="FF0000"/>
                <w:spacing w:val="-1"/>
                <w:sz w:val="21"/>
                <w:szCs w:val="21"/>
              </w:rPr>
              <w:t>粪污暂存场容积不小于单位畜禽固体粪污日产生量</w:t>
            </w:r>
            <w:r>
              <w:rPr>
                <w:rFonts w:hint="eastAsia" w:ascii="Times New Roman" w:hAnsi="Times New Roman" w:eastAsia="宋体" w:cs="Times New Roman"/>
                <w:color w:val="FF0000"/>
                <w:spacing w:val="-1"/>
                <w:sz w:val="21"/>
                <w:szCs w:val="21"/>
                <w:lang w:eastAsia="zh-CN"/>
              </w:rPr>
              <w:t>（</w:t>
            </w:r>
            <w:r>
              <w:rPr>
                <w:rFonts w:hint="default" w:ascii="Times New Roman" w:hAnsi="Times New Roman" w:cs="Times New Roman"/>
                <w:color w:val="FF0000"/>
                <w:spacing w:val="-1"/>
                <w:sz w:val="21"/>
                <w:szCs w:val="21"/>
              </w:rPr>
              <w:t>立方米/</w:t>
            </w:r>
            <w:r>
              <w:rPr>
                <w:rFonts w:hint="default" w:ascii="Times New Roman" w:hAnsi="Times New Roman" w:cs="Times New Roman"/>
                <w:color w:val="FF0000"/>
                <w:spacing w:val="2"/>
                <w:sz w:val="21"/>
                <w:szCs w:val="21"/>
              </w:rPr>
              <w:t>天头、只、羽)×暂存周期</w:t>
            </w:r>
            <w:r>
              <w:rPr>
                <w:rFonts w:hint="eastAsia" w:ascii="Times New Roman" w:hAnsi="Times New Roman" w:eastAsia="宋体" w:cs="Times New Roman"/>
                <w:color w:val="FF0000"/>
                <w:spacing w:val="2"/>
                <w:sz w:val="21"/>
                <w:szCs w:val="21"/>
                <w:lang w:eastAsia="zh-CN"/>
              </w:rPr>
              <w:t>（</w:t>
            </w:r>
            <w:r>
              <w:rPr>
                <w:rFonts w:hint="default" w:ascii="Times New Roman" w:hAnsi="Times New Roman" w:cs="Times New Roman"/>
                <w:color w:val="FF0000"/>
                <w:spacing w:val="2"/>
                <w:sz w:val="21"/>
                <w:szCs w:val="21"/>
              </w:rPr>
              <w:t>天)x设计存</w:t>
            </w:r>
            <w:r>
              <w:rPr>
                <w:rFonts w:hint="default" w:ascii="Times New Roman" w:hAnsi="Times New Roman" w:cs="Times New Roman"/>
                <w:color w:val="FF0000"/>
                <w:spacing w:val="1"/>
                <w:sz w:val="21"/>
                <w:szCs w:val="21"/>
              </w:rPr>
              <w:t>栏量</w:t>
            </w:r>
            <w:r>
              <w:rPr>
                <w:rFonts w:hint="eastAsia" w:ascii="Times New Roman" w:hAnsi="Times New Roman" w:eastAsia="宋体" w:cs="Times New Roman"/>
                <w:color w:val="FF0000"/>
                <w:spacing w:val="1"/>
                <w:sz w:val="21"/>
                <w:szCs w:val="21"/>
                <w:lang w:eastAsia="zh-CN"/>
              </w:rPr>
              <w:t>（</w:t>
            </w:r>
            <w:r>
              <w:rPr>
                <w:rFonts w:hint="default" w:ascii="Times New Roman" w:hAnsi="Times New Roman" w:cs="Times New Roman"/>
                <w:color w:val="FF0000"/>
                <w:spacing w:val="1"/>
                <w:sz w:val="21"/>
                <w:szCs w:val="21"/>
              </w:rPr>
              <w:t>头、只、羽)</w:t>
            </w:r>
            <w:r>
              <w:rPr>
                <w:rFonts w:hint="default" w:ascii="Times New Roman" w:hAnsi="Times New Roman" w:cs="Times New Roman"/>
                <w:color w:val="FF0000"/>
                <w:spacing w:val="-14"/>
                <w:sz w:val="21"/>
                <w:szCs w:val="21"/>
              </w:rPr>
              <w:t>暂存周期按转运处理最大时间间隔确定。鼓励采</w:t>
            </w:r>
            <w:r>
              <w:rPr>
                <w:rFonts w:hint="default" w:ascii="Times New Roman" w:hAnsi="Times New Roman" w:cs="Times New Roman"/>
                <w:color w:val="FF0000"/>
                <w:spacing w:val="-15"/>
                <w:sz w:val="21"/>
                <w:szCs w:val="21"/>
              </w:rPr>
              <w:t>取加盖等措施，</w:t>
            </w:r>
            <w:r>
              <w:rPr>
                <w:rFonts w:hint="default" w:ascii="Times New Roman" w:hAnsi="Times New Roman" w:cs="Times New Roman"/>
                <w:color w:val="FF0000"/>
                <w:spacing w:val="-4"/>
                <w:sz w:val="21"/>
                <w:szCs w:val="21"/>
              </w:rPr>
              <w:t>减少恶臭气体排放和雨水进入。</w:t>
            </w:r>
          </w:p>
        </w:tc>
        <w:tc>
          <w:tcPr>
            <w:tcW w:w="2822" w:type="dxa"/>
            <w:vAlign w:val="center"/>
          </w:tcPr>
          <w:p w14:paraId="69189A7E">
            <w:pPr>
              <w:pStyle w:val="113"/>
              <w:spacing w:before="71" w:line="230" w:lineRule="auto"/>
              <w:ind w:left="16" w:right="27"/>
              <w:jc w:val="left"/>
              <w:rPr>
                <w:rFonts w:hint="default" w:ascii="Times New Roman" w:hAnsi="Times New Roman" w:cs="Times New Roman"/>
                <w:color w:val="FF0000"/>
                <w:sz w:val="21"/>
                <w:szCs w:val="21"/>
              </w:rPr>
            </w:pPr>
            <w:r>
              <w:rPr>
                <w:rFonts w:hint="default" w:ascii="Times New Roman" w:hAnsi="Times New Roman" w:cs="Times New Roman"/>
                <w:color w:val="FF0000"/>
                <w:spacing w:val="-7"/>
                <w:sz w:val="21"/>
                <w:szCs w:val="21"/>
              </w:rPr>
              <w:t>符合。项目</w:t>
            </w:r>
            <w:r>
              <w:rPr>
                <w:rFonts w:hint="default" w:ascii="Times New Roman" w:hAnsi="Times New Roman" w:cs="Times New Roman"/>
                <w:color w:val="FF0000"/>
                <w:spacing w:val="-7"/>
                <w:sz w:val="21"/>
                <w:szCs w:val="21"/>
                <w:lang w:val="en-US" w:eastAsia="zh-CN"/>
              </w:rPr>
              <w:t>堆粪场</w:t>
            </w:r>
            <w:r>
              <w:rPr>
                <w:rFonts w:hint="default" w:ascii="Times New Roman" w:hAnsi="Times New Roman" w:cs="Times New Roman"/>
                <w:color w:val="FF0000"/>
                <w:spacing w:val="-7"/>
                <w:sz w:val="21"/>
                <w:szCs w:val="21"/>
              </w:rPr>
              <w:t>能满足</w:t>
            </w:r>
            <w:r>
              <w:rPr>
                <w:rFonts w:hint="default" w:ascii="Times New Roman" w:hAnsi="Times New Roman" w:cs="Times New Roman"/>
                <w:color w:val="FF0000"/>
                <w:spacing w:val="-7"/>
                <w:sz w:val="21"/>
                <w:szCs w:val="21"/>
                <w:lang w:val="en-US" w:eastAsia="zh-CN"/>
              </w:rPr>
              <w:t>粪便</w:t>
            </w:r>
            <w:r>
              <w:rPr>
                <w:rFonts w:hint="default" w:ascii="Times New Roman" w:hAnsi="Times New Roman" w:cs="Times New Roman"/>
                <w:color w:val="FF0000"/>
                <w:spacing w:val="-7"/>
                <w:sz w:val="21"/>
                <w:szCs w:val="21"/>
              </w:rPr>
              <w:t>日产生量，</w:t>
            </w:r>
            <w:r>
              <w:rPr>
                <w:rFonts w:hint="default" w:ascii="Times New Roman" w:hAnsi="Times New Roman" w:cs="Times New Roman"/>
                <w:color w:val="FF0000"/>
                <w:spacing w:val="-7"/>
                <w:sz w:val="21"/>
                <w:szCs w:val="21"/>
                <w:lang w:val="en-US" w:eastAsia="zh-CN"/>
              </w:rPr>
              <w:t>堆粪场</w:t>
            </w:r>
            <w:r>
              <w:rPr>
                <w:rFonts w:hint="default" w:ascii="Times New Roman" w:hAnsi="Times New Roman" w:cs="Times New Roman"/>
                <w:color w:val="FF0000"/>
                <w:spacing w:val="-1"/>
                <w:sz w:val="21"/>
                <w:szCs w:val="21"/>
              </w:rPr>
              <w:t>臭气经收集后通过生物除臭装置处理</w:t>
            </w:r>
            <w:r>
              <w:rPr>
                <w:rFonts w:hint="default" w:ascii="Times New Roman" w:hAnsi="Times New Roman" w:cs="Times New Roman"/>
                <w:color w:val="FF0000"/>
                <w:spacing w:val="4"/>
                <w:sz w:val="21"/>
                <w:szCs w:val="21"/>
              </w:rPr>
              <w:t>。</w:t>
            </w:r>
          </w:p>
        </w:tc>
      </w:tr>
      <w:tr w14:paraId="5C13F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8" w:hRule="atLeast"/>
        </w:trPr>
        <w:tc>
          <w:tcPr>
            <w:tcW w:w="564" w:type="dxa"/>
            <w:vAlign w:val="center"/>
          </w:tcPr>
          <w:p w14:paraId="41F37A4B">
            <w:pPr>
              <w:pStyle w:val="113"/>
              <w:spacing w:before="72"/>
              <w:ind w:left="224"/>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5</w:t>
            </w:r>
          </w:p>
        </w:tc>
        <w:tc>
          <w:tcPr>
            <w:tcW w:w="5783" w:type="dxa"/>
            <w:vAlign w:val="center"/>
          </w:tcPr>
          <w:p w14:paraId="0A0382A5">
            <w:pPr>
              <w:pStyle w:val="113"/>
              <w:spacing w:before="12" w:line="229" w:lineRule="auto"/>
              <w:ind w:left="11" w:firstLine="9"/>
              <w:rPr>
                <w:rFonts w:hint="default" w:ascii="Times New Roman" w:hAnsi="Times New Roman" w:cs="Times New Roman"/>
                <w:color w:val="FF0000"/>
                <w:sz w:val="21"/>
                <w:szCs w:val="21"/>
              </w:rPr>
            </w:pPr>
            <w:r>
              <w:rPr>
                <w:rFonts w:hint="default" w:ascii="Times New Roman" w:hAnsi="Times New Roman" w:eastAsia="宋体" w:cs="Times New Roman"/>
                <w:color w:val="FF0000"/>
                <w:spacing w:val="-4"/>
                <w:sz w:val="21"/>
                <w:szCs w:val="21"/>
                <w:lang w:eastAsia="zh-CN"/>
              </w:rPr>
              <w:t>畜禽</w:t>
            </w:r>
            <w:r>
              <w:rPr>
                <w:rFonts w:hint="default" w:ascii="Times New Roman" w:hAnsi="Times New Roman" w:cs="Times New Roman"/>
                <w:color w:val="FF0000"/>
                <w:spacing w:val="-4"/>
                <w:sz w:val="21"/>
                <w:szCs w:val="21"/>
              </w:rPr>
              <w:t>养殖场</w:t>
            </w:r>
            <w:r>
              <w:rPr>
                <w:rFonts w:hint="eastAsia" w:ascii="Times New Roman" w:hAnsi="Times New Roman" w:eastAsia="宋体" w:cs="Times New Roman"/>
                <w:color w:val="FF0000"/>
                <w:spacing w:val="-4"/>
                <w:sz w:val="21"/>
                <w:szCs w:val="21"/>
                <w:lang w:eastAsia="zh-CN"/>
              </w:rPr>
              <w:t>（</w:t>
            </w:r>
            <w:r>
              <w:rPr>
                <w:rFonts w:hint="default" w:ascii="Times New Roman" w:hAnsi="Times New Roman" w:cs="Times New Roman"/>
                <w:color w:val="FF0000"/>
                <w:spacing w:val="-4"/>
                <w:sz w:val="21"/>
                <w:szCs w:val="21"/>
              </w:rPr>
              <w:t>户)通过敞口贮存设施处理液体粪污的，应配套</w:t>
            </w:r>
            <w:r>
              <w:rPr>
                <w:rFonts w:hint="default" w:ascii="Times New Roman" w:hAnsi="Times New Roman" w:cs="Times New Roman"/>
                <w:color w:val="FF0000"/>
                <w:spacing w:val="-10"/>
                <w:sz w:val="21"/>
                <w:szCs w:val="21"/>
              </w:rPr>
              <w:t>必要的输送、搅拌等设施设备，容积不小于单位</w:t>
            </w:r>
            <w:r>
              <w:rPr>
                <w:rFonts w:hint="default" w:ascii="Times New Roman" w:hAnsi="Times New Roman" w:cs="Times New Roman"/>
                <w:color w:val="FF0000"/>
                <w:spacing w:val="-11"/>
                <w:sz w:val="21"/>
                <w:szCs w:val="21"/>
              </w:rPr>
              <w:t>畜禽液体粪污</w:t>
            </w:r>
            <w:r>
              <w:rPr>
                <w:rFonts w:hint="default" w:ascii="Times New Roman" w:hAnsi="Times New Roman" w:cs="Times New Roman"/>
                <w:color w:val="FF0000"/>
                <w:spacing w:val="-8"/>
                <w:sz w:val="21"/>
                <w:szCs w:val="21"/>
              </w:rPr>
              <w:t>日产生量</w:t>
            </w:r>
            <w:r>
              <w:rPr>
                <w:rFonts w:hint="eastAsia" w:ascii="Times New Roman" w:hAnsi="Times New Roman" w:eastAsia="宋体" w:cs="Times New Roman"/>
                <w:color w:val="FF0000"/>
                <w:spacing w:val="-8"/>
                <w:sz w:val="21"/>
                <w:szCs w:val="21"/>
                <w:lang w:eastAsia="zh-CN"/>
              </w:rPr>
              <w:t>（</w:t>
            </w:r>
            <w:r>
              <w:rPr>
                <w:rFonts w:hint="default" w:ascii="Times New Roman" w:hAnsi="Times New Roman" w:cs="Times New Roman"/>
                <w:color w:val="FF0000"/>
                <w:spacing w:val="-8"/>
                <w:sz w:val="21"/>
                <w:szCs w:val="21"/>
              </w:rPr>
              <w:t>立方米/天·头、只、羽)×贮存周期</w:t>
            </w:r>
            <w:r>
              <w:rPr>
                <w:rFonts w:hint="eastAsia" w:ascii="Times New Roman" w:hAnsi="Times New Roman" w:eastAsia="宋体" w:cs="Times New Roman"/>
                <w:color w:val="FF0000"/>
                <w:spacing w:val="-8"/>
                <w:sz w:val="21"/>
                <w:szCs w:val="21"/>
                <w:lang w:eastAsia="zh-CN"/>
              </w:rPr>
              <w:t>（</w:t>
            </w:r>
            <w:r>
              <w:rPr>
                <w:rFonts w:hint="default" w:ascii="Times New Roman" w:hAnsi="Times New Roman" w:cs="Times New Roman"/>
                <w:color w:val="FF0000"/>
                <w:spacing w:val="-8"/>
                <w:sz w:val="21"/>
                <w:szCs w:val="21"/>
              </w:rPr>
              <w:t>天)</w:t>
            </w:r>
            <w:r>
              <w:rPr>
                <w:rFonts w:hint="default" w:ascii="Times New Roman" w:hAnsi="Times New Roman" w:cs="Times New Roman"/>
                <w:color w:val="FF0000"/>
                <w:spacing w:val="-9"/>
                <w:sz w:val="21"/>
                <w:szCs w:val="21"/>
              </w:rPr>
              <w:t>×设计存</w:t>
            </w:r>
            <w:r>
              <w:rPr>
                <w:rFonts w:hint="default" w:ascii="Times New Roman" w:hAnsi="Times New Roman" w:cs="Times New Roman"/>
                <w:color w:val="FF0000"/>
                <w:spacing w:val="-4"/>
                <w:sz w:val="21"/>
                <w:szCs w:val="21"/>
              </w:rPr>
              <w:t>栏量</w:t>
            </w:r>
            <w:r>
              <w:rPr>
                <w:rFonts w:hint="eastAsia" w:ascii="Times New Roman" w:hAnsi="Times New Roman" w:eastAsia="宋体" w:cs="Times New Roman"/>
                <w:color w:val="FF0000"/>
                <w:spacing w:val="-4"/>
                <w:sz w:val="21"/>
                <w:szCs w:val="21"/>
                <w:lang w:eastAsia="zh-CN"/>
              </w:rPr>
              <w:t>（</w:t>
            </w:r>
            <w:r>
              <w:rPr>
                <w:rFonts w:hint="default" w:ascii="Times New Roman" w:hAnsi="Times New Roman" w:cs="Times New Roman"/>
                <w:color w:val="FF0000"/>
                <w:spacing w:val="-4"/>
                <w:sz w:val="21"/>
                <w:szCs w:val="21"/>
              </w:rPr>
              <w:t>头、只、羽),贮存周期依据当地气候条件与</w:t>
            </w:r>
            <w:r>
              <w:rPr>
                <w:rFonts w:hint="default" w:ascii="Times New Roman" w:hAnsi="Times New Roman" w:cs="Times New Roman"/>
                <w:color w:val="FF0000"/>
                <w:spacing w:val="-5"/>
                <w:sz w:val="21"/>
                <w:szCs w:val="21"/>
              </w:rPr>
              <w:t>农林作物</w:t>
            </w:r>
            <w:r>
              <w:rPr>
                <w:rFonts w:hint="default" w:ascii="Times New Roman" w:hAnsi="Times New Roman" w:cs="Times New Roman"/>
                <w:color w:val="FF0000"/>
                <w:spacing w:val="-3"/>
                <w:sz w:val="21"/>
                <w:szCs w:val="21"/>
              </w:rPr>
              <w:t>生产用肥最大间隔期确定，推荐贮存周期最少在180天以上，</w:t>
            </w:r>
            <w:r>
              <w:rPr>
                <w:rFonts w:hint="default" w:ascii="Times New Roman" w:hAnsi="Times New Roman" w:cs="Times New Roman"/>
                <w:color w:val="FF0000"/>
                <w:spacing w:val="-14"/>
                <w:sz w:val="21"/>
                <w:szCs w:val="21"/>
              </w:rPr>
              <w:t>确保充分发酵腐熟，处理后蛔虫卵、粪大肠杆菌</w:t>
            </w:r>
            <w:r>
              <w:rPr>
                <w:rFonts w:hint="default" w:ascii="Times New Roman" w:hAnsi="Times New Roman" w:cs="Times New Roman"/>
                <w:color w:val="FF0000"/>
                <w:spacing w:val="-15"/>
                <w:sz w:val="21"/>
                <w:szCs w:val="21"/>
              </w:rPr>
              <w:t>、镉、汞、砷、</w:t>
            </w:r>
            <w:r>
              <w:rPr>
                <w:rFonts w:hint="default" w:ascii="Times New Roman" w:hAnsi="Times New Roman" w:cs="Times New Roman"/>
                <w:color w:val="FF0000"/>
                <w:spacing w:val="-10"/>
                <w:sz w:val="21"/>
                <w:szCs w:val="21"/>
              </w:rPr>
              <w:t>铅、铬、铊和缩二脲等物质应达到《肥料中有毒有</w:t>
            </w:r>
            <w:r>
              <w:rPr>
                <w:rFonts w:hint="default" w:ascii="Times New Roman" w:hAnsi="Times New Roman" w:cs="Times New Roman"/>
                <w:color w:val="FF0000"/>
                <w:spacing w:val="-11"/>
                <w:sz w:val="21"/>
                <w:szCs w:val="21"/>
              </w:rPr>
              <w:t>害物质的限</w:t>
            </w:r>
            <w:r>
              <w:rPr>
                <w:rFonts w:hint="default" w:ascii="Times New Roman" w:hAnsi="Times New Roman" w:cs="Times New Roman"/>
                <w:color w:val="FF0000"/>
                <w:spacing w:val="-10"/>
                <w:sz w:val="21"/>
                <w:szCs w:val="21"/>
              </w:rPr>
              <w:t>量要求》。鼓励有条件的畜禽养殖场建设两个</w:t>
            </w:r>
            <w:r>
              <w:rPr>
                <w:rFonts w:hint="default" w:ascii="Times New Roman" w:hAnsi="Times New Roman" w:cs="Times New Roman"/>
                <w:color w:val="FF0000"/>
                <w:spacing w:val="-11"/>
                <w:sz w:val="21"/>
                <w:szCs w:val="21"/>
              </w:rPr>
              <w:t>以上敞口贮存设</w:t>
            </w:r>
            <w:r>
              <w:rPr>
                <w:rFonts w:hint="default" w:ascii="Times New Roman" w:hAnsi="Times New Roman" w:cs="Times New Roman"/>
                <w:color w:val="FF0000"/>
                <w:spacing w:val="-4"/>
                <w:sz w:val="21"/>
                <w:szCs w:val="21"/>
              </w:rPr>
              <w:t>施交替使用。</w:t>
            </w:r>
            <w:r>
              <w:rPr>
                <w:rFonts w:hint="default" w:ascii="Times New Roman" w:hAnsi="Times New Roman" w:cs="Times New Roman"/>
                <w:color w:val="FF0000"/>
                <w:spacing w:val="-2"/>
                <w:sz w:val="21"/>
                <w:szCs w:val="21"/>
              </w:rPr>
              <w:t>畜禽养殖场</w:t>
            </w:r>
            <w:r>
              <w:rPr>
                <w:rFonts w:hint="eastAsia" w:ascii="Times New Roman" w:hAnsi="Times New Roman" w:eastAsia="宋体" w:cs="Times New Roman"/>
                <w:color w:val="FF0000"/>
                <w:spacing w:val="-2"/>
                <w:sz w:val="21"/>
                <w:szCs w:val="21"/>
                <w:lang w:eastAsia="zh-CN"/>
              </w:rPr>
              <w:t>（</w:t>
            </w:r>
            <w:r>
              <w:rPr>
                <w:rFonts w:hint="default" w:ascii="Times New Roman" w:hAnsi="Times New Roman" w:cs="Times New Roman"/>
                <w:color w:val="FF0000"/>
                <w:spacing w:val="-2"/>
                <w:sz w:val="21"/>
                <w:szCs w:val="21"/>
              </w:rPr>
              <w:t>户)通过密闭贮存设施处理液体粪污的，应采用</w:t>
            </w:r>
            <w:r>
              <w:rPr>
                <w:rFonts w:hint="default" w:ascii="Times New Roman" w:hAnsi="Times New Roman" w:cs="Times New Roman"/>
                <w:color w:val="FF0000"/>
                <w:spacing w:val="-9"/>
                <w:sz w:val="21"/>
                <w:szCs w:val="21"/>
              </w:rPr>
              <w:t>加盖、覆膜等方式，减少恶臭气体排放和雨水进入，同时配套必要的输送、搅拌、气体收集处理或燃烧火炬等设施设备。密</w:t>
            </w:r>
            <w:r>
              <w:rPr>
                <w:rFonts w:hint="default" w:ascii="Times New Roman" w:hAnsi="Times New Roman" w:cs="Times New Roman"/>
                <w:color w:val="FF0000"/>
                <w:spacing w:val="-2"/>
                <w:sz w:val="21"/>
                <w:szCs w:val="21"/>
              </w:rPr>
              <w:t>闭贮存设施容积不小于单位</w:t>
            </w:r>
            <w:r>
              <w:rPr>
                <w:rFonts w:hint="default" w:ascii="Times New Roman" w:hAnsi="Times New Roman" w:eastAsia="宋体" w:cs="Times New Roman"/>
                <w:color w:val="FF0000"/>
                <w:spacing w:val="-2"/>
                <w:sz w:val="21"/>
                <w:szCs w:val="21"/>
                <w:lang w:eastAsia="zh-CN"/>
              </w:rPr>
              <w:t>畜禽</w:t>
            </w:r>
            <w:r>
              <w:rPr>
                <w:rFonts w:hint="default" w:ascii="Times New Roman" w:hAnsi="Times New Roman" w:cs="Times New Roman"/>
                <w:color w:val="FF0000"/>
                <w:spacing w:val="-2"/>
                <w:sz w:val="21"/>
                <w:szCs w:val="21"/>
              </w:rPr>
              <w:t>液体粪污日产生量</w:t>
            </w:r>
            <w:r>
              <w:rPr>
                <w:rFonts w:hint="eastAsia" w:ascii="Times New Roman" w:hAnsi="Times New Roman" w:eastAsia="宋体" w:cs="Times New Roman"/>
                <w:color w:val="FF0000"/>
                <w:spacing w:val="-2"/>
                <w:sz w:val="21"/>
                <w:szCs w:val="21"/>
                <w:lang w:eastAsia="zh-CN"/>
              </w:rPr>
              <w:t>（</w:t>
            </w:r>
            <w:r>
              <w:rPr>
                <w:rFonts w:hint="default" w:ascii="Times New Roman" w:hAnsi="Times New Roman" w:cs="Times New Roman"/>
                <w:color w:val="FF0000"/>
                <w:spacing w:val="-2"/>
                <w:sz w:val="21"/>
                <w:szCs w:val="21"/>
              </w:rPr>
              <w:t>立方</w:t>
            </w:r>
            <w:r>
              <w:rPr>
                <w:rFonts w:hint="default" w:ascii="Times New Roman" w:hAnsi="Times New Roman" w:cs="Times New Roman"/>
                <w:color w:val="FF0000"/>
                <w:spacing w:val="-3"/>
                <w:sz w:val="21"/>
                <w:szCs w:val="21"/>
              </w:rPr>
              <w:t>米/</w:t>
            </w:r>
            <w:r>
              <w:rPr>
                <w:rFonts w:hint="default" w:ascii="Times New Roman" w:hAnsi="Times New Roman" w:cs="Times New Roman"/>
                <w:color w:val="FF0000"/>
                <w:spacing w:val="-9"/>
                <w:sz w:val="21"/>
                <w:szCs w:val="21"/>
              </w:rPr>
              <w:t>天·头、只、羽)×贮存周期</w:t>
            </w:r>
            <w:r>
              <w:rPr>
                <w:rFonts w:hint="eastAsia" w:ascii="Times New Roman" w:hAnsi="Times New Roman" w:eastAsia="宋体" w:cs="Times New Roman"/>
                <w:color w:val="FF0000"/>
                <w:spacing w:val="-9"/>
                <w:sz w:val="21"/>
                <w:szCs w:val="21"/>
                <w:lang w:eastAsia="zh-CN"/>
              </w:rPr>
              <w:t>（</w:t>
            </w:r>
            <w:r>
              <w:rPr>
                <w:rFonts w:hint="default" w:ascii="Times New Roman" w:hAnsi="Times New Roman" w:cs="Times New Roman"/>
                <w:color w:val="FF0000"/>
                <w:spacing w:val="-9"/>
                <w:sz w:val="21"/>
                <w:szCs w:val="21"/>
              </w:rPr>
              <w:t>天)×设计存栏量</w:t>
            </w:r>
            <w:r>
              <w:rPr>
                <w:rFonts w:hint="eastAsia" w:ascii="Times New Roman" w:hAnsi="Times New Roman" w:eastAsia="宋体" w:cs="Times New Roman"/>
                <w:color w:val="FF0000"/>
                <w:spacing w:val="-9"/>
                <w:sz w:val="21"/>
                <w:szCs w:val="21"/>
                <w:lang w:eastAsia="zh-CN"/>
              </w:rPr>
              <w:t>（</w:t>
            </w:r>
            <w:r>
              <w:rPr>
                <w:rFonts w:hint="default" w:ascii="Times New Roman" w:hAnsi="Times New Roman" w:cs="Times New Roman"/>
                <w:color w:val="FF0000"/>
                <w:spacing w:val="-9"/>
                <w:sz w:val="21"/>
                <w:szCs w:val="21"/>
              </w:rPr>
              <w:t>头、只、羽),贮存周期依据当地气候条件与农林作物生产用肥最大间隔期确</w:t>
            </w:r>
            <w:r>
              <w:rPr>
                <w:rFonts w:hint="default" w:ascii="Times New Roman" w:hAnsi="Times New Roman" w:cs="Times New Roman"/>
                <w:color w:val="FF0000"/>
                <w:spacing w:val="-2"/>
                <w:sz w:val="21"/>
                <w:szCs w:val="21"/>
              </w:rPr>
              <w:t>定，推荐贮存周期最少在90天以上，确保充分发酵腐熟，处</w:t>
            </w:r>
            <w:r>
              <w:rPr>
                <w:rFonts w:hint="default" w:ascii="Times New Roman" w:hAnsi="Times New Roman" w:cs="Times New Roman"/>
                <w:color w:val="FF0000"/>
                <w:spacing w:val="-9"/>
                <w:sz w:val="21"/>
                <w:szCs w:val="21"/>
              </w:rPr>
              <w:t>理后蛔虫卵、粪大肠杆菌、镉、汞、砷、铅、铬、铊和缩二脲等物质应达到《肥料中有毒有害物质的限量要求》。鼓励有条</w:t>
            </w:r>
            <w:r>
              <w:rPr>
                <w:rFonts w:hint="default" w:ascii="Times New Roman" w:hAnsi="Times New Roman" w:cs="Times New Roman"/>
                <w:color w:val="FF0000"/>
                <w:spacing w:val="-3"/>
                <w:sz w:val="21"/>
                <w:szCs w:val="21"/>
              </w:rPr>
              <w:t>件的畜禽养殖场建设两个以上密闭贮存设施交替使用。</w:t>
            </w:r>
            <w:r>
              <w:rPr>
                <w:rFonts w:hint="default" w:ascii="Times New Roman" w:hAnsi="Times New Roman" w:cs="Times New Roman"/>
                <w:color w:val="FF0000"/>
                <w:sz w:val="21"/>
                <w:szCs w:val="21"/>
              </w:rPr>
              <w:t>畜禽养殖场</w:t>
            </w:r>
            <w:r>
              <w:rPr>
                <w:rFonts w:hint="eastAsia" w:ascii="Times New Roman" w:hAnsi="Times New Roman" w:eastAsia="宋体" w:cs="Times New Roman"/>
                <w:color w:val="FF0000"/>
                <w:sz w:val="21"/>
                <w:szCs w:val="21"/>
                <w:lang w:eastAsia="zh-CN"/>
              </w:rPr>
              <w:t>（</w:t>
            </w:r>
            <w:r>
              <w:rPr>
                <w:rFonts w:hint="default" w:ascii="Times New Roman" w:hAnsi="Times New Roman" w:cs="Times New Roman"/>
                <w:color w:val="FF0000"/>
                <w:sz w:val="21"/>
                <w:szCs w:val="21"/>
              </w:rPr>
              <w:t>户)采用异位发酵床工艺处理液体粪污的，适用</w:t>
            </w:r>
            <w:r>
              <w:rPr>
                <w:rFonts w:hint="default" w:ascii="Times New Roman" w:hAnsi="Times New Roman" w:cs="Times New Roman"/>
                <w:color w:val="FF0000"/>
                <w:spacing w:val="-10"/>
                <w:sz w:val="21"/>
                <w:szCs w:val="21"/>
              </w:rPr>
              <w:t>于生猪、</w:t>
            </w:r>
            <w:r>
              <w:rPr>
                <w:rFonts w:hint="default" w:ascii="Times New Roman" w:hAnsi="Times New Roman" w:eastAsia="宋体" w:cs="Times New Roman"/>
                <w:color w:val="FF0000"/>
                <w:spacing w:val="-10"/>
                <w:sz w:val="21"/>
                <w:szCs w:val="21"/>
                <w:lang w:eastAsia="zh-CN"/>
              </w:rPr>
              <w:t>家禽</w:t>
            </w:r>
            <w:r>
              <w:rPr>
                <w:rFonts w:hint="default" w:ascii="Times New Roman" w:hAnsi="Times New Roman" w:cs="Times New Roman"/>
                <w:color w:val="FF0000"/>
                <w:spacing w:val="-10"/>
                <w:sz w:val="21"/>
                <w:szCs w:val="21"/>
              </w:rPr>
              <w:t>全量粪污的处理，发酵床建设容积</w:t>
            </w:r>
            <w:r>
              <w:rPr>
                <w:rFonts w:hint="default" w:ascii="Times New Roman" w:hAnsi="Times New Roman" w:cs="Times New Roman"/>
                <w:color w:val="FF0000"/>
                <w:spacing w:val="-11"/>
                <w:sz w:val="21"/>
                <w:szCs w:val="21"/>
              </w:rPr>
              <w:t>一般不小于0.2</w:t>
            </w:r>
            <w:r>
              <w:rPr>
                <w:rFonts w:hint="eastAsia" w:ascii="Times New Roman" w:hAnsi="Times New Roman" w:eastAsia="宋体" w:cs="Times New Roman"/>
                <w:color w:val="FF0000"/>
                <w:spacing w:val="4"/>
                <w:sz w:val="21"/>
                <w:szCs w:val="21"/>
                <w:lang w:eastAsia="zh-CN"/>
              </w:rPr>
              <w:t>（</w:t>
            </w:r>
            <w:r>
              <w:rPr>
                <w:rFonts w:hint="default" w:ascii="Times New Roman" w:hAnsi="Times New Roman" w:cs="Times New Roman"/>
                <w:color w:val="FF0000"/>
                <w:spacing w:val="4"/>
                <w:sz w:val="21"/>
                <w:szCs w:val="21"/>
              </w:rPr>
              <w:t>生猪)、0.0033</w:t>
            </w:r>
            <w:r>
              <w:rPr>
                <w:rFonts w:hint="eastAsia" w:ascii="Times New Roman" w:hAnsi="Times New Roman" w:eastAsia="宋体" w:cs="Times New Roman"/>
                <w:color w:val="FF0000"/>
                <w:spacing w:val="4"/>
                <w:sz w:val="21"/>
                <w:szCs w:val="21"/>
                <w:lang w:eastAsia="zh-CN"/>
              </w:rPr>
              <w:t>（</w:t>
            </w:r>
            <w:r>
              <w:rPr>
                <w:rFonts w:hint="default" w:ascii="Times New Roman" w:hAnsi="Times New Roman" w:cs="Times New Roman"/>
                <w:color w:val="FF0000"/>
                <w:spacing w:val="4"/>
                <w:sz w:val="21"/>
                <w:szCs w:val="21"/>
              </w:rPr>
              <w:t>肉鸡)、0.0067</w:t>
            </w:r>
            <w:r>
              <w:rPr>
                <w:rFonts w:hint="eastAsia" w:ascii="Times New Roman" w:hAnsi="Times New Roman" w:eastAsia="宋体" w:cs="Times New Roman"/>
                <w:color w:val="FF0000"/>
                <w:spacing w:val="4"/>
                <w:sz w:val="21"/>
                <w:szCs w:val="21"/>
                <w:lang w:eastAsia="zh-CN"/>
              </w:rPr>
              <w:t>（</w:t>
            </w:r>
            <w:r>
              <w:rPr>
                <w:rFonts w:hint="default" w:ascii="Times New Roman" w:hAnsi="Times New Roman" w:cs="Times New Roman"/>
                <w:color w:val="FF0000"/>
                <w:spacing w:val="4"/>
                <w:sz w:val="21"/>
                <w:szCs w:val="21"/>
              </w:rPr>
              <w:t>蛋鸡)或0.013</w:t>
            </w:r>
            <w:r>
              <w:rPr>
                <w:rFonts w:hint="eastAsia" w:ascii="Times New Roman" w:hAnsi="Times New Roman" w:eastAsia="宋体" w:cs="Times New Roman"/>
                <w:color w:val="FF0000"/>
                <w:spacing w:val="4"/>
                <w:sz w:val="21"/>
                <w:szCs w:val="21"/>
                <w:lang w:eastAsia="zh-CN"/>
              </w:rPr>
              <w:t>（</w:t>
            </w:r>
            <w:r>
              <w:rPr>
                <w:rFonts w:hint="default" w:ascii="Times New Roman" w:hAnsi="Times New Roman" w:cs="Times New Roman"/>
                <w:color w:val="FF0000"/>
                <w:spacing w:val="3"/>
                <w:sz w:val="21"/>
                <w:szCs w:val="21"/>
              </w:rPr>
              <w:t>鸭)</w:t>
            </w:r>
            <w:r>
              <w:rPr>
                <w:rFonts w:hint="eastAsia" w:ascii="Times New Roman" w:hAnsi="Times New Roman" w:eastAsia="宋体" w:cs="Times New Roman"/>
                <w:color w:val="FF0000"/>
                <w:sz w:val="21"/>
                <w:szCs w:val="21"/>
                <w:lang w:eastAsia="zh-CN"/>
              </w:rPr>
              <w:t>（</w:t>
            </w:r>
            <w:r>
              <w:rPr>
                <w:rFonts w:hint="default" w:ascii="Times New Roman" w:hAnsi="Times New Roman" w:cs="Times New Roman"/>
                <w:color w:val="FF0000"/>
                <w:sz w:val="21"/>
                <w:szCs w:val="21"/>
              </w:rPr>
              <w:t>立方米/头、羽)×设计存栏量</w:t>
            </w:r>
            <w:r>
              <w:rPr>
                <w:rFonts w:hint="eastAsia" w:ascii="Times New Roman" w:hAnsi="Times New Roman" w:eastAsia="宋体" w:cs="Times New Roman"/>
                <w:color w:val="FF0000"/>
                <w:sz w:val="21"/>
                <w:szCs w:val="21"/>
                <w:lang w:eastAsia="zh-CN"/>
              </w:rPr>
              <w:t>（</w:t>
            </w:r>
            <w:r>
              <w:rPr>
                <w:rFonts w:hint="default" w:ascii="Times New Roman" w:hAnsi="Times New Roman" w:cs="Times New Roman"/>
                <w:color w:val="FF0000"/>
                <w:sz w:val="21"/>
                <w:szCs w:val="21"/>
              </w:rPr>
              <w:t>头、羽),并配套供氧、除臭和翻抛等设施设备。</w:t>
            </w:r>
          </w:p>
        </w:tc>
        <w:tc>
          <w:tcPr>
            <w:tcW w:w="2822" w:type="dxa"/>
            <w:vAlign w:val="center"/>
          </w:tcPr>
          <w:p w14:paraId="6B9E7FAC">
            <w:pPr>
              <w:pStyle w:val="113"/>
              <w:spacing w:before="71" w:line="219" w:lineRule="auto"/>
              <w:ind w:left="16"/>
              <w:rPr>
                <w:rFonts w:hint="default" w:ascii="Times New Roman" w:hAnsi="Times New Roman" w:cs="Times New Roman"/>
                <w:color w:val="FF0000"/>
                <w:sz w:val="21"/>
                <w:szCs w:val="21"/>
              </w:rPr>
            </w:pPr>
            <w:r>
              <w:rPr>
                <w:rFonts w:hint="default" w:ascii="Times New Roman" w:hAnsi="Times New Roman" w:cs="Times New Roman"/>
                <w:color w:val="FF0000"/>
                <w:spacing w:val="-6"/>
                <w:sz w:val="21"/>
                <w:szCs w:val="21"/>
              </w:rPr>
              <w:t>符合</w:t>
            </w:r>
            <w:r>
              <w:rPr>
                <w:rFonts w:hint="default" w:ascii="Times New Roman" w:hAnsi="Times New Roman" w:eastAsia="宋体" w:cs="Times New Roman"/>
                <w:color w:val="FF0000"/>
                <w:spacing w:val="-6"/>
                <w:sz w:val="21"/>
                <w:szCs w:val="21"/>
                <w:lang w:eastAsia="zh-CN"/>
              </w:rPr>
              <w:t>。</w:t>
            </w:r>
            <w:r>
              <w:rPr>
                <w:rFonts w:hint="default" w:ascii="Times New Roman" w:hAnsi="Times New Roman" w:cs="Times New Roman"/>
                <w:color w:val="FF0000"/>
                <w:spacing w:val="-7"/>
                <w:sz w:val="21"/>
                <w:szCs w:val="21"/>
              </w:rPr>
              <w:t>项目</w:t>
            </w:r>
            <w:r>
              <w:rPr>
                <w:rFonts w:hint="default" w:ascii="Times New Roman" w:hAnsi="Times New Roman" w:cs="Times New Roman"/>
                <w:color w:val="FF0000"/>
                <w:spacing w:val="-7"/>
                <w:sz w:val="21"/>
                <w:szCs w:val="21"/>
                <w:lang w:val="en-US" w:eastAsia="zh-CN"/>
              </w:rPr>
              <w:t>堆粪场</w:t>
            </w:r>
            <w:r>
              <w:rPr>
                <w:rFonts w:hint="default" w:ascii="Times New Roman" w:hAnsi="Times New Roman" w:cs="Times New Roman"/>
                <w:color w:val="FF0000"/>
                <w:spacing w:val="-7"/>
                <w:sz w:val="21"/>
                <w:szCs w:val="21"/>
              </w:rPr>
              <w:t>能满足</w:t>
            </w:r>
            <w:r>
              <w:rPr>
                <w:rFonts w:hint="default" w:ascii="Times New Roman" w:hAnsi="Times New Roman" w:cs="Times New Roman"/>
                <w:color w:val="FF0000"/>
                <w:spacing w:val="-7"/>
                <w:sz w:val="21"/>
                <w:szCs w:val="21"/>
                <w:lang w:val="en-US" w:eastAsia="zh-CN"/>
              </w:rPr>
              <w:t>粪便</w:t>
            </w:r>
            <w:r>
              <w:rPr>
                <w:rFonts w:hint="default" w:ascii="Times New Roman" w:hAnsi="Times New Roman" w:cs="Times New Roman"/>
                <w:color w:val="FF0000"/>
                <w:spacing w:val="-7"/>
                <w:sz w:val="21"/>
                <w:szCs w:val="21"/>
              </w:rPr>
              <w:t>日产生量，</w:t>
            </w:r>
            <w:r>
              <w:rPr>
                <w:rFonts w:hint="default" w:ascii="Times New Roman" w:hAnsi="Times New Roman" w:cs="Times New Roman"/>
                <w:color w:val="FF0000"/>
                <w:spacing w:val="-7"/>
                <w:sz w:val="21"/>
                <w:szCs w:val="21"/>
                <w:lang w:val="en-US" w:eastAsia="zh-CN"/>
              </w:rPr>
              <w:t>堆粪场</w:t>
            </w:r>
            <w:r>
              <w:rPr>
                <w:rFonts w:hint="default" w:ascii="Times New Roman" w:hAnsi="Times New Roman" w:cs="Times New Roman"/>
                <w:color w:val="FF0000"/>
                <w:spacing w:val="-1"/>
                <w:sz w:val="21"/>
                <w:szCs w:val="21"/>
              </w:rPr>
              <w:t>臭气经收集后通过生物除臭装置处理</w:t>
            </w:r>
            <w:r>
              <w:rPr>
                <w:rFonts w:hint="default" w:ascii="Times New Roman" w:hAnsi="Times New Roman" w:cs="Times New Roman"/>
                <w:color w:val="FF0000"/>
                <w:spacing w:val="4"/>
                <w:sz w:val="21"/>
                <w:szCs w:val="21"/>
              </w:rPr>
              <w:t>。</w:t>
            </w:r>
          </w:p>
        </w:tc>
      </w:tr>
      <w:tr w14:paraId="528F5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trPr>
        <w:tc>
          <w:tcPr>
            <w:tcW w:w="564" w:type="dxa"/>
            <w:vAlign w:val="center"/>
          </w:tcPr>
          <w:p w14:paraId="69AABEAC">
            <w:pPr>
              <w:pStyle w:val="113"/>
              <w:spacing w:before="71"/>
              <w:ind w:left="224"/>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w:t>
            </w:r>
          </w:p>
        </w:tc>
        <w:tc>
          <w:tcPr>
            <w:tcW w:w="5783" w:type="dxa"/>
            <w:vAlign w:val="center"/>
          </w:tcPr>
          <w:p w14:paraId="04AD0DA6">
            <w:pPr>
              <w:pStyle w:val="113"/>
              <w:spacing w:before="13" w:line="226" w:lineRule="auto"/>
              <w:ind w:left="11"/>
              <w:jc w:val="both"/>
              <w:rPr>
                <w:rFonts w:hint="default" w:ascii="Times New Roman" w:hAnsi="Times New Roman" w:cs="Times New Roman"/>
                <w:color w:val="FF0000"/>
                <w:sz w:val="21"/>
                <w:szCs w:val="21"/>
              </w:rPr>
            </w:pPr>
            <w:r>
              <w:rPr>
                <w:rFonts w:hint="default" w:ascii="Times New Roman" w:hAnsi="Times New Roman" w:cs="Times New Roman"/>
                <w:color w:val="FF0000"/>
                <w:spacing w:val="-7"/>
                <w:sz w:val="21"/>
                <w:szCs w:val="21"/>
              </w:rPr>
              <w:t>固液分离后的液体粪污进行深度处理的，根据不同工艺可配套集水池、曝气池、沉淀池、高效固液分离机、厌氧反应池、好氧反应池、高效脱氮除磷、膜生物反应器、膜分离浓缩、机械排泥、臭气处理等设施设备，做好防渗、防溢流。处理后排入环境水体的，出水水质不得超过国家或地方规定的水污染物排放标准和重点水污染物排放总量控制指标；排入农田灌溉渠道的，还应保证其下游最近的灌溉取水点水质符合《农田灌溉水</w:t>
            </w:r>
            <w:r>
              <w:rPr>
                <w:rFonts w:hint="default" w:ascii="Times New Roman" w:hAnsi="Times New Roman" w:cs="Times New Roman"/>
                <w:color w:val="FF0000"/>
                <w:spacing w:val="-1"/>
                <w:sz w:val="21"/>
                <w:szCs w:val="21"/>
              </w:rPr>
              <w:t>质标准》。</w:t>
            </w:r>
          </w:p>
        </w:tc>
        <w:tc>
          <w:tcPr>
            <w:tcW w:w="2822" w:type="dxa"/>
            <w:vAlign w:val="center"/>
          </w:tcPr>
          <w:p w14:paraId="408A0C3C">
            <w:pPr>
              <w:pStyle w:val="113"/>
              <w:spacing w:before="156" w:line="230" w:lineRule="auto"/>
              <w:ind w:firstLine="106"/>
              <w:jc w:val="both"/>
              <w:rPr>
                <w:rFonts w:hint="default" w:ascii="Times New Roman" w:hAnsi="Times New Roman" w:cs="Times New Roman"/>
                <w:color w:val="FF0000"/>
                <w:sz w:val="21"/>
                <w:szCs w:val="21"/>
              </w:rPr>
            </w:pPr>
            <w:r>
              <w:rPr>
                <w:rFonts w:hint="default" w:ascii="Times New Roman" w:hAnsi="Times New Roman" w:cs="Times New Roman"/>
                <w:color w:val="FF0000"/>
                <w:spacing w:val="-14"/>
                <w:sz w:val="21"/>
                <w:szCs w:val="21"/>
              </w:rPr>
              <w:t>符合。本项目废水</w:t>
            </w:r>
            <w:r>
              <w:rPr>
                <w:rFonts w:hint="default" w:ascii="Times New Roman" w:hAnsi="Times New Roman" w:cs="Times New Roman"/>
                <w:color w:val="FF0000"/>
                <w:spacing w:val="-5"/>
                <w:sz w:val="21"/>
                <w:szCs w:val="21"/>
              </w:rPr>
              <w:t>经</w:t>
            </w:r>
            <w:r>
              <w:rPr>
                <w:rFonts w:hint="default" w:ascii="Times New Roman" w:hAnsi="Times New Roman" w:cs="Times New Roman"/>
                <w:color w:val="FF0000"/>
                <w:spacing w:val="-5"/>
                <w:sz w:val="21"/>
                <w:szCs w:val="21"/>
                <w:lang w:val="en-US" w:eastAsia="zh-CN"/>
              </w:rPr>
              <w:t>发酵</w:t>
            </w:r>
            <w:r>
              <w:rPr>
                <w:rFonts w:hint="default" w:ascii="Times New Roman" w:hAnsi="Times New Roman" w:cs="Times New Roman"/>
                <w:color w:val="FF0000"/>
                <w:spacing w:val="-5"/>
                <w:sz w:val="21"/>
                <w:szCs w:val="21"/>
              </w:rPr>
              <w:t>处理后达到</w:t>
            </w:r>
            <w:r>
              <w:rPr>
                <w:rFonts w:hint="default" w:ascii="Times New Roman" w:hAnsi="Times New Roman" w:cs="Times New Roman"/>
                <w:color w:val="FF0000"/>
                <w:spacing w:val="1"/>
                <w:sz w:val="21"/>
                <w:szCs w:val="21"/>
              </w:rPr>
              <w:t>用于周边</w:t>
            </w:r>
            <w:r>
              <w:rPr>
                <w:rFonts w:hint="default" w:ascii="Times New Roman" w:hAnsi="Times New Roman" w:cs="Times New Roman"/>
                <w:color w:val="FF0000"/>
                <w:sz w:val="21"/>
                <w:szCs w:val="21"/>
              </w:rPr>
              <w:t>农田灌溉。</w:t>
            </w:r>
          </w:p>
        </w:tc>
      </w:tr>
      <w:tr w14:paraId="1E7B5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2" w:hRule="atLeast"/>
        </w:trPr>
        <w:tc>
          <w:tcPr>
            <w:tcW w:w="564" w:type="dxa"/>
            <w:vAlign w:val="center"/>
          </w:tcPr>
          <w:p w14:paraId="2DB45B1E">
            <w:pPr>
              <w:pStyle w:val="113"/>
              <w:spacing w:before="72"/>
              <w:ind w:left="224"/>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7</w:t>
            </w:r>
          </w:p>
        </w:tc>
        <w:tc>
          <w:tcPr>
            <w:tcW w:w="5783" w:type="dxa"/>
            <w:vAlign w:val="center"/>
          </w:tcPr>
          <w:p w14:paraId="6E56AEE1">
            <w:pPr>
              <w:pStyle w:val="113"/>
              <w:spacing w:before="11" w:line="225" w:lineRule="auto"/>
              <w:ind w:left="11"/>
              <w:jc w:val="both"/>
              <w:rPr>
                <w:rFonts w:hint="default" w:ascii="Times New Roman" w:hAnsi="Times New Roman" w:cs="Times New Roman"/>
                <w:color w:val="FF0000"/>
                <w:sz w:val="21"/>
                <w:szCs w:val="21"/>
              </w:rPr>
            </w:pPr>
            <w:r>
              <w:rPr>
                <w:rFonts w:hint="default" w:ascii="Times New Roman" w:hAnsi="Times New Roman" w:cs="Times New Roman"/>
                <w:color w:val="FF0000"/>
                <w:spacing w:val="-3"/>
                <w:sz w:val="21"/>
                <w:szCs w:val="21"/>
              </w:rPr>
              <w:t>畜禽养殖场</w:t>
            </w:r>
            <w:r>
              <w:rPr>
                <w:rFonts w:hint="eastAsia" w:ascii="Times New Roman" w:hAnsi="Times New Roman" w:eastAsia="宋体" w:cs="Times New Roman"/>
                <w:color w:val="FF0000"/>
                <w:spacing w:val="-3"/>
                <w:sz w:val="21"/>
                <w:szCs w:val="21"/>
                <w:lang w:eastAsia="zh-CN"/>
              </w:rPr>
              <w:t>（</w:t>
            </w:r>
            <w:r>
              <w:rPr>
                <w:rFonts w:hint="default" w:ascii="Times New Roman" w:hAnsi="Times New Roman" w:cs="Times New Roman"/>
                <w:color w:val="FF0000"/>
                <w:spacing w:val="-3"/>
                <w:sz w:val="21"/>
                <w:szCs w:val="21"/>
              </w:rPr>
              <w:t>户)可采用堆肥、沤肥、生产垫料等方式</w:t>
            </w:r>
            <w:r>
              <w:rPr>
                <w:rFonts w:hint="default" w:ascii="Times New Roman" w:hAnsi="Times New Roman" w:cs="Times New Roman"/>
                <w:color w:val="FF0000"/>
                <w:spacing w:val="-4"/>
                <w:sz w:val="21"/>
                <w:szCs w:val="21"/>
              </w:rPr>
              <w:t>处理固</w:t>
            </w:r>
            <w:r>
              <w:rPr>
                <w:rFonts w:hint="default" w:ascii="Times New Roman" w:hAnsi="Times New Roman" w:cs="Times New Roman"/>
                <w:color w:val="FF0000"/>
                <w:spacing w:val="-14"/>
                <w:sz w:val="21"/>
                <w:szCs w:val="21"/>
              </w:rPr>
              <w:t>体粪污。堆肥宜采用条垛式、强制通风静态垛、</w:t>
            </w:r>
            <w:r>
              <w:rPr>
                <w:rFonts w:hint="default" w:ascii="Times New Roman" w:hAnsi="Times New Roman" w:cs="Times New Roman"/>
                <w:color w:val="FF0000"/>
                <w:spacing w:val="-15"/>
                <w:sz w:val="21"/>
                <w:szCs w:val="21"/>
              </w:rPr>
              <w:t>槽式、发酵仓、</w:t>
            </w:r>
            <w:r>
              <w:rPr>
                <w:rFonts w:hint="default" w:ascii="Times New Roman" w:hAnsi="Times New Roman" w:cs="Times New Roman"/>
                <w:color w:val="FF0000"/>
                <w:spacing w:val="-14"/>
                <w:sz w:val="21"/>
                <w:szCs w:val="21"/>
              </w:rPr>
              <w:t>反应器或覆膜堆肥等好氧工艺，根据不同工艺配</w:t>
            </w:r>
            <w:r>
              <w:rPr>
                <w:rFonts w:hint="default" w:ascii="Times New Roman" w:hAnsi="Times New Roman" w:cs="Times New Roman"/>
                <w:color w:val="FF0000"/>
                <w:spacing w:val="-15"/>
                <w:sz w:val="21"/>
                <w:szCs w:val="21"/>
              </w:rPr>
              <w:t>套必要的混合、</w:t>
            </w:r>
            <w:r>
              <w:rPr>
                <w:rFonts w:hint="default" w:ascii="Times New Roman" w:hAnsi="Times New Roman" w:cs="Times New Roman"/>
                <w:color w:val="FF0000"/>
                <w:spacing w:val="-10"/>
                <w:sz w:val="21"/>
                <w:szCs w:val="21"/>
              </w:rPr>
              <w:t>输送、搅拌、供氧和除臭等设施设备。沤肥</w:t>
            </w:r>
            <w:r>
              <w:rPr>
                <w:rFonts w:hint="default" w:ascii="Times New Roman" w:hAnsi="Times New Roman" w:cs="Times New Roman"/>
                <w:color w:val="FF0000"/>
                <w:spacing w:val="-11"/>
                <w:sz w:val="21"/>
                <w:szCs w:val="21"/>
              </w:rPr>
              <w:t>宜采用平地或半坑</w:t>
            </w:r>
            <w:r>
              <w:rPr>
                <w:rFonts w:hint="default" w:ascii="Times New Roman" w:hAnsi="Times New Roman" w:cs="Times New Roman"/>
                <w:color w:val="FF0000"/>
                <w:spacing w:val="-10"/>
                <w:sz w:val="21"/>
                <w:szCs w:val="21"/>
              </w:rPr>
              <w:t>式糊泥静置等兼氧工艺。生产垫料宜采用密</w:t>
            </w:r>
            <w:r>
              <w:rPr>
                <w:rFonts w:hint="default" w:ascii="Times New Roman" w:hAnsi="Times New Roman" w:cs="Times New Roman"/>
                <w:color w:val="FF0000"/>
                <w:spacing w:val="-11"/>
                <w:sz w:val="21"/>
                <w:szCs w:val="21"/>
              </w:rPr>
              <w:t>闭式滚筒好氧发酵</w:t>
            </w:r>
            <w:r>
              <w:rPr>
                <w:rFonts w:hint="default" w:ascii="Times New Roman" w:hAnsi="Times New Roman" w:cs="Times New Roman"/>
                <w:color w:val="FF0000"/>
                <w:spacing w:val="-10"/>
                <w:sz w:val="21"/>
                <w:szCs w:val="21"/>
              </w:rPr>
              <w:t>工艺，配套必要的固液分离、进料、混合、发酵</w:t>
            </w:r>
            <w:r>
              <w:rPr>
                <w:rFonts w:hint="default" w:ascii="Times New Roman" w:hAnsi="Times New Roman" w:cs="Times New Roman"/>
                <w:color w:val="FF0000"/>
                <w:spacing w:val="-11"/>
                <w:sz w:val="21"/>
                <w:szCs w:val="21"/>
              </w:rPr>
              <w:t>、除臭或智能</w:t>
            </w:r>
            <w:r>
              <w:rPr>
                <w:rFonts w:hint="default" w:ascii="Times New Roman" w:hAnsi="Times New Roman" w:cs="Times New Roman"/>
                <w:color w:val="FF0000"/>
                <w:spacing w:val="-6"/>
                <w:sz w:val="21"/>
                <w:szCs w:val="21"/>
              </w:rPr>
              <w:t>控制等设施设备，分离出的液体粪污应参照5.5液体粪污贮存</w:t>
            </w:r>
            <w:r>
              <w:rPr>
                <w:rFonts w:hint="default" w:ascii="Times New Roman" w:hAnsi="Times New Roman" w:cs="Times New Roman"/>
                <w:color w:val="FF0000"/>
                <w:spacing w:val="-4"/>
                <w:sz w:val="21"/>
                <w:szCs w:val="21"/>
              </w:rPr>
              <w:t>发酵设施中的要求进行处理。堆</w:t>
            </w:r>
            <w:r>
              <w:rPr>
                <w:rFonts w:hint="eastAsia" w:ascii="Times New Roman" w:hAnsi="Times New Roman" w:eastAsia="宋体" w:cs="Times New Roman"/>
                <w:color w:val="FF0000"/>
                <w:spacing w:val="-4"/>
                <w:sz w:val="21"/>
                <w:szCs w:val="21"/>
                <w:lang w:eastAsia="zh-CN"/>
              </w:rPr>
              <w:t>（</w:t>
            </w:r>
            <w:r>
              <w:rPr>
                <w:rFonts w:hint="default" w:ascii="Times New Roman" w:hAnsi="Times New Roman" w:cs="Times New Roman"/>
                <w:color w:val="FF0000"/>
                <w:spacing w:val="-4"/>
                <w:sz w:val="21"/>
                <w:szCs w:val="21"/>
              </w:rPr>
              <w:t>沤)肥设施发酵容积不小于</w:t>
            </w:r>
            <w:r>
              <w:rPr>
                <w:rFonts w:hint="default" w:ascii="Times New Roman" w:hAnsi="Times New Roman" w:cs="Times New Roman"/>
                <w:color w:val="FF0000"/>
                <w:spacing w:val="-9"/>
                <w:sz w:val="21"/>
                <w:szCs w:val="21"/>
              </w:rPr>
              <w:t>单位畜禽固体粪污日产生量</w:t>
            </w:r>
            <w:r>
              <w:rPr>
                <w:rFonts w:hint="eastAsia" w:ascii="Times New Roman" w:hAnsi="Times New Roman" w:eastAsia="宋体" w:cs="Times New Roman"/>
                <w:color w:val="FF0000"/>
                <w:spacing w:val="-9"/>
                <w:sz w:val="21"/>
                <w:szCs w:val="21"/>
                <w:lang w:eastAsia="zh-CN"/>
              </w:rPr>
              <w:t>（</w:t>
            </w:r>
            <w:r>
              <w:rPr>
                <w:rFonts w:hint="default" w:ascii="Times New Roman" w:hAnsi="Times New Roman" w:cs="Times New Roman"/>
                <w:color w:val="FF0000"/>
                <w:spacing w:val="-9"/>
                <w:sz w:val="21"/>
                <w:szCs w:val="21"/>
              </w:rPr>
              <w:t>立方米/天·头、只、羽)×发酵</w:t>
            </w:r>
            <w:r>
              <w:rPr>
                <w:rFonts w:hint="default" w:ascii="Times New Roman" w:hAnsi="Times New Roman" w:cs="Times New Roman"/>
                <w:color w:val="FF0000"/>
                <w:spacing w:val="-4"/>
                <w:sz w:val="21"/>
                <w:szCs w:val="21"/>
              </w:rPr>
              <w:t>周期</w:t>
            </w:r>
            <w:r>
              <w:rPr>
                <w:rFonts w:hint="eastAsia" w:ascii="Times New Roman" w:hAnsi="Times New Roman" w:eastAsia="宋体" w:cs="Times New Roman"/>
                <w:color w:val="FF0000"/>
                <w:spacing w:val="-4"/>
                <w:sz w:val="21"/>
                <w:szCs w:val="21"/>
                <w:lang w:eastAsia="zh-CN"/>
              </w:rPr>
              <w:t>（</w:t>
            </w:r>
            <w:r>
              <w:rPr>
                <w:rFonts w:hint="default" w:ascii="Times New Roman" w:hAnsi="Times New Roman" w:cs="Times New Roman"/>
                <w:color w:val="FF0000"/>
                <w:spacing w:val="-4"/>
                <w:sz w:val="21"/>
                <w:szCs w:val="21"/>
              </w:rPr>
              <w:t>天)×设计存栏量</w:t>
            </w:r>
            <w:r>
              <w:rPr>
                <w:rFonts w:hint="eastAsia" w:ascii="Times New Roman" w:hAnsi="Times New Roman" w:eastAsia="宋体" w:cs="Times New Roman"/>
                <w:color w:val="FF0000"/>
                <w:spacing w:val="-4"/>
                <w:sz w:val="21"/>
                <w:szCs w:val="21"/>
                <w:lang w:eastAsia="zh-CN"/>
              </w:rPr>
              <w:t>（</w:t>
            </w:r>
            <w:r>
              <w:rPr>
                <w:rFonts w:hint="default" w:ascii="Times New Roman" w:hAnsi="Times New Roman" w:cs="Times New Roman"/>
                <w:color w:val="FF0000"/>
                <w:spacing w:val="-4"/>
                <w:sz w:val="21"/>
                <w:szCs w:val="21"/>
              </w:rPr>
              <w:t>头、只、羽),确保充分发酵腐熟，</w:t>
            </w:r>
            <w:r>
              <w:rPr>
                <w:rFonts w:hint="default" w:ascii="Times New Roman" w:hAnsi="Times New Roman" w:cs="Times New Roman"/>
                <w:color w:val="FF0000"/>
                <w:sz w:val="21"/>
                <w:szCs w:val="21"/>
              </w:rPr>
              <w:t>处理后蛔虫卵、粪大肠杆菌、镉、汞、砷、铅、铬、铊和缩二脲等物质应达到《肥料中有毒有害物质的限量要求》。</w:t>
            </w:r>
          </w:p>
        </w:tc>
        <w:tc>
          <w:tcPr>
            <w:tcW w:w="2822" w:type="dxa"/>
            <w:vAlign w:val="center"/>
          </w:tcPr>
          <w:p w14:paraId="5C61B966">
            <w:pPr>
              <w:pStyle w:val="113"/>
              <w:spacing w:before="72" w:line="219" w:lineRule="auto"/>
              <w:ind w:left="16"/>
              <w:rPr>
                <w:rFonts w:hint="default" w:ascii="Times New Roman" w:hAnsi="Times New Roman" w:cs="Times New Roman"/>
                <w:color w:val="FF0000"/>
                <w:sz w:val="21"/>
                <w:szCs w:val="21"/>
              </w:rPr>
            </w:pPr>
            <w:r>
              <w:rPr>
                <w:rFonts w:hint="default" w:ascii="Times New Roman" w:hAnsi="Times New Roman" w:cs="Times New Roman"/>
                <w:color w:val="FF0000"/>
                <w:spacing w:val="-6"/>
                <w:sz w:val="21"/>
                <w:szCs w:val="21"/>
              </w:rPr>
              <w:t>符合。项目</w:t>
            </w:r>
            <w:r>
              <w:rPr>
                <w:rFonts w:hint="default" w:ascii="Times New Roman" w:hAnsi="Times New Roman" w:cs="Times New Roman"/>
                <w:color w:val="FF0000"/>
                <w:spacing w:val="-6"/>
                <w:sz w:val="21"/>
                <w:szCs w:val="21"/>
                <w:lang w:val="en-US" w:eastAsia="zh-CN"/>
              </w:rPr>
              <w:t>粪便</w:t>
            </w:r>
            <w:r>
              <w:rPr>
                <w:rFonts w:hint="default" w:ascii="Times New Roman" w:hAnsi="Times New Roman" w:cs="Times New Roman"/>
                <w:color w:val="FF0000"/>
                <w:spacing w:val="-6"/>
                <w:sz w:val="21"/>
                <w:szCs w:val="21"/>
              </w:rPr>
              <w:t>发酵采用高温好氧发酵，配有生物除臭设施，通过</w:t>
            </w:r>
            <w:r>
              <w:rPr>
                <w:rFonts w:hint="default" w:ascii="Times New Roman" w:hAnsi="Times New Roman" w:cs="Times New Roman"/>
                <w:color w:val="FF0000"/>
                <w:spacing w:val="2"/>
                <w:sz w:val="21"/>
                <w:szCs w:val="21"/>
              </w:rPr>
              <w:t>生物除臭对</w:t>
            </w:r>
            <w:r>
              <w:rPr>
                <w:rFonts w:hint="default" w:ascii="Times New Roman" w:hAnsi="Times New Roman" w:cs="Times New Roman"/>
                <w:color w:val="FF0000"/>
                <w:spacing w:val="2"/>
                <w:sz w:val="21"/>
                <w:szCs w:val="21"/>
                <w:lang w:val="en-US" w:eastAsia="zh-CN"/>
              </w:rPr>
              <w:t>粪便</w:t>
            </w:r>
            <w:r>
              <w:rPr>
                <w:rFonts w:hint="default" w:ascii="Times New Roman" w:hAnsi="Times New Roman" w:cs="Times New Roman"/>
                <w:color w:val="FF0000"/>
                <w:spacing w:val="2"/>
                <w:sz w:val="21"/>
                <w:szCs w:val="21"/>
              </w:rPr>
              <w:t>发酵后排出</w:t>
            </w:r>
            <w:r>
              <w:rPr>
                <w:rFonts w:hint="default" w:ascii="Times New Roman" w:hAnsi="Times New Roman" w:cs="Times New Roman"/>
                <w:color w:val="FF0000"/>
                <w:spacing w:val="-6"/>
                <w:sz w:val="21"/>
                <w:szCs w:val="21"/>
              </w:rPr>
              <w:t>的气体进行处理。</w:t>
            </w:r>
          </w:p>
        </w:tc>
      </w:tr>
      <w:tr w14:paraId="4CF8C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6" w:hRule="atLeast"/>
        </w:trPr>
        <w:tc>
          <w:tcPr>
            <w:tcW w:w="564" w:type="dxa"/>
            <w:vAlign w:val="center"/>
          </w:tcPr>
          <w:p w14:paraId="7A6A4458">
            <w:pPr>
              <w:pStyle w:val="113"/>
              <w:spacing w:before="68"/>
              <w:ind w:left="224"/>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8</w:t>
            </w:r>
          </w:p>
        </w:tc>
        <w:tc>
          <w:tcPr>
            <w:tcW w:w="5783" w:type="dxa"/>
            <w:vAlign w:val="center"/>
          </w:tcPr>
          <w:p w14:paraId="4A5A557B">
            <w:pPr>
              <w:pStyle w:val="113"/>
              <w:spacing w:before="4" w:line="239" w:lineRule="auto"/>
              <w:ind w:left="11" w:right="81" w:firstLine="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畜禽粪污采用沼气工程进行厌氧处理的，应配套调节池、固液</w:t>
            </w:r>
            <w:r>
              <w:rPr>
                <w:rFonts w:hint="default" w:ascii="Times New Roman" w:hAnsi="Times New Roman" w:cs="Times New Roman"/>
                <w:color w:val="FF0000"/>
                <w:spacing w:val="1"/>
                <w:sz w:val="21"/>
                <w:szCs w:val="21"/>
              </w:rPr>
              <w:t>分离机、贮气设施、沼渣沼液贮存池等设施</w:t>
            </w:r>
            <w:r>
              <w:rPr>
                <w:rFonts w:hint="default" w:ascii="Times New Roman" w:hAnsi="Times New Roman" w:cs="Times New Roman"/>
                <w:color w:val="FF0000"/>
                <w:sz w:val="21"/>
                <w:szCs w:val="21"/>
              </w:rPr>
              <w:t>设备，并采取必要的除臭措施。根据不同工艺可配套完全混合式厌氧反应器、升流式厌氧固体反应器、干法厌氧发酵反应器、升流式厌氧污泥床反应器、升流式厌氧复合床、内循环厌氧</w:t>
            </w:r>
            <w:r>
              <w:rPr>
                <w:rFonts w:hint="default" w:ascii="Times New Roman" w:hAnsi="Times New Roman" w:cs="Times New Roman"/>
                <w:color w:val="FF0000"/>
                <w:spacing w:val="-1"/>
                <w:sz w:val="21"/>
                <w:szCs w:val="21"/>
              </w:rPr>
              <w:t>反应器、厌氧颗粒</w:t>
            </w:r>
            <w:r>
              <w:rPr>
                <w:rFonts w:hint="default" w:ascii="Times New Roman" w:hAnsi="Times New Roman" w:cs="Times New Roman"/>
                <w:color w:val="FF0000"/>
                <w:sz w:val="21"/>
                <w:szCs w:val="21"/>
              </w:rPr>
              <w:t>污泥膨胀床反应器或竖向推流式厌氧反应器等设施设备。</w:t>
            </w:r>
            <w:r>
              <w:rPr>
                <w:rFonts w:hint="default" w:ascii="Times New Roman" w:hAnsi="Times New Roman" w:eastAsia="宋体" w:cs="Times New Roman"/>
                <w:color w:val="FF0000"/>
                <w:sz w:val="21"/>
                <w:szCs w:val="21"/>
                <w:lang w:eastAsia="zh-CN"/>
              </w:rPr>
              <w:t>畜禽</w:t>
            </w:r>
            <w:r>
              <w:rPr>
                <w:rFonts w:hint="default" w:ascii="Times New Roman" w:hAnsi="Times New Roman" w:cs="Times New Roman"/>
                <w:color w:val="FF0000"/>
                <w:spacing w:val="-1"/>
                <w:sz w:val="21"/>
                <w:szCs w:val="21"/>
              </w:rPr>
              <w:t>粪污采用户用沼气池进行厌氧处理的，应符合户用沼气池设计</w:t>
            </w:r>
            <w:r>
              <w:rPr>
                <w:rFonts w:hint="default" w:ascii="Times New Roman" w:hAnsi="Times New Roman" w:cs="Times New Roman"/>
                <w:color w:val="FF0000"/>
                <w:sz w:val="21"/>
                <w:szCs w:val="21"/>
              </w:rPr>
              <w:t>规范要求，建设必要的配套设施。沼气工程产生的沼液还田利用的，宜通过敞口或密闭贮存设施</w:t>
            </w:r>
            <w:r>
              <w:rPr>
                <w:rFonts w:hint="default" w:ascii="Times New Roman" w:hAnsi="Times New Roman" w:cs="Times New Roman"/>
                <w:color w:val="FF0000"/>
                <w:spacing w:val="1"/>
                <w:sz w:val="21"/>
                <w:szCs w:val="21"/>
              </w:rPr>
              <w:t>进行后续处理，贮存容积不小于沼液日产生量</w:t>
            </w:r>
            <w:r>
              <w:rPr>
                <w:rFonts w:hint="eastAsia" w:ascii="Times New Roman" w:hAnsi="Times New Roman" w:eastAsia="宋体" w:cs="Times New Roman"/>
                <w:color w:val="FF0000"/>
                <w:spacing w:val="1"/>
                <w:sz w:val="21"/>
                <w:szCs w:val="21"/>
                <w:lang w:eastAsia="zh-CN"/>
              </w:rPr>
              <w:t>（</w:t>
            </w:r>
            <w:r>
              <w:rPr>
                <w:rFonts w:hint="default" w:ascii="Times New Roman" w:hAnsi="Times New Roman" w:cs="Times New Roman"/>
                <w:color w:val="FF0000"/>
                <w:spacing w:val="1"/>
                <w:sz w:val="21"/>
                <w:szCs w:val="21"/>
              </w:rPr>
              <w:t>立方米/天)×</w:t>
            </w:r>
            <w:r>
              <w:rPr>
                <w:rFonts w:hint="default" w:ascii="Times New Roman" w:hAnsi="Times New Roman" w:cs="Times New Roman"/>
                <w:color w:val="FF0000"/>
                <w:sz w:val="21"/>
                <w:szCs w:val="21"/>
              </w:rPr>
              <w:t>贮存周期</w:t>
            </w:r>
            <w:r>
              <w:rPr>
                <w:rFonts w:hint="eastAsia" w:ascii="Times New Roman" w:hAnsi="Times New Roman" w:eastAsia="宋体" w:cs="Times New Roman"/>
                <w:color w:val="FF0000"/>
                <w:sz w:val="21"/>
                <w:szCs w:val="21"/>
                <w:lang w:eastAsia="zh-CN"/>
              </w:rPr>
              <w:t>（</w:t>
            </w:r>
            <w:r>
              <w:rPr>
                <w:rFonts w:hint="default" w:ascii="Times New Roman" w:hAnsi="Times New Roman" w:cs="Times New Roman"/>
                <w:color w:val="FF0000"/>
                <w:sz w:val="21"/>
                <w:szCs w:val="21"/>
              </w:rPr>
              <w:t>天),贮存周期不得低于当地农作物生产用肥最大间隔期，推荐贮存周期最少在60天以上，确保充分发酵腐熟，处理后蛔虫卵、粪大肠杆菌、镉、汞、砷、铅、铬、铊和缩二脲等物质应达到《肥料中有毒有害物质的限量要求》。沼气工程产生的沼渣还田利用或基质化利用的，宜通过堆肥方</w:t>
            </w:r>
            <w:r>
              <w:rPr>
                <w:rFonts w:hint="default" w:ascii="Times New Roman" w:hAnsi="Times New Roman" w:cs="Times New Roman"/>
                <w:color w:val="FF0000"/>
                <w:spacing w:val="-1"/>
                <w:sz w:val="21"/>
                <w:szCs w:val="21"/>
              </w:rPr>
              <w:t>式进行后续处理。堆肥设施发酵容积不小于</w:t>
            </w:r>
            <w:r>
              <w:rPr>
                <w:rFonts w:hint="eastAsia" w:ascii="Times New Roman" w:hAnsi="Times New Roman" w:eastAsia="宋体" w:cs="Times New Roman"/>
                <w:color w:val="FF0000"/>
                <w:spacing w:val="-1"/>
                <w:sz w:val="21"/>
                <w:szCs w:val="21"/>
                <w:lang w:eastAsia="zh-CN"/>
              </w:rPr>
              <w:t>（</w:t>
            </w:r>
            <w:r>
              <w:rPr>
                <w:rFonts w:hint="default" w:ascii="Times New Roman" w:hAnsi="Times New Roman" w:cs="Times New Roman"/>
                <w:color w:val="FF0000"/>
                <w:spacing w:val="-1"/>
                <w:sz w:val="21"/>
                <w:szCs w:val="21"/>
              </w:rPr>
              <w:t>沼渣日产生量+辅料添加量)</w:t>
            </w:r>
            <w:r>
              <w:rPr>
                <w:rFonts w:hint="eastAsia" w:ascii="Times New Roman" w:hAnsi="Times New Roman" w:eastAsia="宋体" w:cs="Times New Roman"/>
                <w:color w:val="FF0000"/>
                <w:spacing w:val="-1"/>
                <w:sz w:val="21"/>
                <w:szCs w:val="21"/>
                <w:lang w:eastAsia="zh-CN"/>
              </w:rPr>
              <w:t>（</w:t>
            </w:r>
            <w:r>
              <w:rPr>
                <w:rFonts w:hint="default" w:ascii="Times New Roman" w:hAnsi="Times New Roman" w:cs="Times New Roman"/>
                <w:color w:val="FF0000"/>
                <w:spacing w:val="-1"/>
                <w:sz w:val="21"/>
                <w:szCs w:val="21"/>
              </w:rPr>
              <w:t>立方米/天)×发酵周期</w:t>
            </w:r>
            <w:r>
              <w:rPr>
                <w:rFonts w:hint="eastAsia" w:ascii="Times New Roman" w:hAnsi="Times New Roman" w:eastAsia="宋体" w:cs="Times New Roman"/>
                <w:color w:val="FF0000"/>
                <w:spacing w:val="-1"/>
                <w:sz w:val="21"/>
                <w:szCs w:val="21"/>
                <w:lang w:eastAsia="zh-CN"/>
              </w:rPr>
              <w:t>（</w:t>
            </w:r>
            <w:r>
              <w:rPr>
                <w:rFonts w:hint="default" w:ascii="Times New Roman" w:hAnsi="Times New Roman" w:cs="Times New Roman"/>
                <w:color w:val="FF0000"/>
                <w:spacing w:val="-1"/>
                <w:sz w:val="21"/>
                <w:szCs w:val="21"/>
              </w:rPr>
              <w:t>天),确保充分发酵腐熟，处理后蛔虫卵、粪大肠杆菌、镉、汞、砷、铅、铬、铊</w:t>
            </w:r>
            <w:r>
              <w:rPr>
                <w:rFonts w:hint="default" w:ascii="Times New Roman" w:hAnsi="Times New Roman" w:cs="Times New Roman"/>
                <w:color w:val="FF0000"/>
                <w:sz w:val="21"/>
                <w:szCs w:val="21"/>
              </w:rPr>
              <w:t>和缩二脲等物质应达到《肥料中有毒有害物质的限量要求》。利用沼气发电或提纯生物天然气的，根据需要配套沼气发电和沼气提纯等设施设备。</w:t>
            </w:r>
          </w:p>
        </w:tc>
        <w:tc>
          <w:tcPr>
            <w:tcW w:w="2822" w:type="dxa"/>
            <w:vAlign w:val="center"/>
          </w:tcPr>
          <w:p w14:paraId="33821795">
            <w:pPr>
              <w:pStyle w:val="113"/>
              <w:spacing w:before="69" w:line="219" w:lineRule="auto"/>
              <w:ind w:left="37"/>
              <w:rPr>
                <w:rFonts w:hint="default" w:ascii="Times New Roman" w:hAnsi="Times New Roman" w:cs="Times New Roman"/>
                <w:color w:val="FF0000"/>
                <w:sz w:val="21"/>
                <w:szCs w:val="21"/>
              </w:rPr>
            </w:pPr>
            <w:r>
              <w:rPr>
                <w:rFonts w:hint="default" w:ascii="Times New Roman" w:hAnsi="Times New Roman" w:cs="Times New Roman"/>
                <w:color w:val="FF0000"/>
                <w:spacing w:val="-1"/>
                <w:sz w:val="21"/>
                <w:szCs w:val="21"/>
              </w:rPr>
              <w:t>符合。</w:t>
            </w:r>
            <w:r>
              <w:rPr>
                <w:rFonts w:hint="default" w:ascii="Times New Roman" w:hAnsi="Times New Roman" w:cs="Times New Roman"/>
                <w:color w:val="FF0000"/>
                <w:spacing w:val="-6"/>
                <w:sz w:val="21"/>
                <w:szCs w:val="21"/>
              </w:rPr>
              <w:t>发酵采用高温好氧发酵</w:t>
            </w:r>
          </w:p>
        </w:tc>
      </w:tr>
    </w:tbl>
    <w:p w14:paraId="23DA06EF">
      <w:pPr>
        <w:pStyle w:val="5"/>
        <w:bidi w:val="0"/>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FF0000"/>
          <w:spacing w:val="-1"/>
          <w:sz w:val="24"/>
          <w:szCs w:val="24"/>
        </w:rPr>
        <w:t>与《畜禽养殖业污染治理工程技术规范》（</w:t>
      </w:r>
      <w:r>
        <w:rPr>
          <w:rFonts w:hint="default" w:ascii="Times New Roman" w:hAnsi="Times New Roman" w:eastAsia="Times New Roman" w:cs="Times New Roman"/>
          <w:b/>
          <w:bCs/>
          <w:color w:val="FF0000"/>
          <w:spacing w:val="-1"/>
          <w:sz w:val="24"/>
          <w:szCs w:val="24"/>
        </w:rPr>
        <w:t>H</w:t>
      </w:r>
      <w:r>
        <w:rPr>
          <w:rFonts w:hint="default" w:ascii="Times New Roman" w:hAnsi="Times New Roman" w:eastAsia="Times New Roman" w:cs="Times New Roman"/>
          <w:b/>
          <w:bCs/>
          <w:color w:val="FF0000"/>
          <w:spacing w:val="-2"/>
          <w:sz w:val="24"/>
          <w:szCs w:val="24"/>
        </w:rPr>
        <w:t>J 497-2009</w:t>
      </w:r>
      <w:r>
        <w:rPr>
          <w:rFonts w:hint="default" w:ascii="Times New Roman" w:hAnsi="Times New Roman" w:eastAsia="宋体" w:cs="Times New Roman"/>
          <w:b/>
          <w:bCs/>
          <w:color w:val="FF0000"/>
          <w:spacing w:val="-2"/>
          <w:sz w:val="24"/>
          <w:szCs w:val="24"/>
        </w:rPr>
        <w:t>）相符性分析</w:t>
      </w:r>
    </w:p>
    <w:p w14:paraId="26910281">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lang w:val="en-US" w:eastAsia="zh-CN"/>
        </w:rPr>
        <w:t>本项目与《畜禽养殖业污染治理工程技术规范》（HJ497-2009）相符性分析见下表：</w:t>
      </w:r>
    </w:p>
    <w:p w14:paraId="66A9F649">
      <w:pPr>
        <w:pStyle w:val="14"/>
        <w:bidi w:val="0"/>
        <w:rPr>
          <w:rFonts w:hint="default" w:ascii="Times New Roman" w:hAnsi="Times New Roman" w:cs="Times New Roman"/>
          <w:color w:val="FF0000"/>
        </w:rPr>
      </w:pPr>
      <w:r>
        <w:rPr>
          <w:rFonts w:hint="default" w:ascii="Times New Roman" w:hAnsi="Times New Roman" w:cs="Times New Roman"/>
          <w:color w:val="FF0000"/>
        </w:rPr>
        <w:t xml:space="preserve">表 </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1.4</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4</w:t>
      </w:r>
      <w:r>
        <w:rPr>
          <w:rFonts w:hint="default" w:ascii="Times New Roman" w:hAnsi="Times New Roman" w:cs="Times New Roman"/>
          <w:color w:val="FF0000"/>
        </w:rPr>
        <w:fldChar w:fldCharType="end"/>
      </w:r>
      <w:r>
        <w:rPr>
          <w:rFonts w:hint="default" w:ascii="Times New Roman" w:hAnsi="Times New Roman" w:cs="Times New Roman"/>
          <w:color w:val="FF0000"/>
        </w:rPr>
        <w:t>与《畜禽养殖业污染治理工程技术规范》（HJ 497-2009）相符性分析</w:t>
      </w:r>
    </w:p>
    <w:tbl>
      <w:tblPr>
        <w:tblStyle w:val="76"/>
        <w:tblW w:w="518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3"/>
        <w:gridCol w:w="369"/>
        <w:gridCol w:w="4038"/>
        <w:gridCol w:w="3338"/>
        <w:gridCol w:w="519"/>
      </w:tblGrid>
      <w:tr w14:paraId="5A351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21" w:type="pct"/>
            <w:tcBorders>
              <w:top w:val="single" w:color="000000" w:sz="10" w:space="0"/>
              <w:left w:val="single" w:color="000000" w:sz="10" w:space="0"/>
            </w:tcBorders>
            <w:vAlign w:val="center"/>
          </w:tcPr>
          <w:p w14:paraId="3C0DCE5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b/>
                <w:bCs/>
                <w:color w:val="FF0000"/>
                <w:spacing w:val="4"/>
                <w:sz w:val="21"/>
                <w:szCs w:val="21"/>
              </w:rPr>
              <w:t>序号</w:t>
            </w:r>
          </w:p>
        </w:tc>
        <w:tc>
          <w:tcPr>
            <w:tcW w:w="213" w:type="pct"/>
            <w:tcBorders>
              <w:top w:val="single" w:color="000000" w:sz="10" w:space="0"/>
            </w:tcBorders>
            <w:vAlign w:val="center"/>
          </w:tcPr>
          <w:p w14:paraId="5804B41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b/>
                <w:bCs/>
                <w:color w:val="FF0000"/>
                <w:spacing w:val="2"/>
                <w:sz w:val="21"/>
                <w:szCs w:val="21"/>
              </w:rPr>
              <w:t>分类</w:t>
            </w:r>
          </w:p>
        </w:tc>
        <w:tc>
          <w:tcPr>
            <w:tcW w:w="2334" w:type="pct"/>
            <w:tcBorders>
              <w:top w:val="single" w:color="000000" w:sz="10" w:space="0"/>
            </w:tcBorders>
            <w:vAlign w:val="center"/>
          </w:tcPr>
          <w:p w14:paraId="0E76013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b/>
                <w:bCs/>
                <w:color w:val="FF0000"/>
                <w:spacing w:val="6"/>
                <w:sz w:val="21"/>
                <w:szCs w:val="21"/>
              </w:rPr>
              <w:t>文件要求</w:t>
            </w:r>
          </w:p>
        </w:tc>
        <w:tc>
          <w:tcPr>
            <w:tcW w:w="1930" w:type="pct"/>
            <w:tcBorders>
              <w:top w:val="single" w:color="000000" w:sz="10" w:space="0"/>
            </w:tcBorders>
            <w:vAlign w:val="center"/>
          </w:tcPr>
          <w:p w14:paraId="6FCDD3E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b/>
                <w:bCs/>
                <w:color w:val="FF0000"/>
                <w:spacing w:val="7"/>
                <w:sz w:val="21"/>
                <w:szCs w:val="21"/>
              </w:rPr>
              <w:t>本项目拟建情况</w:t>
            </w:r>
          </w:p>
        </w:tc>
        <w:tc>
          <w:tcPr>
            <w:tcW w:w="299" w:type="pct"/>
            <w:tcBorders>
              <w:top w:val="single" w:color="000000" w:sz="10" w:space="0"/>
              <w:right w:val="single" w:color="000000" w:sz="10" w:space="0"/>
            </w:tcBorders>
            <w:vAlign w:val="center"/>
          </w:tcPr>
          <w:p w14:paraId="19CFC8B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b/>
                <w:bCs/>
                <w:color w:val="FF0000"/>
                <w:spacing w:val="5"/>
                <w:sz w:val="21"/>
                <w:szCs w:val="21"/>
              </w:rPr>
              <w:t>相符性</w:t>
            </w:r>
          </w:p>
        </w:tc>
      </w:tr>
      <w:tr w14:paraId="66153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221" w:type="pct"/>
            <w:tcBorders>
              <w:left w:val="single" w:color="000000" w:sz="10" w:space="0"/>
            </w:tcBorders>
            <w:vAlign w:val="center"/>
          </w:tcPr>
          <w:p w14:paraId="31B85BF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position w:val="1"/>
                <w:sz w:val="21"/>
                <w:szCs w:val="21"/>
              </w:rPr>
              <w:t>1</w:t>
            </w:r>
          </w:p>
        </w:tc>
        <w:tc>
          <w:tcPr>
            <w:tcW w:w="213" w:type="pct"/>
            <w:vAlign w:val="center"/>
          </w:tcPr>
          <w:p w14:paraId="2F49C42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5"/>
                <w:sz w:val="21"/>
                <w:szCs w:val="21"/>
              </w:rPr>
              <w:t>选址</w:t>
            </w:r>
            <w:r>
              <w:rPr>
                <w:rFonts w:hint="default" w:ascii="Times New Roman" w:hAnsi="Times New Roman" w:cs="Times New Roman"/>
                <w:color w:val="FF0000"/>
                <w:spacing w:val="4"/>
                <w:sz w:val="21"/>
                <w:szCs w:val="21"/>
              </w:rPr>
              <w:t>要求</w:t>
            </w:r>
          </w:p>
        </w:tc>
        <w:tc>
          <w:tcPr>
            <w:tcW w:w="2334" w:type="pct"/>
            <w:vAlign w:val="center"/>
          </w:tcPr>
          <w:p w14:paraId="3D6F163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8"/>
                <w:sz w:val="21"/>
                <w:szCs w:val="21"/>
              </w:rPr>
              <w:t>畜禽养殖业污染治理工程应与养殖场生产区、居民区等</w:t>
            </w:r>
            <w:r>
              <w:rPr>
                <w:rFonts w:hint="default" w:ascii="Times New Roman" w:hAnsi="Times New Roman" w:cs="Times New Roman"/>
                <w:color w:val="FF0000"/>
                <w:spacing w:val="9"/>
                <w:sz w:val="21"/>
                <w:szCs w:val="21"/>
              </w:rPr>
              <w:t>建筑保持一定的卫生防护距离，设置在畜禽养殖场</w:t>
            </w:r>
            <w:r>
              <w:rPr>
                <w:rFonts w:hint="default" w:ascii="Times New Roman" w:hAnsi="Times New Roman" w:cs="Times New Roman"/>
                <w:color w:val="FF0000"/>
                <w:spacing w:val="8"/>
                <w:sz w:val="21"/>
                <w:szCs w:val="21"/>
              </w:rPr>
              <w:t>的生</w:t>
            </w:r>
            <w:r>
              <w:rPr>
                <w:rFonts w:hint="default" w:ascii="Times New Roman" w:hAnsi="Times New Roman" w:cs="Times New Roman"/>
                <w:color w:val="FF0000"/>
                <w:spacing w:val="9"/>
                <w:sz w:val="21"/>
                <w:szCs w:val="21"/>
              </w:rPr>
              <w:t>产区、生活区主导风向的下风向或侧风向处。</w:t>
            </w:r>
          </w:p>
        </w:tc>
        <w:tc>
          <w:tcPr>
            <w:tcW w:w="1930" w:type="pct"/>
            <w:vAlign w:val="center"/>
          </w:tcPr>
          <w:p w14:paraId="67D6FB4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9"/>
                <w:sz w:val="21"/>
                <w:szCs w:val="21"/>
              </w:rPr>
              <w:t>粪污处理区位于养殖场的生产区主导风向的下风向，位于生活区</w:t>
            </w:r>
            <w:r>
              <w:rPr>
                <w:rFonts w:hint="default" w:ascii="Times New Roman" w:hAnsi="Times New Roman" w:cs="Times New Roman"/>
                <w:color w:val="FF0000"/>
                <w:spacing w:val="8"/>
                <w:sz w:val="21"/>
                <w:szCs w:val="21"/>
              </w:rPr>
              <w:t>主导风向的下风向。养殖场周边距离最近的敏感</w:t>
            </w:r>
            <w:r>
              <w:rPr>
                <w:rFonts w:hint="default" w:ascii="Times New Roman" w:hAnsi="Times New Roman" w:cs="Times New Roman"/>
                <w:color w:val="FF0000"/>
                <w:spacing w:val="7"/>
                <w:sz w:val="21"/>
                <w:szCs w:val="21"/>
              </w:rPr>
              <w:t>点为</w:t>
            </w:r>
            <w:r>
              <w:rPr>
                <w:rFonts w:hint="default" w:ascii="Times New Roman" w:hAnsi="Times New Roman" w:eastAsia="宋体" w:cs="Times New Roman"/>
                <w:color w:val="FF0000"/>
                <w:spacing w:val="-32"/>
                <w:sz w:val="21"/>
                <w:szCs w:val="21"/>
                <w:lang w:val="en-US" w:eastAsia="zh-CN"/>
              </w:rPr>
              <w:t>640</w:t>
            </w:r>
            <w:r>
              <w:rPr>
                <w:rFonts w:hint="default" w:ascii="Times New Roman" w:hAnsi="Times New Roman" w:eastAsia="Times New Roman" w:cs="Times New Roman"/>
                <w:color w:val="FF0000"/>
                <w:spacing w:val="7"/>
                <w:sz w:val="21"/>
                <w:szCs w:val="21"/>
              </w:rPr>
              <w:t>m</w:t>
            </w:r>
            <w:r>
              <w:rPr>
                <w:rFonts w:hint="default" w:ascii="Times New Roman" w:hAnsi="Times New Roman" w:cs="Times New Roman"/>
                <w:color w:val="FF0000"/>
                <w:spacing w:val="8"/>
                <w:sz w:val="21"/>
                <w:szCs w:val="21"/>
              </w:rPr>
              <w:t>处的</w:t>
            </w:r>
            <w:r>
              <w:rPr>
                <w:rFonts w:hint="default" w:ascii="Times New Roman" w:hAnsi="Times New Roman" w:eastAsia="宋体" w:cs="Times New Roman"/>
                <w:color w:val="FF0000"/>
                <w:spacing w:val="8"/>
                <w:sz w:val="21"/>
                <w:szCs w:val="21"/>
                <w:lang w:val="en-US" w:eastAsia="zh-CN"/>
              </w:rPr>
              <w:t>188团9连</w:t>
            </w:r>
            <w:r>
              <w:rPr>
                <w:rFonts w:hint="default" w:ascii="Times New Roman" w:hAnsi="Times New Roman" w:cs="Times New Roman"/>
                <w:color w:val="FF0000"/>
                <w:spacing w:val="8"/>
                <w:sz w:val="21"/>
                <w:szCs w:val="21"/>
              </w:rPr>
              <w:t>，场区粪污处理区远离敏感点。</w:t>
            </w:r>
          </w:p>
        </w:tc>
        <w:tc>
          <w:tcPr>
            <w:tcW w:w="299" w:type="pct"/>
            <w:tcBorders>
              <w:right w:val="single" w:color="000000" w:sz="10" w:space="0"/>
            </w:tcBorders>
            <w:vAlign w:val="center"/>
          </w:tcPr>
          <w:p w14:paraId="36D6513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4"/>
                <w:sz w:val="21"/>
                <w:szCs w:val="21"/>
              </w:rPr>
              <w:t>相符</w:t>
            </w:r>
          </w:p>
        </w:tc>
      </w:tr>
      <w:tr w14:paraId="75FDB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 w:hRule="atLeast"/>
        </w:trPr>
        <w:tc>
          <w:tcPr>
            <w:tcW w:w="221" w:type="pct"/>
            <w:vMerge w:val="restart"/>
            <w:tcBorders>
              <w:left w:val="single" w:color="000000" w:sz="10" w:space="0"/>
            </w:tcBorders>
            <w:vAlign w:val="center"/>
          </w:tcPr>
          <w:p w14:paraId="491B2C7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position w:val="1"/>
                <w:sz w:val="21"/>
                <w:szCs w:val="21"/>
              </w:rPr>
              <w:t>2</w:t>
            </w:r>
          </w:p>
        </w:tc>
        <w:tc>
          <w:tcPr>
            <w:tcW w:w="213" w:type="pct"/>
            <w:vMerge w:val="restart"/>
            <w:vAlign w:val="center"/>
          </w:tcPr>
          <w:p w14:paraId="2445D69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3"/>
                <w:sz w:val="21"/>
                <w:szCs w:val="21"/>
              </w:rPr>
              <w:t>工艺</w:t>
            </w:r>
            <w:r>
              <w:rPr>
                <w:rFonts w:hint="default" w:ascii="Times New Roman" w:hAnsi="Times New Roman" w:cs="Times New Roman"/>
                <w:color w:val="FF0000"/>
                <w:spacing w:val="5"/>
                <w:sz w:val="21"/>
                <w:szCs w:val="21"/>
              </w:rPr>
              <w:t>选择</w:t>
            </w:r>
          </w:p>
        </w:tc>
        <w:tc>
          <w:tcPr>
            <w:tcW w:w="2334" w:type="pct"/>
            <w:vAlign w:val="center"/>
          </w:tcPr>
          <w:p w14:paraId="4B82F7D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9"/>
                <w:sz w:val="21"/>
                <w:szCs w:val="21"/>
              </w:rPr>
              <w:t>新建、改建、扩建的畜禽养殖场宜采用干清粪工</w:t>
            </w:r>
            <w:r>
              <w:rPr>
                <w:rFonts w:hint="default" w:ascii="Times New Roman" w:hAnsi="Times New Roman" w:cs="Times New Roman"/>
                <w:color w:val="FF0000"/>
                <w:spacing w:val="8"/>
                <w:sz w:val="21"/>
                <w:szCs w:val="21"/>
              </w:rPr>
              <w:t>艺。现</w:t>
            </w:r>
            <w:r>
              <w:rPr>
                <w:rFonts w:hint="default" w:ascii="Times New Roman" w:hAnsi="Times New Roman" w:cs="Times New Roman"/>
                <w:color w:val="FF0000"/>
                <w:spacing w:val="9"/>
                <w:sz w:val="21"/>
                <w:szCs w:val="21"/>
              </w:rPr>
              <w:t>有采用水冲粪、水泡粪清粪工艺的养殖场，应逐步改为干清粪工艺；畜禽粪污应日产日清；畜禽养殖场应建立</w:t>
            </w:r>
            <w:r>
              <w:rPr>
                <w:rFonts w:hint="default" w:ascii="Times New Roman" w:hAnsi="Times New Roman" w:cs="Times New Roman"/>
                <w:color w:val="FF0000"/>
                <w:spacing w:val="8"/>
                <w:sz w:val="21"/>
                <w:szCs w:val="21"/>
              </w:rPr>
              <w:t>排水系统，并实行雨污分流。</w:t>
            </w:r>
          </w:p>
        </w:tc>
        <w:tc>
          <w:tcPr>
            <w:tcW w:w="1930" w:type="pct"/>
            <w:vAlign w:val="center"/>
          </w:tcPr>
          <w:p w14:paraId="1A57D84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8"/>
                <w:sz w:val="21"/>
                <w:szCs w:val="21"/>
              </w:rPr>
              <w:t>本项目采用干清粪工艺，鸡粪日产日清；养殖场建</w:t>
            </w:r>
            <w:r>
              <w:rPr>
                <w:rFonts w:hint="default" w:ascii="Times New Roman" w:hAnsi="Times New Roman" w:cs="Times New Roman"/>
                <w:color w:val="FF0000"/>
                <w:spacing w:val="7"/>
                <w:sz w:val="21"/>
                <w:szCs w:val="21"/>
              </w:rPr>
              <w:t>有排水系统，场内实行雨污分流。</w:t>
            </w:r>
          </w:p>
        </w:tc>
        <w:tc>
          <w:tcPr>
            <w:tcW w:w="299" w:type="pct"/>
            <w:tcBorders>
              <w:right w:val="single" w:color="000000" w:sz="10" w:space="0"/>
            </w:tcBorders>
            <w:vAlign w:val="center"/>
          </w:tcPr>
          <w:p w14:paraId="286EA57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4"/>
                <w:sz w:val="21"/>
                <w:szCs w:val="21"/>
              </w:rPr>
              <w:t>相符</w:t>
            </w:r>
          </w:p>
        </w:tc>
      </w:tr>
      <w:tr w14:paraId="187D4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3" w:hRule="atLeast"/>
        </w:trPr>
        <w:tc>
          <w:tcPr>
            <w:tcW w:w="221" w:type="pct"/>
            <w:vMerge w:val="continue"/>
            <w:tcBorders>
              <w:left w:val="single" w:color="000000" w:sz="10" w:space="0"/>
            </w:tcBorders>
            <w:vAlign w:val="center"/>
          </w:tcPr>
          <w:p w14:paraId="73944BF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213" w:type="pct"/>
            <w:vMerge w:val="continue"/>
            <w:vAlign w:val="center"/>
          </w:tcPr>
          <w:p w14:paraId="386FA9A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2334" w:type="pct"/>
            <w:vAlign w:val="center"/>
          </w:tcPr>
          <w:p w14:paraId="264A95B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eastAsia="Times New Roman" w:cs="Times New Roman"/>
                <w:color w:val="FF0000"/>
                <w:sz w:val="21"/>
                <w:szCs w:val="21"/>
              </w:rPr>
            </w:pPr>
            <w:r>
              <w:rPr>
                <w:rFonts w:hint="default" w:ascii="Times New Roman" w:hAnsi="Times New Roman" w:cs="Times New Roman"/>
                <w:color w:val="FF0000"/>
                <w:spacing w:val="9"/>
                <w:sz w:val="21"/>
                <w:szCs w:val="21"/>
              </w:rPr>
              <w:t>选用粪污处理工艺时，应根据养殖场的养殖种类、养殖规模、粪污收集方式、当地的自然地理环境条件以及排水去向等因素确定工艺路线及处理目标，并应充分考虑畜禽养殖废水的特殊性，在实现综合利用或达标排放的情况下，优先选择低运行成本的处理工艺；应慎重选用</w:t>
            </w:r>
            <w:r>
              <w:rPr>
                <w:rFonts w:hint="default" w:ascii="Times New Roman" w:hAnsi="Times New Roman" w:cs="Times New Roman"/>
                <w:color w:val="FF0000"/>
                <w:spacing w:val="5"/>
                <w:sz w:val="21"/>
                <w:szCs w:val="21"/>
              </w:rPr>
              <w:t>物化处理工艺；采用模式Ⅰ或模式Ⅱ处理工艺的，养殖</w:t>
            </w:r>
            <w:r>
              <w:rPr>
                <w:rFonts w:hint="default" w:ascii="Times New Roman" w:hAnsi="Times New Roman" w:cs="Times New Roman"/>
                <w:color w:val="FF0000"/>
                <w:spacing w:val="3"/>
                <w:sz w:val="21"/>
                <w:szCs w:val="21"/>
              </w:rPr>
              <w:t>场应位于非环境敏感区，周围的环境容量大，远离</w:t>
            </w:r>
            <w:r>
              <w:rPr>
                <w:rFonts w:hint="default" w:ascii="Times New Roman" w:hAnsi="Times New Roman" w:cs="Times New Roman"/>
                <w:color w:val="FF0000"/>
                <w:spacing w:val="2"/>
                <w:sz w:val="21"/>
                <w:szCs w:val="21"/>
              </w:rPr>
              <w:t>城市，</w:t>
            </w:r>
            <w:r>
              <w:rPr>
                <w:rFonts w:hint="default" w:ascii="Times New Roman" w:hAnsi="Times New Roman" w:cs="Times New Roman"/>
                <w:color w:val="FF0000"/>
                <w:spacing w:val="9"/>
                <w:sz w:val="21"/>
                <w:szCs w:val="21"/>
              </w:rPr>
              <w:t>有能源需求，周边有足够土地能够消纳全部的沼</w:t>
            </w:r>
            <w:r>
              <w:rPr>
                <w:rFonts w:hint="default" w:ascii="Times New Roman" w:hAnsi="Times New Roman" w:cs="Times New Roman"/>
                <w:color w:val="FF0000"/>
                <w:spacing w:val="8"/>
                <w:sz w:val="21"/>
                <w:szCs w:val="21"/>
              </w:rPr>
              <w:t>液、沼</w:t>
            </w:r>
            <w:r>
              <w:rPr>
                <w:rFonts w:hint="default" w:ascii="Times New Roman" w:hAnsi="Times New Roman" w:cs="Times New Roman"/>
                <w:color w:val="FF0000"/>
                <w:spacing w:val="5"/>
                <w:sz w:val="21"/>
                <w:szCs w:val="21"/>
              </w:rPr>
              <w:t>渣；干清粪工艺的养殖场，不宜采用模式Ⅰ处理工艺，</w:t>
            </w:r>
            <w:r>
              <w:rPr>
                <w:rFonts w:hint="default" w:ascii="Times New Roman" w:hAnsi="Times New Roman" w:cs="Times New Roman"/>
                <w:color w:val="FF0000"/>
                <w:spacing w:val="9"/>
                <w:sz w:val="21"/>
                <w:szCs w:val="21"/>
              </w:rPr>
              <w:t>固体粪便宜采用好氧堆肥等技术单独进行无害化处</w:t>
            </w:r>
            <w:r>
              <w:rPr>
                <w:rFonts w:hint="default" w:ascii="Times New Roman" w:hAnsi="Times New Roman" w:cs="Times New Roman"/>
                <w:color w:val="FF0000"/>
                <w:spacing w:val="8"/>
                <w:sz w:val="21"/>
                <w:szCs w:val="21"/>
              </w:rPr>
              <w:t>理；当采用干清粪工艺时，清粪比例宜控制在</w:t>
            </w:r>
            <w:r>
              <w:rPr>
                <w:rFonts w:hint="default" w:ascii="Times New Roman" w:hAnsi="Times New Roman" w:eastAsia="Times New Roman" w:cs="Times New Roman"/>
                <w:color w:val="FF0000"/>
                <w:spacing w:val="8"/>
                <w:sz w:val="21"/>
                <w:szCs w:val="21"/>
              </w:rPr>
              <w:t>70%</w:t>
            </w:r>
          </w:p>
        </w:tc>
        <w:tc>
          <w:tcPr>
            <w:tcW w:w="1930" w:type="pct"/>
            <w:vAlign w:val="center"/>
          </w:tcPr>
          <w:p w14:paraId="148F480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9"/>
                <w:sz w:val="21"/>
                <w:szCs w:val="21"/>
              </w:rPr>
              <w:t>项目采用干清粪工艺，项目场界四周均为农田</w:t>
            </w:r>
            <w:r>
              <w:rPr>
                <w:rFonts w:hint="default" w:ascii="Times New Roman" w:hAnsi="Times New Roman" w:cs="Times New Roman"/>
                <w:color w:val="FF0000"/>
                <w:spacing w:val="6"/>
                <w:sz w:val="21"/>
                <w:szCs w:val="21"/>
              </w:rPr>
              <w:t>。</w:t>
            </w:r>
          </w:p>
        </w:tc>
        <w:tc>
          <w:tcPr>
            <w:tcW w:w="299" w:type="pct"/>
            <w:tcBorders>
              <w:right w:val="single" w:color="000000" w:sz="10" w:space="0"/>
            </w:tcBorders>
            <w:vAlign w:val="center"/>
          </w:tcPr>
          <w:p w14:paraId="76CF0A9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4"/>
                <w:sz w:val="21"/>
                <w:szCs w:val="21"/>
              </w:rPr>
              <w:t>相符</w:t>
            </w:r>
          </w:p>
        </w:tc>
      </w:tr>
      <w:tr w14:paraId="65022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221" w:type="pct"/>
            <w:tcBorders>
              <w:left w:val="single" w:color="000000" w:sz="10" w:space="0"/>
            </w:tcBorders>
            <w:vAlign w:val="center"/>
          </w:tcPr>
          <w:p w14:paraId="66995D6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position w:val="2"/>
                <w:sz w:val="21"/>
                <w:szCs w:val="21"/>
              </w:rPr>
              <w:t>3</w:t>
            </w:r>
          </w:p>
        </w:tc>
        <w:tc>
          <w:tcPr>
            <w:tcW w:w="213" w:type="pct"/>
            <w:vAlign w:val="center"/>
          </w:tcPr>
          <w:p w14:paraId="7A98E2E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5"/>
                <w:sz w:val="21"/>
                <w:szCs w:val="21"/>
              </w:rPr>
              <w:t>废水</w:t>
            </w:r>
            <w:r>
              <w:rPr>
                <w:rFonts w:hint="default" w:ascii="Times New Roman" w:hAnsi="Times New Roman" w:cs="Times New Roman"/>
                <w:color w:val="FF0000"/>
                <w:spacing w:val="2"/>
                <w:sz w:val="21"/>
                <w:szCs w:val="21"/>
              </w:rPr>
              <w:t>处理</w:t>
            </w:r>
          </w:p>
        </w:tc>
        <w:tc>
          <w:tcPr>
            <w:tcW w:w="2334" w:type="pct"/>
            <w:vAlign w:val="center"/>
          </w:tcPr>
          <w:p w14:paraId="357F476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9"/>
                <w:sz w:val="21"/>
                <w:szCs w:val="21"/>
              </w:rPr>
              <w:t>畜禽养殖场废水处理前应强化预处理，预处理包括格栅、</w:t>
            </w:r>
            <w:r>
              <w:rPr>
                <w:rFonts w:hint="eastAsia" w:ascii="Times New Roman" w:hAnsi="Times New Roman" w:eastAsia="宋体" w:cs="Times New Roman"/>
                <w:color w:val="FF0000"/>
                <w:spacing w:val="9"/>
                <w:sz w:val="21"/>
                <w:szCs w:val="21"/>
                <w:lang w:eastAsia="zh-CN"/>
              </w:rPr>
              <w:t>沉沙池</w:t>
            </w:r>
            <w:r>
              <w:rPr>
                <w:rFonts w:hint="default" w:ascii="Times New Roman" w:hAnsi="Times New Roman" w:cs="Times New Roman"/>
                <w:color w:val="FF0000"/>
                <w:spacing w:val="9"/>
                <w:sz w:val="21"/>
                <w:szCs w:val="21"/>
              </w:rPr>
              <w:t>、固液分离系统、水解酸化池等；</w:t>
            </w:r>
          </w:p>
        </w:tc>
        <w:tc>
          <w:tcPr>
            <w:tcW w:w="1930" w:type="pct"/>
            <w:vAlign w:val="center"/>
          </w:tcPr>
          <w:p w14:paraId="201B045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bCs/>
                <w:color w:val="auto"/>
                <w:sz w:val="21"/>
                <w:szCs w:val="21"/>
                <w:lang w:val="en-US" w:eastAsia="zh-CN"/>
              </w:rPr>
              <w:t>圈舍不进行清洗，无养殖废水产生；项目鸡舍粪便收集设施（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和清粪机）定期进行冲洗，鸡舍粪便收集设施（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和清粪机）冲洗废水收集后排入1座100m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lang w:val="en-US" w:eastAsia="zh-CN"/>
              </w:rPr>
              <w:t>废水收集池与生活污水发酵，还田。</w:t>
            </w:r>
          </w:p>
        </w:tc>
        <w:tc>
          <w:tcPr>
            <w:tcW w:w="299" w:type="pct"/>
            <w:tcBorders>
              <w:right w:val="single" w:color="000000" w:sz="10" w:space="0"/>
            </w:tcBorders>
            <w:vAlign w:val="center"/>
          </w:tcPr>
          <w:p w14:paraId="48BF905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4"/>
                <w:sz w:val="21"/>
                <w:szCs w:val="21"/>
              </w:rPr>
              <w:t>相符</w:t>
            </w:r>
          </w:p>
        </w:tc>
      </w:tr>
      <w:tr w14:paraId="0BAFB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2" w:hRule="atLeast"/>
        </w:trPr>
        <w:tc>
          <w:tcPr>
            <w:tcW w:w="221" w:type="pct"/>
            <w:tcBorders>
              <w:left w:val="single" w:color="000000" w:sz="10" w:space="0"/>
              <w:bottom w:val="single" w:color="000000" w:sz="10" w:space="0"/>
            </w:tcBorders>
            <w:vAlign w:val="center"/>
          </w:tcPr>
          <w:p w14:paraId="7D0A6E6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pacing w:val="1"/>
                <w:position w:val="1"/>
                <w:sz w:val="21"/>
                <w:szCs w:val="21"/>
              </w:rPr>
              <w:t>4</w:t>
            </w:r>
          </w:p>
        </w:tc>
        <w:tc>
          <w:tcPr>
            <w:tcW w:w="213" w:type="pct"/>
            <w:tcBorders>
              <w:bottom w:val="single" w:color="000000" w:sz="10" w:space="0"/>
            </w:tcBorders>
            <w:vAlign w:val="center"/>
          </w:tcPr>
          <w:p w14:paraId="37B2717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4"/>
                <w:sz w:val="21"/>
                <w:szCs w:val="21"/>
              </w:rPr>
              <w:t>恶臭</w:t>
            </w:r>
            <w:r>
              <w:rPr>
                <w:rFonts w:hint="default" w:ascii="Times New Roman" w:hAnsi="Times New Roman" w:cs="Times New Roman"/>
                <w:color w:val="FF0000"/>
                <w:spacing w:val="5"/>
                <w:sz w:val="21"/>
                <w:szCs w:val="21"/>
              </w:rPr>
              <w:t>控制</w:t>
            </w:r>
          </w:p>
        </w:tc>
        <w:tc>
          <w:tcPr>
            <w:tcW w:w="2334" w:type="pct"/>
            <w:tcBorders>
              <w:bottom w:val="single" w:color="000000" w:sz="10" w:space="0"/>
            </w:tcBorders>
            <w:vAlign w:val="center"/>
          </w:tcPr>
          <w:p w14:paraId="5467FA2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eastAsia="Times New Roman" w:cs="Times New Roman"/>
                <w:color w:val="FF0000"/>
                <w:spacing w:val="7"/>
                <w:sz w:val="21"/>
                <w:szCs w:val="21"/>
              </w:rPr>
              <w:t>1</w:t>
            </w:r>
            <w:r>
              <w:rPr>
                <w:rFonts w:hint="default" w:ascii="Times New Roman" w:hAnsi="Times New Roman" w:cs="Times New Roman"/>
                <w:color w:val="FF0000"/>
                <w:spacing w:val="7"/>
                <w:sz w:val="21"/>
                <w:szCs w:val="21"/>
              </w:rPr>
              <w:t>、养殖场区应通过控制饲养密度、加强舍内通风、采</w:t>
            </w:r>
            <w:r>
              <w:rPr>
                <w:rFonts w:hint="default" w:ascii="Times New Roman" w:hAnsi="Times New Roman" w:cs="Times New Roman"/>
                <w:color w:val="FF0000"/>
                <w:spacing w:val="9"/>
                <w:sz w:val="21"/>
                <w:szCs w:val="21"/>
              </w:rPr>
              <w:t>用节水型饮水器、及时清粪、绿化等措施抑制或</w:t>
            </w:r>
            <w:r>
              <w:rPr>
                <w:rFonts w:hint="default" w:ascii="Times New Roman" w:hAnsi="Times New Roman" w:cs="Times New Roman"/>
                <w:color w:val="FF0000"/>
                <w:spacing w:val="8"/>
                <w:sz w:val="21"/>
                <w:szCs w:val="21"/>
              </w:rPr>
              <w:t>减少臭</w:t>
            </w:r>
            <w:r>
              <w:rPr>
                <w:rFonts w:hint="default" w:ascii="Times New Roman" w:hAnsi="Times New Roman" w:cs="Times New Roman"/>
                <w:color w:val="FF0000"/>
                <w:spacing w:val="5"/>
                <w:sz w:val="21"/>
                <w:szCs w:val="21"/>
              </w:rPr>
              <w:t>气的产生。</w:t>
            </w:r>
            <w:r>
              <w:rPr>
                <w:rFonts w:hint="default" w:ascii="Times New Roman" w:hAnsi="Times New Roman" w:eastAsia="Times New Roman" w:cs="Times New Roman"/>
                <w:color w:val="FF0000"/>
                <w:spacing w:val="8"/>
                <w:sz w:val="21"/>
                <w:szCs w:val="21"/>
              </w:rPr>
              <w:t>2</w:t>
            </w:r>
            <w:r>
              <w:rPr>
                <w:rFonts w:hint="default" w:ascii="Times New Roman" w:hAnsi="Times New Roman" w:cs="Times New Roman"/>
                <w:color w:val="FF0000"/>
                <w:spacing w:val="8"/>
                <w:sz w:val="21"/>
                <w:szCs w:val="21"/>
              </w:rPr>
              <w:t>、粪污处理各工艺单元宜设计为密闭形式，减少恶臭</w:t>
            </w:r>
            <w:r>
              <w:rPr>
                <w:rFonts w:hint="default" w:ascii="Times New Roman" w:hAnsi="Times New Roman" w:cs="Times New Roman"/>
                <w:color w:val="FF0000"/>
                <w:spacing w:val="7"/>
                <w:sz w:val="21"/>
                <w:szCs w:val="21"/>
              </w:rPr>
              <w:t>对周围环境的污染。</w:t>
            </w:r>
            <w:r>
              <w:rPr>
                <w:rFonts w:hint="default" w:ascii="Times New Roman" w:hAnsi="Times New Roman" w:eastAsia="Times New Roman" w:cs="Times New Roman"/>
                <w:color w:val="FF0000"/>
                <w:spacing w:val="8"/>
                <w:sz w:val="21"/>
                <w:szCs w:val="21"/>
              </w:rPr>
              <w:t>3</w:t>
            </w:r>
            <w:r>
              <w:rPr>
                <w:rFonts w:hint="default" w:ascii="Times New Roman" w:hAnsi="Times New Roman" w:cs="Times New Roman"/>
                <w:color w:val="FF0000"/>
                <w:spacing w:val="8"/>
                <w:sz w:val="21"/>
                <w:szCs w:val="21"/>
              </w:rPr>
              <w:t>、畜禽养殖场恶臭污染物的排放浓度应符合</w:t>
            </w:r>
            <w:r>
              <w:rPr>
                <w:rFonts w:hint="default" w:ascii="Times New Roman" w:hAnsi="Times New Roman" w:eastAsia="Times New Roman" w:cs="Times New Roman"/>
                <w:color w:val="FF0000"/>
                <w:sz w:val="21"/>
                <w:szCs w:val="21"/>
              </w:rPr>
              <w:t>GB</w:t>
            </w:r>
            <w:r>
              <w:rPr>
                <w:rFonts w:hint="default" w:ascii="Times New Roman" w:hAnsi="Times New Roman" w:eastAsia="Times New Roman" w:cs="Times New Roman"/>
                <w:color w:val="FF0000"/>
                <w:spacing w:val="4"/>
                <w:sz w:val="21"/>
                <w:szCs w:val="21"/>
              </w:rPr>
              <w:t>18596-2001</w:t>
            </w:r>
            <w:r>
              <w:rPr>
                <w:rFonts w:hint="default" w:ascii="Times New Roman" w:hAnsi="Times New Roman" w:cs="Times New Roman"/>
                <w:color w:val="FF0000"/>
                <w:spacing w:val="4"/>
                <w:sz w:val="21"/>
                <w:szCs w:val="21"/>
              </w:rPr>
              <w:t>的规定。</w:t>
            </w:r>
          </w:p>
        </w:tc>
        <w:tc>
          <w:tcPr>
            <w:tcW w:w="1930" w:type="pct"/>
            <w:tcBorders>
              <w:bottom w:val="single" w:color="000000" w:sz="10" w:space="0"/>
            </w:tcBorders>
            <w:vAlign w:val="center"/>
          </w:tcPr>
          <w:p w14:paraId="5C7ABF2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eastAsia="Times New Roman" w:cs="Times New Roman"/>
                <w:color w:val="FF0000"/>
                <w:spacing w:val="8"/>
                <w:sz w:val="21"/>
                <w:szCs w:val="21"/>
              </w:rPr>
              <w:t>1</w:t>
            </w:r>
            <w:r>
              <w:rPr>
                <w:rFonts w:hint="default" w:ascii="Times New Roman" w:hAnsi="Times New Roman" w:cs="Times New Roman"/>
                <w:color w:val="FF0000"/>
                <w:spacing w:val="8"/>
                <w:sz w:val="21"/>
                <w:szCs w:val="21"/>
              </w:rPr>
              <w:t>、项目通过采取控制饲养密度、利用节能风机加强舍内通风、</w:t>
            </w:r>
            <w:r>
              <w:rPr>
                <w:rFonts w:hint="default" w:ascii="Times New Roman" w:hAnsi="Times New Roman" w:cs="Times New Roman"/>
                <w:color w:val="FF0000"/>
                <w:spacing w:val="9"/>
                <w:sz w:val="21"/>
                <w:szCs w:val="21"/>
              </w:rPr>
              <w:t>采用节水型饮水器、及时清粪、绿化、喷洒除臭剂等措施抑制或</w:t>
            </w:r>
            <w:r>
              <w:rPr>
                <w:rFonts w:hint="default" w:ascii="Times New Roman" w:hAnsi="Times New Roman" w:cs="Times New Roman"/>
                <w:color w:val="FF0000"/>
                <w:spacing w:val="7"/>
                <w:sz w:val="21"/>
                <w:szCs w:val="21"/>
              </w:rPr>
              <w:t>减少臭气的产生；</w:t>
            </w:r>
            <w:r>
              <w:rPr>
                <w:rFonts w:hint="default" w:ascii="Times New Roman" w:hAnsi="Times New Roman" w:eastAsia="Times New Roman" w:cs="Times New Roman"/>
                <w:color w:val="FF0000"/>
                <w:spacing w:val="8"/>
                <w:sz w:val="21"/>
                <w:szCs w:val="21"/>
              </w:rPr>
              <w:t>2</w:t>
            </w:r>
            <w:r>
              <w:rPr>
                <w:rFonts w:hint="default" w:ascii="Times New Roman" w:hAnsi="Times New Roman" w:cs="Times New Roman"/>
                <w:color w:val="FF0000"/>
                <w:spacing w:val="8"/>
                <w:sz w:val="21"/>
                <w:szCs w:val="21"/>
              </w:rPr>
              <w:t>、本项目鸡粪日产日清，每天由传送带直接运输至</w:t>
            </w:r>
            <w:r>
              <w:rPr>
                <w:rFonts w:hint="default" w:ascii="Times New Roman" w:hAnsi="Times New Roman" w:eastAsia="宋体" w:cs="Times New Roman"/>
                <w:color w:val="FF0000"/>
                <w:spacing w:val="8"/>
                <w:sz w:val="21"/>
                <w:szCs w:val="21"/>
                <w:lang w:val="en-US" w:eastAsia="zh-CN"/>
              </w:rPr>
              <w:t>堆粪场发酵处理</w:t>
            </w:r>
            <w:r>
              <w:rPr>
                <w:rFonts w:hint="default" w:ascii="Times New Roman" w:hAnsi="Times New Roman" w:cs="Times New Roman"/>
                <w:color w:val="FF0000"/>
                <w:spacing w:val="9"/>
                <w:sz w:val="21"/>
                <w:szCs w:val="21"/>
              </w:rPr>
              <w:t>。污水处理系统收集池等区域采取加盖全封闭，定期喷洒除臭剂控制；污水处理系统收集池恶臭气体通过采取收集池等区域采取加盖全封闭，</w:t>
            </w:r>
            <w:r>
              <w:rPr>
                <w:rFonts w:hint="default" w:ascii="Times New Roman" w:hAnsi="Times New Roman" w:eastAsia="宋体" w:cs="Times New Roman"/>
                <w:color w:val="FF0000"/>
                <w:spacing w:val="9"/>
                <w:sz w:val="21"/>
                <w:szCs w:val="21"/>
                <w:lang w:val="en-US" w:eastAsia="zh-CN"/>
              </w:rPr>
              <w:t>堆粪场</w:t>
            </w:r>
            <w:r>
              <w:rPr>
                <w:rFonts w:hint="default" w:ascii="Times New Roman" w:hAnsi="Times New Roman" w:cs="Times New Roman"/>
                <w:color w:val="FF0000"/>
                <w:spacing w:val="3"/>
                <w:sz w:val="21"/>
                <w:szCs w:val="21"/>
              </w:rPr>
              <w:t>废气经负压收集后经</w:t>
            </w:r>
            <w:r>
              <w:rPr>
                <w:rFonts w:hint="default" w:ascii="Times New Roman" w:hAnsi="Times New Roman" w:eastAsia="Times New Roman" w:cs="Times New Roman"/>
                <w:color w:val="FF0000"/>
                <w:spacing w:val="3"/>
                <w:sz w:val="21"/>
                <w:szCs w:val="21"/>
              </w:rPr>
              <w:t>1</w:t>
            </w:r>
            <w:r>
              <w:rPr>
                <w:rFonts w:hint="default" w:ascii="Times New Roman" w:hAnsi="Times New Roman" w:cs="Times New Roman"/>
                <w:color w:val="FF0000"/>
                <w:spacing w:val="3"/>
                <w:sz w:val="21"/>
                <w:szCs w:val="21"/>
              </w:rPr>
              <w:t>套生物除臭装置处理后，</w:t>
            </w:r>
            <w:r>
              <w:rPr>
                <w:rFonts w:hint="default" w:ascii="Times New Roman" w:hAnsi="Times New Roman" w:cs="Times New Roman"/>
                <w:color w:val="FF0000"/>
                <w:spacing w:val="5"/>
                <w:sz w:val="21"/>
                <w:szCs w:val="21"/>
              </w:rPr>
              <w:t>经</w:t>
            </w:r>
            <w:r>
              <w:rPr>
                <w:rFonts w:hint="default" w:ascii="Times New Roman" w:hAnsi="Times New Roman" w:eastAsia="Times New Roman" w:cs="Times New Roman"/>
                <w:color w:val="FF0000"/>
                <w:spacing w:val="5"/>
                <w:sz w:val="21"/>
                <w:szCs w:val="21"/>
              </w:rPr>
              <w:t>1</w:t>
            </w:r>
            <w:r>
              <w:rPr>
                <w:rFonts w:hint="default" w:ascii="Times New Roman" w:hAnsi="Times New Roman" w:cs="Times New Roman"/>
                <w:color w:val="FF0000"/>
                <w:spacing w:val="5"/>
                <w:sz w:val="21"/>
                <w:szCs w:val="21"/>
              </w:rPr>
              <w:t>根</w:t>
            </w:r>
            <w:r>
              <w:rPr>
                <w:rFonts w:hint="default" w:ascii="Times New Roman" w:hAnsi="Times New Roman" w:eastAsia="Times New Roman" w:cs="Times New Roman"/>
                <w:color w:val="FF0000"/>
                <w:spacing w:val="5"/>
                <w:sz w:val="21"/>
                <w:szCs w:val="21"/>
              </w:rPr>
              <w:t>15m</w:t>
            </w:r>
            <w:r>
              <w:rPr>
                <w:rFonts w:hint="default" w:ascii="Times New Roman" w:hAnsi="Times New Roman" w:cs="Times New Roman"/>
                <w:color w:val="FF0000"/>
                <w:spacing w:val="5"/>
                <w:sz w:val="21"/>
                <w:szCs w:val="21"/>
              </w:rPr>
              <w:t>高排气筒（</w:t>
            </w:r>
            <w:r>
              <w:rPr>
                <w:rFonts w:hint="default" w:ascii="Times New Roman" w:hAnsi="Times New Roman" w:eastAsia="Times New Roman" w:cs="Times New Roman"/>
                <w:color w:val="FF0000"/>
                <w:sz w:val="21"/>
                <w:szCs w:val="21"/>
              </w:rPr>
              <w:t>DA</w:t>
            </w:r>
            <w:r>
              <w:rPr>
                <w:rFonts w:hint="default" w:ascii="Times New Roman" w:hAnsi="Times New Roman" w:eastAsia="Times New Roman" w:cs="Times New Roman"/>
                <w:color w:val="FF0000"/>
                <w:spacing w:val="5"/>
                <w:sz w:val="21"/>
                <w:szCs w:val="21"/>
              </w:rPr>
              <w:t>00</w:t>
            </w:r>
            <w:r>
              <w:rPr>
                <w:rFonts w:hint="default" w:ascii="Times New Roman" w:hAnsi="Times New Roman" w:eastAsia="宋体" w:cs="Times New Roman"/>
                <w:color w:val="FF0000"/>
                <w:spacing w:val="5"/>
                <w:sz w:val="21"/>
                <w:szCs w:val="21"/>
                <w:lang w:val="en-US" w:eastAsia="zh-CN"/>
              </w:rPr>
              <w:t>2</w:t>
            </w:r>
            <w:r>
              <w:rPr>
                <w:rFonts w:hint="default" w:ascii="Times New Roman" w:hAnsi="Times New Roman" w:cs="Times New Roman"/>
                <w:color w:val="FF0000"/>
                <w:spacing w:val="5"/>
                <w:sz w:val="21"/>
                <w:szCs w:val="21"/>
              </w:rPr>
              <w:t>）排放，储粪时喷洒除臭剂，同时</w:t>
            </w:r>
            <w:r>
              <w:rPr>
                <w:rFonts w:hint="default" w:ascii="Times New Roman" w:hAnsi="Times New Roman" w:cs="Times New Roman"/>
                <w:color w:val="FF0000"/>
                <w:spacing w:val="9"/>
                <w:sz w:val="21"/>
                <w:szCs w:val="21"/>
              </w:rPr>
              <w:t>加强场区内绿化管理，可以减少恶臭对周围环境的污染；</w:t>
            </w:r>
          </w:p>
        </w:tc>
        <w:tc>
          <w:tcPr>
            <w:tcW w:w="299" w:type="pct"/>
            <w:tcBorders>
              <w:bottom w:val="single" w:color="000000" w:sz="10" w:space="0"/>
              <w:right w:val="single" w:color="000000" w:sz="10" w:space="0"/>
            </w:tcBorders>
            <w:vAlign w:val="center"/>
          </w:tcPr>
          <w:p w14:paraId="79CF3E1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4"/>
                <w:sz w:val="21"/>
                <w:szCs w:val="21"/>
              </w:rPr>
              <w:t>相符</w:t>
            </w:r>
          </w:p>
        </w:tc>
      </w:tr>
    </w:tbl>
    <w:p w14:paraId="782C7687">
      <w:pPr>
        <w:pStyle w:val="5"/>
        <w:bidi w:val="0"/>
        <w:rPr>
          <w:rFonts w:hint="default" w:ascii="Times New Roman" w:hAnsi="Times New Roman" w:cs="Times New Roman"/>
          <w:color w:val="FF0000"/>
        </w:rPr>
      </w:pPr>
      <w:r>
        <w:rPr>
          <w:rFonts w:hint="default" w:ascii="Times New Roman" w:hAnsi="Times New Roman" w:cs="Times New Roman"/>
          <w:color w:val="FF0000"/>
        </w:rPr>
        <w:t>与《畜禽养殖场（小区）环境守法导则》（环办【2011】89 号）相符性分析</w:t>
      </w:r>
    </w:p>
    <w:p w14:paraId="602C5F5C">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position w:val="2"/>
          <w:sz w:val="24"/>
          <w:szCs w:val="24"/>
        </w:rPr>
        <w:t>本项目与《畜禽养殖场（小区）环境守法导</w:t>
      </w:r>
      <w:r>
        <w:rPr>
          <w:rFonts w:hint="default" w:ascii="Times New Roman" w:hAnsi="Times New Roman" w:eastAsia="宋体" w:cs="Times New Roman"/>
          <w:color w:val="FF0000"/>
          <w:spacing w:val="-1"/>
          <w:position w:val="2"/>
          <w:sz w:val="24"/>
          <w:szCs w:val="24"/>
        </w:rPr>
        <w:t>则》（环办【</w:t>
      </w:r>
      <w:r>
        <w:rPr>
          <w:rFonts w:hint="default" w:ascii="Times New Roman" w:hAnsi="Times New Roman" w:eastAsia="Times New Roman" w:cs="Times New Roman"/>
          <w:color w:val="FF0000"/>
          <w:spacing w:val="-1"/>
          <w:position w:val="2"/>
          <w:sz w:val="24"/>
          <w:szCs w:val="24"/>
        </w:rPr>
        <w:t>2011</w:t>
      </w:r>
      <w:r>
        <w:rPr>
          <w:rFonts w:hint="default" w:ascii="Times New Roman" w:hAnsi="Times New Roman" w:eastAsia="宋体" w:cs="Times New Roman"/>
          <w:color w:val="FF0000"/>
          <w:spacing w:val="-1"/>
          <w:position w:val="2"/>
          <w:sz w:val="24"/>
          <w:szCs w:val="24"/>
        </w:rPr>
        <w:t>】</w:t>
      </w:r>
      <w:r>
        <w:rPr>
          <w:rFonts w:hint="default" w:ascii="Times New Roman" w:hAnsi="Times New Roman" w:eastAsia="Times New Roman" w:cs="Times New Roman"/>
          <w:color w:val="FF0000"/>
          <w:spacing w:val="-1"/>
          <w:position w:val="2"/>
          <w:sz w:val="24"/>
          <w:szCs w:val="24"/>
        </w:rPr>
        <w:t>89</w:t>
      </w:r>
      <w:r>
        <w:rPr>
          <w:rFonts w:hint="default" w:ascii="Times New Roman" w:hAnsi="Times New Roman" w:eastAsia="Times New Roman" w:cs="Times New Roman"/>
          <w:color w:val="FF0000"/>
          <w:spacing w:val="15"/>
          <w:w w:val="101"/>
          <w:position w:val="2"/>
          <w:sz w:val="24"/>
          <w:szCs w:val="24"/>
        </w:rPr>
        <w:t xml:space="preserve"> </w:t>
      </w:r>
      <w:r>
        <w:rPr>
          <w:rFonts w:hint="default" w:ascii="Times New Roman" w:hAnsi="Times New Roman" w:eastAsia="宋体" w:cs="Times New Roman"/>
          <w:color w:val="FF0000"/>
          <w:spacing w:val="-1"/>
          <w:position w:val="2"/>
          <w:sz w:val="24"/>
          <w:szCs w:val="24"/>
        </w:rPr>
        <w:t>号）相符性分析一览表见下表：</w:t>
      </w:r>
    </w:p>
    <w:p w14:paraId="01FC8C7C">
      <w:pPr>
        <w:pStyle w:val="14"/>
        <w:bidi w:val="0"/>
        <w:rPr>
          <w:rFonts w:hint="default" w:ascii="Times New Roman" w:hAnsi="Times New Roman" w:cs="Times New Roman"/>
          <w:color w:val="FF0000"/>
          <w:lang w:val="en-US" w:eastAsia="zh-CN"/>
        </w:rPr>
      </w:pPr>
      <w:r>
        <w:rPr>
          <w:rFonts w:hint="default" w:ascii="Times New Roman" w:hAnsi="Times New Roman" w:cs="Times New Roman"/>
          <w:color w:val="FF0000"/>
        </w:rPr>
        <w:t xml:space="preserve">表 </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1.4</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w:t>
      </w:r>
      <w:r>
        <w:rPr>
          <w:rFonts w:hint="default" w:ascii="Times New Roman" w:hAnsi="Times New Roman" w:cs="Times New Roman"/>
          <w:color w:val="FF0000"/>
        </w:rPr>
        <w:fldChar w:fldCharType="end"/>
      </w:r>
      <w:r>
        <w:rPr>
          <w:rFonts w:hint="default" w:ascii="Times New Roman" w:hAnsi="Times New Roman" w:cs="Times New Roman"/>
          <w:color w:val="FF0000"/>
        </w:rPr>
        <w:t>本项目与《畜禽养殖场（小区）环境守法导则》（环办【2011】89 号）相符性分析一览表</w:t>
      </w:r>
    </w:p>
    <w:tbl>
      <w:tblPr>
        <w:tblStyle w:val="76"/>
        <w:tblW w:w="524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18"/>
        <w:gridCol w:w="392"/>
        <w:gridCol w:w="4171"/>
        <w:gridCol w:w="3040"/>
        <w:gridCol w:w="425"/>
      </w:tblGrid>
      <w:tr w14:paraId="79259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10" w:type="pct"/>
            <w:tcBorders>
              <w:top w:val="single" w:color="000000" w:sz="10" w:space="0"/>
              <w:left w:val="single" w:color="000000" w:sz="10" w:space="0"/>
            </w:tcBorders>
            <w:vAlign w:val="center"/>
          </w:tcPr>
          <w:p w14:paraId="38A92A8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b/>
                <w:bCs/>
                <w:color w:val="FF0000"/>
                <w:spacing w:val="3"/>
              </w:rPr>
              <w:t>类别</w:t>
            </w:r>
          </w:p>
        </w:tc>
        <w:tc>
          <w:tcPr>
            <w:tcW w:w="2607" w:type="pct"/>
            <w:gridSpan w:val="2"/>
            <w:tcBorders>
              <w:top w:val="single" w:color="000000" w:sz="10" w:space="0"/>
            </w:tcBorders>
            <w:vAlign w:val="center"/>
          </w:tcPr>
          <w:p w14:paraId="12A81A8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b/>
                <w:bCs/>
                <w:color w:val="FF0000"/>
                <w:spacing w:val="5"/>
              </w:rPr>
              <w:t>（环办</w:t>
            </w:r>
            <w:r>
              <w:rPr>
                <w:rFonts w:hint="default" w:ascii="Times New Roman" w:hAnsi="Times New Roman" w:eastAsia="宋体" w:cs="Times New Roman"/>
                <w:b/>
                <w:bCs/>
                <w:color w:val="FF0000"/>
                <w:spacing w:val="5"/>
                <w:lang w:eastAsia="zh-CN"/>
              </w:rPr>
              <w:t>〔</w:t>
            </w:r>
            <w:r>
              <w:rPr>
                <w:rFonts w:hint="default" w:ascii="Times New Roman" w:hAnsi="Times New Roman" w:eastAsia="Times New Roman" w:cs="Times New Roman"/>
                <w:b/>
                <w:bCs/>
                <w:color w:val="FF0000"/>
                <w:spacing w:val="5"/>
              </w:rPr>
              <w:t>2011</w:t>
            </w:r>
            <w:r>
              <w:rPr>
                <w:rFonts w:hint="default" w:ascii="Times New Roman" w:hAnsi="Times New Roman" w:eastAsia="宋体" w:cs="Times New Roman"/>
                <w:b/>
                <w:bCs/>
                <w:color w:val="FF0000"/>
                <w:spacing w:val="5"/>
                <w:lang w:eastAsia="zh-CN"/>
              </w:rPr>
              <w:t>〕</w:t>
            </w:r>
            <w:r>
              <w:rPr>
                <w:rFonts w:hint="default" w:ascii="Times New Roman" w:hAnsi="Times New Roman" w:eastAsia="Times New Roman" w:cs="Times New Roman"/>
                <w:b/>
                <w:bCs/>
                <w:color w:val="FF0000"/>
                <w:spacing w:val="5"/>
              </w:rPr>
              <w:t>89</w:t>
            </w:r>
            <w:r>
              <w:rPr>
                <w:rFonts w:hint="default" w:ascii="Times New Roman" w:hAnsi="Times New Roman" w:cs="Times New Roman"/>
                <w:b/>
                <w:bCs/>
                <w:color w:val="FF0000"/>
                <w:spacing w:val="5"/>
              </w:rPr>
              <w:t>号）对本项目要求</w:t>
            </w:r>
          </w:p>
        </w:tc>
        <w:tc>
          <w:tcPr>
            <w:tcW w:w="1737" w:type="pct"/>
            <w:tcBorders>
              <w:top w:val="single" w:color="000000" w:sz="10" w:space="0"/>
            </w:tcBorders>
            <w:vAlign w:val="center"/>
          </w:tcPr>
          <w:p w14:paraId="242DEBD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b/>
                <w:bCs/>
                <w:color w:val="FF0000"/>
                <w:spacing w:val="7"/>
              </w:rPr>
              <w:t>本项目建设情况</w:t>
            </w:r>
          </w:p>
        </w:tc>
        <w:tc>
          <w:tcPr>
            <w:tcW w:w="243" w:type="pct"/>
            <w:tcBorders>
              <w:top w:val="single" w:color="000000" w:sz="10" w:space="0"/>
              <w:right w:val="single" w:color="000000" w:sz="10" w:space="0"/>
            </w:tcBorders>
            <w:vAlign w:val="center"/>
          </w:tcPr>
          <w:p w14:paraId="48340AC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b/>
                <w:bCs/>
                <w:color w:val="FF0000"/>
                <w:spacing w:val="5"/>
              </w:rPr>
              <w:t>相符性</w:t>
            </w:r>
          </w:p>
        </w:tc>
      </w:tr>
      <w:tr w14:paraId="63435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410" w:type="pct"/>
            <w:vMerge w:val="restart"/>
            <w:tcBorders>
              <w:left w:val="single" w:color="000000" w:sz="10" w:space="0"/>
              <w:bottom w:val="nil"/>
            </w:tcBorders>
            <w:vAlign w:val="center"/>
          </w:tcPr>
          <w:p w14:paraId="2F4BE78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eastAsia="Times New Roman" w:cs="Times New Roman"/>
                <w:color w:val="FF0000"/>
                <w:spacing w:val="-10"/>
              </w:rPr>
              <w:t>6</w:t>
            </w:r>
            <w:r>
              <w:rPr>
                <w:rFonts w:hint="default" w:ascii="Times New Roman" w:hAnsi="Times New Roman" w:cs="Times New Roman"/>
                <w:color w:val="FF0000"/>
                <w:spacing w:val="-10"/>
              </w:rPr>
              <w:t>、畜禽</w:t>
            </w:r>
            <w:r>
              <w:rPr>
                <w:rFonts w:hint="default" w:ascii="Times New Roman" w:hAnsi="Times New Roman" w:cs="Times New Roman"/>
                <w:color w:val="FF0000"/>
                <w:spacing w:val="6"/>
              </w:rPr>
              <w:t>养殖场</w:t>
            </w:r>
            <w:r>
              <w:rPr>
                <w:rFonts w:hint="default" w:ascii="Times New Roman" w:hAnsi="Times New Roman" w:cs="Times New Roman"/>
                <w:color w:val="FF0000"/>
                <w:spacing w:val="43"/>
                <w:w w:val="107"/>
              </w:rPr>
              <w:t>（小</w:t>
            </w:r>
            <w:r>
              <w:rPr>
                <w:rFonts w:hint="default" w:ascii="Times New Roman" w:hAnsi="Times New Roman" w:cs="Times New Roman"/>
                <w:color w:val="FF0000"/>
                <w:spacing w:val="6"/>
              </w:rPr>
              <w:t>区）选</w:t>
            </w:r>
            <w:r>
              <w:rPr>
                <w:rFonts w:hint="default" w:ascii="Times New Roman" w:hAnsi="Times New Roman" w:cs="Times New Roman"/>
                <w:color w:val="FF0000"/>
              </w:rPr>
              <w:t>址</w:t>
            </w:r>
          </w:p>
        </w:tc>
        <w:tc>
          <w:tcPr>
            <w:tcW w:w="2607" w:type="pct"/>
            <w:gridSpan w:val="2"/>
            <w:vAlign w:val="center"/>
          </w:tcPr>
          <w:p w14:paraId="344E0A7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6"/>
              </w:rPr>
              <w:t>畜禽养殖场（小区）的建设应坚持农牧结合、种养平衡的原则，根据本场区土</w:t>
            </w:r>
            <w:r>
              <w:rPr>
                <w:rFonts w:hint="default" w:ascii="Times New Roman" w:hAnsi="Times New Roman" w:cs="Times New Roman"/>
                <w:color w:val="FF0000"/>
                <w:spacing w:val="7"/>
              </w:rPr>
              <w:t>地（包括与其他法人签约承诺消纳本场区产生粪</w:t>
            </w:r>
            <w:r>
              <w:rPr>
                <w:rFonts w:hint="default" w:ascii="Times New Roman" w:hAnsi="Times New Roman" w:cs="Times New Roman"/>
                <w:color w:val="FF0000"/>
                <w:spacing w:val="6"/>
              </w:rPr>
              <w:t>便污水的土地）对畜禽粪便的</w:t>
            </w:r>
            <w:r>
              <w:rPr>
                <w:rFonts w:hint="default" w:ascii="Times New Roman" w:hAnsi="Times New Roman" w:cs="Times New Roman"/>
                <w:color w:val="FF0000"/>
                <w:spacing w:val="7"/>
              </w:rPr>
              <w:t>消纳能力，确定新建畜禽养殖场的养殖规模，对</w:t>
            </w:r>
            <w:r>
              <w:rPr>
                <w:rFonts w:hint="default" w:ascii="Times New Roman" w:hAnsi="Times New Roman" w:cs="Times New Roman"/>
                <w:color w:val="FF0000"/>
                <w:spacing w:val="6"/>
              </w:rPr>
              <w:t>于无相应消纳土地的养殖场必</w:t>
            </w:r>
            <w:r>
              <w:rPr>
                <w:rFonts w:hint="default" w:ascii="Times New Roman" w:hAnsi="Times New Roman" w:cs="Times New Roman"/>
                <w:color w:val="FF0000"/>
                <w:spacing w:val="9"/>
              </w:rPr>
              <w:t>须配套建立具有相应加工处理能力的粪便污水处理设施或处理（置）机制。</w:t>
            </w:r>
          </w:p>
        </w:tc>
        <w:tc>
          <w:tcPr>
            <w:tcW w:w="1737" w:type="pct"/>
            <w:vAlign w:val="center"/>
          </w:tcPr>
          <w:p w14:paraId="070FDAD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11"/>
              </w:rPr>
              <w:t>本项目建设坚持农牧结合、种养平衡的原则，粪便外</w:t>
            </w:r>
            <w:r>
              <w:rPr>
                <w:rFonts w:hint="default" w:ascii="Times New Roman" w:hAnsi="Times New Roman" w:cs="Times New Roman"/>
                <w:color w:val="FF0000"/>
                <w:spacing w:val="9"/>
              </w:rPr>
              <w:t>售做有机肥，可以确保粪污资源化利用有效实施。</w:t>
            </w:r>
          </w:p>
        </w:tc>
        <w:tc>
          <w:tcPr>
            <w:tcW w:w="243" w:type="pct"/>
            <w:tcBorders>
              <w:right w:val="single" w:color="000000" w:sz="10" w:space="0"/>
            </w:tcBorders>
            <w:vAlign w:val="center"/>
          </w:tcPr>
          <w:p w14:paraId="1D7F48E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5872F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10" w:type="pct"/>
            <w:vMerge w:val="continue"/>
            <w:tcBorders>
              <w:top w:val="nil"/>
              <w:left w:val="single" w:color="000000" w:sz="10" w:space="0"/>
              <w:bottom w:val="nil"/>
            </w:tcBorders>
            <w:vAlign w:val="center"/>
          </w:tcPr>
          <w:p w14:paraId="24476D0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607" w:type="pct"/>
            <w:gridSpan w:val="2"/>
            <w:vAlign w:val="center"/>
          </w:tcPr>
          <w:p w14:paraId="691A62E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5"/>
              </w:rPr>
              <w:t>畜禽养殖场（小区）的设置应符合区域污染物排放总量控制要求，其</w:t>
            </w:r>
            <w:r>
              <w:rPr>
                <w:rFonts w:hint="default" w:ascii="Times New Roman" w:hAnsi="Times New Roman" w:cs="Times New Roman"/>
                <w:color w:val="FF0000"/>
                <w:spacing w:val="4"/>
              </w:rPr>
              <w:t>选址要符</w:t>
            </w:r>
            <w:r>
              <w:rPr>
                <w:rFonts w:hint="default" w:ascii="Times New Roman" w:hAnsi="Times New Roman" w:cs="Times New Roman"/>
                <w:color w:val="FF0000"/>
                <w:spacing w:val="7"/>
              </w:rPr>
              <w:t>合国家有关规定和地方总体规划；不得在生活饮用水源保护区、风景名胜区、</w:t>
            </w:r>
            <w:r>
              <w:rPr>
                <w:rFonts w:hint="default" w:ascii="Times New Roman" w:hAnsi="Times New Roman" w:cs="Times New Roman"/>
                <w:color w:val="FF0000"/>
                <w:spacing w:val="5"/>
              </w:rPr>
              <w:t>自然保护区的核心区及缓冲区，城市和</w:t>
            </w:r>
            <w:r>
              <w:rPr>
                <w:rFonts w:hint="default" w:ascii="Times New Roman" w:hAnsi="Times New Roman" w:eastAsia="宋体" w:cs="Times New Roman"/>
                <w:color w:val="FF0000"/>
                <w:spacing w:val="5"/>
                <w:lang w:eastAsia="zh-CN"/>
              </w:rPr>
              <w:t>城镇</w:t>
            </w:r>
            <w:r>
              <w:rPr>
                <w:rFonts w:hint="default" w:ascii="Times New Roman" w:hAnsi="Times New Roman" w:cs="Times New Roman"/>
                <w:color w:val="FF0000"/>
                <w:spacing w:val="5"/>
              </w:rPr>
              <w:t>居民区、文教科研区、医疗区等人口集中区域，各级人民政府依法划定的禁养区域，国家或地方</w:t>
            </w:r>
            <w:r>
              <w:rPr>
                <w:rFonts w:hint="default" w:ascii="Times New Roman" w:hAnsi="Times New Roman" w:eastAsia="宋体" w:cs="Times New Roman"/>
                <w:color w:val="FF0000"/>
                <w:spacing w:val="5"/>
                <w:lang w:eastAsia="zh-CN"/>
              </w:rPr>
              <w:t>法律法规</w:t>
            </w:r>
            <w:r>
              <w:rPr>
                <w:rFonts w:hint="default" w:ascii="Times New Roman" w:hAnsi="Times New Roman" w:cs="Times New Roman"/>
                <w:color w:val="FF0000"/>
                <w:spacing w:val="5"/>
              </w:rPr>
              <w:t>规定需特殊保护的其他区域内建设养殖场；禁养区外养殖场要保证与居民点、水</w:t>
            </w:r>
            <w:r>
              <w:rPr>
                <w:rFonts w:hint="default" w:ascii="Times New Roman" w:hAnsi="Times New Roman" w:cs="Times New Roman"/>
                <w:color w:val="FF0000"/>
                <w:spacing w:val="1"/>
              </w:rPr>
              <w:t>源、旅游景点有一定的保护距离；尽可能远离城市、工矿区和人口密集的地方；</w:t>
            </w:r>
            <w:r>
              <w:rPr>
                <w:rFonts w:hint="default" w:ascii="Times New Roman" w:hAnsi="Times New Roman" w:cs="Times New Roman"/>
                <w:color w:val="FF0000"/>
                <w:spacing w:val="6"/>
              </w:rPr>
              <w:t>尽可能靠近农业种植区。</w:t>
            </w:r>
          </w:p>
        </w:tc>
        <w:tc>
          <w:tcPr>
            <w:tcW w:w="1737" w:type="pct"/>
            <w:vAlign w:val="center"/>
          </w:tcPr>
          <w:p w14:paraId="3EC2910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9"/>
              </w:rPr>
              <w:t>本项目的设置符合区域污染物排放总量控制</w:t>
            </w:r>
            <w:r>
              <w:rPr>
                <w:rFonts w:hint="default" w:ascii="Times New Roman" w:hAnsi="Times New Roman" w:cs="Times New Roman"/>
                <w:color w:val="FF0000"/>
                <w:spacing w:val="8"/>
              </w:rPr>
              <w:t>要求，</w:t>
            </w:r>
            <w:r>
              <w:rPr>
                <w:rFonts w:hint="default" w:ascii="Times New Roman" w:hAnsi="Times New Roman" w:cs="Times New Roman"/>
                <w:color w:val="FF0000"/>
                <w:spacing w:val="27"/>
              </w:rPr>
              <w:t>选址也符合《畜禽养殖业污染防治技术规范》</w:t>
            </w:r>
            <w:r>
              <w:rPr>
                <w:rFonts w:hint="default" w:ascii="Times New Roman" w:hAnsi="Times New Roman" w:cs="Times New Roman"/>
                <w:color w:val="FF0000"/>
                <w:spacing w:val="-10"/>
              </w:rPr>
              <w:t>（</w:t>
            </w:r>
            <w:r>
              <w:rPr>
                <w:rFonts w:hint="default" w:ascii="Times New Roman" w:hAnsi="Times New Roman" w:eastAsia="Times New Roman" w:cs="Times New Roman"/>
                <w:color w:val="FF0000"/>
                <w:spacing w:val="-10"/>
              </w:rPr>
              <w:t>HJ/T81-2001</w:t>
            </w:r>
            <w:r>
              <w:rPr>
                <w:rFonts w:hint="default" w:ascii="Times New Roman" w:hAnsi="Times New Roman" w:cs="Times New Roman"/>
                <w:color w:val="FF0000"/>
                <w:spacing w:val="-10"/>
              </w:rPr>
              <w:t>）、《畜禽养殖污染防治管理办法》（国</w:t>
            </w:r>
            <w:r>
              <w:rPr>
                <w:rFonts w:hint="default" w:ascii="Times New Roman" w:hAnsi="Times New Roman" w:cs="Times New Roman"/>
                <w:color w:val="FF0000"/>
                <w:spacing w:val="9"/>
              </w:rPr>
              <w:t>家环境保护总局令第</w:t>
            </w:r>
            <w:r>
              <w:rPr>
                <w:rFonts w:hint="default" w:ascii="Times New Roman" w:hAnsi="Times New Roman" w:eastAsia="Times New Roman" w:cs="Times New Roman"/>
                <w:color w:val="FF0000"/>
                <w:spacing w:val="9"/>
              </w:rPr>
              <w:t>9</w:t>
            </w:r>
            <w:r>
              <w:rPr>
                <w:rFonts w:hint="default" w:ascii="Times New Roman" w:hAnsi="Times New Roman" w:cs="Times New Roman"/>
                <w:color w:val="FF0000"/>
                <w:spacing w:val="9"/>
              </w:rPr>
              <w:t>号，</w:t>
            </w:r>
            <w:r>
              <w:rPr>
                <w:rFonts w:hint="default" w:ascii="Times New Roman" w:hAnsi="Times New Roman" w:eastAsia="Times New Roman" w:cs="Times New Roman"/>
                <w:color w:val="FF0000"/>
                <w:spacing w:val="9"/>
              </w:rPr>
              <w:t>2001</w:t>
            </w:r>
            <w:r>
              <w:rPr>
                <w:rFonts w:hint="default" w:ascii="Times New Roman" w:hAnsi="Times New Roman" w:cs="Times New Roman"/>
                <w:color w:val="FF0000"/>
                <w:spacing w:val="9"/>
              </w:rPr>
              <w:t>年）及</w:t>
            </w:r>
            <w:r>
              <w:rPr>
                <w:rFonts w:hint="default" w:ascii="Times New Roman" w:hAnsi="Times New Roman" w:cs="Times New Roman"/>
                <w:color w:val="FF0000"/>
                <w:spacing w:val="8"/>
              </w:rPr>
              <w:t>《畜禽规模</w:t>
            </w:r>
            <w:r>
              <w:rPr>
                <w:rFonts w:hint="default" w:ascii="Times New Roman" w:hAnsi="Times New Roman" w:cs="Times New Roman"/>
                <w:color w:val="FF0000"/>
                <w:spacing w:val="3"/>
              </w:rPr>
              <w:t>养殖污染防治条例》（国务院第</w:t>
            </w:r>
            <w:r>
              <w:rPr>
                <w:rFonts w:hint="default" w:ascii="Times New Roman" w:hAnsi="Times New Roman" w:eastAsia="Times New Roman" w:cs="Times New Roman"/>
                <w:color w:val="FF0000"/>
                <w:spacing w:val="3"/>
              </w:rPr>
              <w:t>643</w:t>
            </w:r>
            <w:r>
              <w:rPr>
                <w:rFonts w:hint="default" w:ascii="Times New Roman" w:hAnsi="Times New Roman" w:cs="Times New Roman"/>
                <w:color w:val="FF0000"/>
                <w:spacing w:val="3"/>
              </w:rPr>
              <w:t>号）第</w:t>
            </w:r>
            <w:r>
              <w:rPr>
                <w:rFonts w:hint="default" w:ascii="Times New Roman" w:hAnsi="Times New Roman" w:eastAsia="Times New Roman" w:cs="Times New Roman"/>
                <w:color w:val="FF0000"/>
                <w:spacing w:val="2"/>
              </w:rPr>
              <w:t>11</w:t>
            </w:r>
            <w:r>
              <w:rPr>
                <w:rFonts w:hint="default" w:ascii="Times New Roman" w:hAnsi="Times New Roman" w:cs="Times New Roman"/>
                <w:color w:val="FF0000"/>
                <w:spacing w:val="2"/>
              </w:rPr>
              <w:t>条等</w:t>
            </w:r>
            <w:r>
              <w:rPr>
                <w:rFonts w:hint="default" w:ascii="Times New Roman" w:hAnsi="Times New Roman" w:cs="Times New Roman"/>
                <w:color w:val="FF0000"/>
                <w:spacing w:val="8"/>
              </w:rPr>
              <w:t>国家有关规定；不在生活饮用水源保护区、风景名</w:t>
            </w:r>
            <w:r>
              <w:rPr>
                <w:rFonts w:hint="default" w:ascii="Times New Roman" w:hAnsi="Times New Roman" w:cs="Times New Roman"/>
                <w:color w:val="FF0000"/>
                <w:spacing w:val="6"/>
              </w:rPr>
              <w:t>胜区、自然保护区的核心区及缓冲区，城市和城镇</w:t>
            </w:r>
            <w:r>
              <w:rPr>
                <w:rFonts w:hint="default" w:ascii="Times New Roman" w:hAnsi="Times New Roman" w:cs="Times New Roman"/>
                <w:color w:val="FF0000"/>
                <w:spacing w:val="9"/>
              </w:rPr>
              <w:t>中居民区、文教科研区、医疗区等人口集中区</w:t>
            </w:r>
            <w:r>
              <w:rPr>
                <w:rFonts w:hint="default" w:ascii="Times New Roman" w:hAnsi="Times New Roman" w:cs="Times New Roman"/>
                <w:color w:val="FF0000"/>
                <w:spacing w:val="8"/>
              </w:rPr>
              <w:t>域，各级人民政府依法划定的禁养区域，国家或地方</w:t>
            </w:r>
            <w:r>
              <w:rPr>
                <w:rFonts w:hint="default" w:ascii="Times New Roman" w:hAnsi="Times New Roman" w:eastAsia="宋体" w:cs="Times New Roman"/>
                <w:color w:val="FF0000"/>
                <w:spacing w:val="8"/>
                <w:lang w:eastAsia="zh-CN"/>
              </w:rPr>
              <w:t>法律法规</w:t>
            </w:r>
            <w:r>
              <w:rPr>
                <w:rFonts w:hint="default" w:ascii="Times New Roman" w:hAnsi="Times New Roman" w:cs="Times New Roman"/>
                <w:color w:val="FF0000"/>
                <w:spacing w:val="3"/>
              </w:rPr>
              <w:t>规定需特殊保护的其他区域内建设养殖场；</w:t>
            </w:r>
            <w:r>
              <w:rPr>
                <w:rFonts w:hint="default" w:ascii="Times New Roman" w:hAnsi="Times New Roman" w:cs="Times New Roman"/>
                <w:color w:val="FF0000"/>
                <w:spacing w:val="6"/>
              </w:rPr>
              <w:t>本项目选址远离城市、工矿区和人口密集的</w:t>
            </w:r>
            <w:r>
              <w:rPr>
                <w:rFonts w:hint="default" w:ascii="Times New Roman" w:hAnsi="Times New Roman" w:cs="Times New Roman"/>
                <w:color w:val="FF0000"/>
                <w:spacing w:val="5"/>
              </w:rPr>
              <w:t>地方。</w:t>
            </w:r>
          </w:p>
        </w:tc>
        <w:tc>
          <w:tcPr>
            <w:tcW w:w="243" w:type="pct"/>
            <w:tcBorders>
              <w:right w:val="single" w:color="000000" w:sz="10" w:space="0"/>
            </w:tcBorders>
            <w:vAlign w:val="center"/>
          </w:tcPr>
          <w:p w14:paraId="0F3D2D8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5C85D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410" w:type="pct"/>
            <w:vMerge w:val="continue"/>
            <w:tcBorders>
              <w:top w:val="nil"/>
              <w:left w:val="single" w:color="000000" w:sz="10" w:space="0"/>
            </w:tcBorders>
            <w:vAlign w:val="center"/>
          </w:tcPr>
          <w:p w14:paraId="231D325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607" w:type="pct"/>
            <w:gridSpan w:val="2"/>
            <w:vAlign w:val="center"/>
          </w:tcPr>
          <w:p w14:paraId="73FD057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9"/>
              </w:rPr>
              <w:t>卫生防护距离应当符合经审批的环境影响评价文件的规定要求。</w:t>
            </w:r>
          </w:p>
        </w:tc>
        <w:tc>
          <w:tcPr>
            <w:tcW w:w="1737" w:type="pct"/>
            <w:vAlign w:val="center"/>
          </w:tcPr>
          <w:p w14:paraId="3C8A540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3"/>
              </w:rPr>
              <w:t>根据《环境影响评价技术导则大气环境》</w:t>
            </w:r>
            <w:r>
              <w:rPr>
                <w:rFonts w:hint="default" w:ascii="Times New Roman" w:hAnsi="Times New Roman" w:cs="Times New Roman"/>
                <w:color w:val="FF0000"/>
                <w:spacing w:val="4"/>
              </w:rPr>
              <w:t>（</w:t>
            </w:r>
            <w:r>
              <w:rPr>
                <w:rFonts w:hint="default" w:ascii="Times New Roman" w:hAnsi="Times New Roman" w:eastAsia="Times New Roman" w:cs="Times New Roman"/>
                <w:color w:val="FF0000"/>
              </w:rPr>
              <w:t>HJ</w:t>
            </w:r>
            <w:r>
              <w:rPr>
                <w:rFonts w:hint="default" w:ascii="Times New Roman" w:hAnsi="Times New Roman" w:eastAsia="Times New Roman" w:cs="Times New Roman"/>
                <w:color w:val="FF0000"/>
                <w:spacing w:val="4"/>
              </w:rPr>
              <w:t>2.2-2018</w:t>
            </w:r>
            <w:r>
              <w:rPr>
                <w:rFonts w:hint="default" w:ascii="Times New Roman" w:hAnsi="Times New Roman" w:cs="Times New Roman"/>
                <w:color w:val="FF0000"/>
                <w:spacing w:val="-31"/>
              </w:rPr>
              <w:t>），</w:t>
            </w:r>
            <w:r>
              <w:rPr>
                <w:rFonts w:hint="default" w:ascii="Times New Roman" w:hAnsi="Times New Roman" w:cs="Times New Roman"/>
                <w:color w:val="FF0000"/>
                <w:spacing w:val="4"/>
              </w:rPr>
              <w:t>无卫生防护距离要求；同时根据计</w:t>
            </w:r>
            <w:r>
              <w:rPr>
                <w:rFonts w:hint="default" w:ascii="Times New Roman" w:hAnsi="Times New Roman" w:cs="Times New Roman"/>
                <w:color w:val="FF0000"/>
                <w:spacing w:val="5"/>
              </w:rPr>
              <w:t>算，本项目无需设置大气环境防护距离。</w:t>
            </w:r>
          </w:p>
        </w:tc>
        <w:tc>
          <w:tcPr>
            <w:tcW w:w="243" w:type="pct"/>
            <w:tcBorders>
              <w:right w:val="single" w:color="000000" w:sz="10" w:space="0"/>
            </w:tcBorders>
            <w:vAlign w:val="center"/>
          </w:tcPr>
          <w:p w14:paraId="66FA937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72356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410" w:type="pct"/>
            <w:vMerge w:val="restart"/>
            <w:tcBorders>
              <w:left w:val="single" w:color="000000" w:sz="10" w:space="0"/>
            </w:tcBorders>
            <w:vAlign w:val="center"/>
          </w:tcPr>
          <w:p w14:paraId="5D06101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Times New Roman" w:cs="Times New Roman"/>
                <w:color w:val="FF0000"/>
                <w:spacing w:val="-11"/>
                <w:position w:val="1"/>
              </w:rPr>
            </w:pPr>
            <w:r>
              <w:rPr>
                <w:rFonts w:hint="default" w:ascii="Times New Roman" w:hAnsi="Times New Roman" w:eastAsia="Times New Roman" w:cs="Times New Roman"/>
                <w:color w:val="FF0000"/>
                <w:spacing w:val="-11"/>
                <w:position w:val="1"/>
              </w:rPr>
              <w:t>8</w:t>
            </w:r>
            <w:r>
              <w:rPr>
                <w:rFonts w:hint="default" w:ascii="Times New Roman" w:hAnsi="Times New Roman" w:cs="Times New Roman"/>
                <w:color w:val="FF0000"/>
                <w:spacing w:val="-11"/>
                <w:position w:val="1"/>
              </w:rPr>
              <w:t>、场区</w:t>
            </w:r>
          </w:p>
          <w:p w14:paraId="655D10F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6"/>
              </w:rPr>
              <w:t>环境整</w:t>
            </w:r>
          </w:p>
          <w:p w14:paraId="7BCA089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rPr>
              <w:t>治</w:t>
            </w:r>
          </w:p>
        </w:tc>
        <w:tc>
          <w:tcPr>
            <w:tcW w:w="224" w:type="pct"/>
            <w:vMerge w:val="restart"/>
            <w:vAlign w:val="center"/>
          </w:tcPr>
          <w:p w14:paraId="62C9C80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Times New Roman" w:cs="Times New Roman"/>
                <w:color w:val="FF0000"/>
                <w:position w:val="1"/>
              </w:rPr>
            </w:pPr>
            <w:r>
              <w:rPr>
                <w:rFonts w:hint="default" w:ascii="Times New Roman" w:hAnsi="Times New Roman" w:eastAsia="Times New Roman" w:cs="Times New Roman"/>
                <w:color w:val="FF0000"/>
                <w:position w:val="1"/>
              </w:rPr>
              <w:t>8.1</w:t>
            </w:r>
            <w:r>
              <w:rPr>
                <w:rFonts w:hint="default" w:ascii="Times New Roman" w:hAnsi="Times New Roman" w:cs="Times New Roman"/>
                <w:color w:val="FF0000"/>
                <w:position w:val="1"/>
              </w:rPr>
              <w:t>场</w:t>
            </w:r>
          </w:p>
          <w:p w14:paraId="0463AA6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1"/>
              </w:rPr>
              <w:t>区合理</w:t>
            </w:r>
          </w:p>
          <w:p w14:paraId="499D1D7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4"/>
              </w:rPr>
              <w:t>布局</w:t>
            </w:r>
          </w:p>
        </w:tc>
        <w:tc>
          <w:tcPr>
            <w:tcW w:w="2383" w:type="pct"/>
            <w:vMerge w:val="restart"/>
            <w:vAlign w:val="center"/>
          </w:tcPr>
          <w:p w14:paraId="6E74BE2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pacing w:val="10"/>
              </w:rPr>
            </w:pPr>
            <w:r>
              <w:rPr>
                <w:rFonts w:hint="default" w:ascii="Times New Roman" w:hAnsi="Times New Roman" w:cs="Times New Roman"/>
                <w:color w:val="FF0000"/>
                <w:spacing w:val="10"/>
              </w:rPr>
              <w:t>生活管理区要和生产区隔离，与生产区保持一定距离；粪便污水处理</w:t>
            </w:r>
          </w:p>
          <w:p w14:paraId="263853D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10"/>
              </w:rPr>
              <w:t>设施、贮存设施和畜禽尸体处理设施应设在养殖生产区内，位于生活</w:t>
            </w:r>
          </w:p>
          <w:p w14:paraId="12CBF45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pacing w:val="10"/>
              </w:rPr>
            </w:pPr>
            <w:r>
              <w:rPr>
                <w:rFonts w:hint="default" w:ascii="Times New Roman" w:hAnsi="Times New Roman" w:cs="Times New Roman"/>
                <w:color w:val="FF0000"/>
                <w:spacing w:val="10"/>
              </w:rPr>
              <w:t>区常年主导风向的下风向或侧风向处；畜禽废物贮存点的选择要有利</w:t>
            </w:r>
          </w:p>
          <w:p w14:paraId="7C8E5BD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8"/>
              </w:rPr>
              <w:t>于废物的排放、运输和施用。</w:t>
            </w:r>
          </w:p>
        </w:tc>
        <w:tc>
          <w:tcPr>
            <w:tcW w:w="1737" w:type="pct"/>
            <w:vMerge w:val="restart"/>
            <w:vAlign w:val="center"/>
          </w:tcPr>
          <w:p w14:paraId="6D208C2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11"/>
              </w:rPr>
              <w:t>根据本项目的</w:t>
            </w:r>
            <w:r>
              <w:rPr>
                <w:rFonts w:hint="default" w:ascii="Times New Roman" w:hAnsi="Times New Roman" w:eastAsia="宋体" w:cs="Times New Roman"/>
                <w:color w:val="FF0000"/>
                <w:spacing w:val="11"/>
                <w:lang w:eastAsia="zh-CN"/>
              </w:rPr>
              <w:t>厂区</w:t>
            </w:r>
            <w:r>
              <w:rPr>
                <w:rFonts w:hint="default" w:ascii="Times New Roman" w:hAnsi="Times New Roman" w:cs="Times New Roman"/>
                <w:color w:val="FF0000"/>
                <w:spacing w:val="11"/>
              </w:rPr>
              <w:t>平面布置，本项目实现生产区和生活管理区的隔离，粪便污水处理设施、贮存设施和畜禽尸体</w:t>
            </w:r>
            <w:r>
              <w:rPr>
                <w:rFonts w:hint="default" w:ascii="Times New Roman" w:hAnsi="Times New Roman" w:eastAsia="宋体" w:cs="Times New Roman"/>
                <w:color w:val="FF0000"/>
                <w:spacing w:val="11"/>
                <w:lang w:val="en-US" w:eastAsia="zh-CN"/>
              </w:rPr>
              <w:t>安全填埋</w:t>
            </w:r>
            <w:r>
              <w:rPr>
                <w:rFonts w:hint="default" w:ascii="Times New Roman" w:hAnsi="Times New Roman" w:cs="Times New Roman"/>
                <w:color w:val="FF0000"/>
                <w:spacing w:val="11"/>
              </w:rPr>
              <w:t>设施设置</w:t>
            </w:r>
            <w:r>
              <w:rPr>
                <w:rFonts w:hint="default" w:ascii="Times New Roman" w:hAnsi="Times New Roman" w:eastAsia="宋体" w:cs="Times New Roman"/>
                <w:color w:val="FF0000"/>
                <w:spacing w:val="11"/>
                <w:lang w:eastAsia="zh-CN"/>
              </w:rPr>
              <w:t>在</w:t>
            </w:r>
            <w:r>
              <w:rPr>
                <w:rFonts w:hint="default" w:ascii="Times New Roman" w:hAnsi="Times New Roman" w:cs="Times New Roman"/>
                <w:color w:val="FF0000"/>
                <w:spacing w:val="11"/>
              </w:rPr>
              <w:t>养殖生产区内，且位</w:t>
            </w:r>
            <w:r>
              <w:rPr>
                <w:rFonts w:hint="default" w:ascii="Times New Roman" w:hAnsi="Times New Roman" w:cs="Times New Roman"/>
                <w:color w:val="FF0000"/>
                <w:spacing w:val="3"/>
              </w:rPr>
              <w:t>于常年主导风向的下风向处。本项目鸡粪日</w:t>
            </w:r>
            <w:r>
              <w:rPr>
                <w:rFonts w:hint="default" w:ascii="Times New Roman" w:hAnsi="Times New Roman" w:cs="Times New Roman"/>
                <w:color w:val="FF0000"/>
                <w:spacing w:val="2"/>
              </w:rPr>
              <w:t>产日清，</w:t>
            </w:r>
            <w:r>
              <w:rPr>
                <w:rFonts w:hint="default" w:ascii="Times New Roman" w:hAnsi="Times New Roman" w:cs="Times New Roman"/>
                <w:color w:val="FF0000"/>
                <w:spacing w:val="9"/>
              </w:rPr>
              <w:t>每天由传送带直接运输至舍外，整个流程均为机械化操作</w:t>
            </w:r>
          </w:p>
        </w:tc>
        <w:tc>
          <w:tcPr>
            <w:tcW w:w="243" w:type="pct"/>
            <w:tcBorders>
              <w:bottom w:val="single" w:color="000000" w:sz="10" w:space="0"/>
              <w:right w:val="single" w:color="000000" w:sz="10" w:space="0"/>
            </w:tcBorders>
            <w:vAlign w:val="center"/>
          </w:tcPr>
          <w:p w14:paraId="67EE606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7E512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410" w:type="pct"/>
            <w:vMerge w:val="continue"/>
            <w:tcBorders>
              <w:left w:val="single" w:color="000000" w:sz="10" w:space="0"/>
            </w:tcBorders>
            <w:vAlign w:val="center"/>
          </w:tcPr>
          <w:p w14:paraId="21CD167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24" w:type="pct"/>
            <w:vMerge w:val="continue"/>
            <w:vAlign w:val="center"/>
          </w:tcPr>
          <w:p w14:paraId="42B66DA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383" w:type="pct"/>
            <w:vMerge w:val="continue"/>
            <w:vAlign w:val="center"/>
          </w:tcPr>
          <w:p w14:paraId="1DFA2F3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p>
        </w:tc>
        <w:tc>
          <w:tcPr>
            <w:tcW w:w="1737" w:type="pct"/>
            <w:vMerge w:val="continue"/>
            <w:vAlign w:val="center"/>
          </w:tcPr>
          <w:p w14:paraId="33AD0FA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p>
        </w:tc>
        <w:tc>
          <w:tcPr>
            <w:tcW w:w="243" w:type="pct"/>
            <w:tcBorders>
              <w:right w:val="single" w:color="000000" w:sz="10" w:space="0"/>
            </w:tcBorders>
            <w:vAlign w:val="center"/>
          </w:tcPr>
          <w:p w14:paraId="2CA3781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r>
      <w:tr w14:paraId="1D4ED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410" w:type="pct"/>
            <w:vMerge w:val="continue"/>
            <w:tcBorders>
              <w:left w:val="single" w:color="000000" w:sz="10" w:space="0"/>
            </w:tcBorders>
            <w:vAlign w:val="center"/>
          </w:tcPr>
          <w:p w14:paraId="190438E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24" w:type="pct"/>
            <w:vAlign w:val="center"/>
          </w:tcPr>
          <w:p w14:paraId="4757300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eastAsia="Times New Roman" w:cs="Times New Roman"/>
                <w:color w:val="FF0000"/>
              </w:rPr>
              <w:t>8.2</w:t>
            </w:r>
            <w:r>
              <w:rPr>
                <w:rFonts w:hint="default" w:ascii="Times New Roman" w:hAnsi="Times New Roman" w:cs="Times New Roman"/>
                <w:color w:val="FF0000"/>
              </w:rPr>
              <w:t>养</w:t>
            </w:r>
            <w:r>
              <w:rPr>
                <w:rFonts w:hint="default" w:ascii="Times New Roman" w:hAnsi="Times New Roman" w:cs="Times New Roman"/>
                <w:color w:val="FF0000"/>
                <w:spacing w:val="6"/>
              </w:rPr>
              <w:t>殖场的排水系</w:t>
            </w:r>
            <w:r>
              <w:rPr>
                <w:rFonts w:hint="default" w:ascii="Times New Roman" w:hAnsi="Times New Roman" w:cs="Times New Roman"/>
                <w:color w:val="FF0000"/>
              </w:rPr>
              <w:t>统</w:t>
            </w:r>
          </w:p>
        </w:tc>
        <w:tc>
          <w:tcPr>
            <w:tcW w:w="2383" w:type="pct"/>
            <w:vAlign w:val="center"/>
          </w:tcPr>
          <w:p w14:paraId="7E12FE0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10"/>
              </w:rPr>
              <w:t>畜禽养殖场、畜禽养殖小区应当建立完备的排水设施并保持畅通。畜禽养殖场、畜禽养殖小区的排水系统应实行雨污分流制，在场区内外设置的污水收集输送系统，不得采取明沟布设，防止雨季污水满溢污染周围环境。畜舍地板可设置漏缝，尿液单独收集，干燥清理粪便，</w:t>
            </w:r>
            <w:r>
              <w:rPr>
                <w:rFonts w:hint="default" w:ascii="Times New Roman" w:hAnsi="Times New Roman" w:cs="Times New Roman"/>
                <w:color w:val="FF0000"/>
                <w:spacing w:val="7"/>
              </w:rPr>
              <w:t>做到粪尿分离。</w:t>
            </w:r>
          </w:p>
        </w:tc>
        <w:tc>
          <w:tcPr>
            <w:tcW w:w="1737" w:type="pct"/>
            <w:vAlign w:val="center"/>
          </w:tcPr>
          <w:p w14:paraId="06C1115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11"/>
              </w:rPr>
              <w:t>本项目全场实行雨污分流，污水输送管道均采用暗敷污水管。采用机械干清粪工艺，鸡粪由传动带传</w:t>
            </w:r>
            <w:r>
              <w:rPr>
                <w:rFonts w:hint="default" w:ascii="Times New Roman" w:hAnsi="Times New Roman" w:cs="Times New Roman"/>
                <w:color w:val="FF0000"/>
                <w:spacing w:val="8"/>
              </w:rPr>
              <w:t>送至室外，</w:t>
            </w:r>
            <w:r>
              <w:rPr>
                <w:rFonts w:hint="default" w:ascii="Times New Roman" w:hAnsi="Times New Roman" w:eastAsia="宋体" w:cs="Times New Roman"/>
                <w:color w:val="FF0000"/>
                <w:spacing w:val="8"/>
                <w:lang w:val="en-US" w:eastAsia="zh-CN"/>
              </w:rPr>
              <w:t>发酵后还田</w:t>
            </w:r>
            <w:r>
              <w:rPr>
                <w:rFonts w:hint="default" w:ascii="Times New Roman" w:hAnsi="Times New Roman" w:cs="Times New Roman"/>
                <w:color w:val="FF0000"/>
                <w:spacing w:val="8"/>
              </w:rPr>
              <w:t>。</w:t>
            </w:r>
          </w:p>
        </w:tc>
        <w:tc>
          <w:tcPr>
            <w:tcW w:w="243" w:type="pct"/>
            <w:tcBorders>
              <w:right w:val="single" w:color="000000" w:sz="10" w:space="0"/>
            </w:tcBorders>
            <w:vAlign w:val="center"/>
          </w:tcPr>
          <w:p w14:paraId="751EFB8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66F3E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10" w:type="pct"/>
            <w:vMerge w:val="restart"/>
            <w:tcBorders>
              <w:left w:val="single" w:color="000000" w:sz="10" w:space="0"/>
            </w:tcBorders>
            <w:vAlign w:val="center"/>
          </w:tcPr>
          <w:p w14:paraId="071162E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eastAsia="Times New Roman" w:cs="Times New Roman"/>
                <w:color w:val="FF0000"/>
                <w:spacing w:val="-10"/>
              </w:rPr>
              <w:t>9</w:t>
            </w:r>
            <w:r>
              <w:rPr>
                <w:rFonts w:hint="default" w:ascii="Times New Roman" w:hAnsi="Times New Roman" w:cs="Times New Roman"/>
                <w:color w:val="FF0000"/>
                <w:spacing w:val="-10"/>
              </w:rPr>
              <w:t>、污染</w:t>
            </w:r>
            <w:r>
              <w:rPr>
                <w:rFonts w:hint="default" w:ascii="Times New Roman" w:hAnsi="Times New Roman" w:cs="Times New Roman"/>
                <w:color w:val="FF0000"/>
                <w:spacing w:val="2"/>
              </w:rPr>
              <w:t>防治设</w:t>
            </w:r>
            <w:r>
              <w:rPr>
                <w:rFonts w:hint="default" w:ascii="Times New Roman" w:hAnsi="Times New Roman" w:cs="Times New Roman"/>
                <w:color w:val="FF0000"/>
                <w:spacing w:val="7"/>
              </w:rPr>
              <w:t>施运行</w:t>
            </w:r>
            <w:r>
              <w:rPr>
                <w:rFonts w:hint="default" w:ascii="Times New Roman" w:hAnsi="Times New Roman" w:cs="Times New Roman"/>
                <w:color w:val="FF0000"/>
                <w:spacing w:val="2"/>
              </w:rPr>
              <w:t>管理</w:t>
            </w:r>
          </w:p>
        </w:tc>
        <w:tc>
          <w:tcPr>
            <w:tcW w:w="224" w:type="pct"/>
            <w:vMerge w:val="restart"/>
            <w:vAlign w:val="center"/>
          </w:tcPr>
          <w:p w14:paraId="16136C4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eastAsia="Times New Roman" w:cs="Times New Roman"/>
                <w:color w:val="FF0000"/>
              </w:rPr>
              <w:t>9.2</w:t>
            </w:r>
            <w:r>
              <w:rPr>
                <w:rFonts w:hint="default" w:ascii="Times New Roman" w:hAnsi="Times New Roman" w:cs="Times New Roman"/>
                <w:color w:val="FF0000"/>
              </w:rPr>
              <w:t>污</w:t>
            </w:r>
            <w:r>
              <w:rPr>
                <w:rFonts w:hint="default" w:ascii="Times New Roman" w:hAnsi="Times New Roman" w:cs="Times New Roman"/>
                <w:color w:val="FF0000"/>
                <w:spacing w:val="6"/>
              </w:rPr>
              <w:t>水污染</w:t>
            </w:r>
            <w:r>
              <w:rPr>
                <w:rFonts w:hint="default" w:ascii="Times New Roman" w:hAnsi="Times New Roman" w:cs="Times New Roman"/>
                <w:color w:val="FF0000"/>
                <w:spacing w:val="2"/>
              </w:rPr>
              <w:t>防治具</w:t>
            </w:r>
            <w:r>
              <w:rPr>
                <w:rFonts w:hint="default" w:ascii="Times New Roman" w:hAnsi="Times New Roman" w:cs="Times New Roman"/>
                <w:color w:val="FF0000"/>
                <w:spacing w:val="6"/>
              </w:rPr>
              <w:t>体要求</w:t>
            </w:r>
          </w:p>
        </w:tc>
        <w:tc>
          <w:tcPr>
            <w:tcW w:w="2383" w:type="pct"/>
            <w:vAlign w:val="center"/>
          </w:tcPr>
          <w:p w14:paraId="596D868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eastAsia="Times New Roman" w:cs="Times New Roman"/>
                <w:color w:val="FF0000"/>
                <w:spacing w:val="5"/>
                <w:position w:val="1"/>
              </w:rPr>
              <w:t>9.2.1</w:t>
            </w:r>
            <w:r>
              <w:rPr>
                <w:rFonts w:hint="default" w:ascii="Times New Roman" w:hAnsi="Times New Roman" w:cs="Times New Roman"/>
                <w:color w:val="FF0000"/>
                <w:spacing w:val="5"/>
                <w:position w:val="1"/>
              </w:rPr>
              <w:t>污水排放要求：</w:t>
            </w:r>
            <w:r>
              <w:rPr>
                <w:rFonts w:hint="default" w:ascii="Times New Roman" w:hAnsi="Times New Roman" w:cs="Times New Roman"/>
                <w:color w:val="FF0000"/>
                <w:spacing w:val="3"/>
                <w:position w:val="1"/>
              </w:rPr>
              <w:t>污水排放执行《畜禽养殖业污染物排放标准》（</w:t>
            </w:r>
            <w:r>
              <w:rPr>
                <w:rFonts w:hint="default" w:ascii="Times New Roman" w:hAnsi="Times New Roman" w:eastAsia="Times New Roman" w:cs="Times New Roman"/>
                <w:color w:val="FF0000"/>
                <w:position w:val="1"/>
              </w:rPr>
              <w:t>GB</w:t>
            </w:r>
            <w:r>
              <w:rPr>
                <w:rFonts w:hint="default" w:ascii="Times New Roman" w:hAnsi="Times New Roman" w:eastAsia="Times New Roman" w:cs="Times New Roman"/>
                <w:color w:val="FF0000"/>
                <w:spacing w:val="3"/>
                <w:position w:val="1"/>
              </w:rPr>
              <w:t>185</w:t>
            </w:r>
            <w:r>
              <w:rPr>
                <w:rFonts w:hint="default" w:ascii="Times New Roman" w:hAnsi="Times New Roman" w:eastAsia="Times New Roman" w:cs="Times New Roman"/>
                <w:color w:val="FF0000"/>
                <w:spacing w:val="2"/>
                <w:position w:val="1"/>
              </w:rPr>
              <w:t>96-2001</w:t>
            </w:r>
            <w:r>
              <w:rPr>
                <w:rFonts w:hint="default" w:ascii="Times New Roman" w:hAnsi="Times New Roman" w:cs="Times New Roman"/>
                <w:color w:val="FF0000"/>
                <w:spacing w:val="2"/>
                <w:position w:val="1"/>
              </w:rPr>
              <w:t>）。</w:t>
            </w:r>
          </w:p>
        </w:tc>
        <w:tc>
          <w:tcPr>
            <w:tcW w:w="1737" w:type="pct"/>
            <w:vAlign w:val="center"/>
          </w:tcPr>
          <w:p w14:paraId="06606E4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11"/>
              </w:rPr>
              <w:t>本项目不设置废水排放口，</w:t>
            </w:r>
            <w:r>
              <w:rPr>
                <w:rFonts w:hint="default" w:ascii="Times New Roman" w:hAnsi="Times New Roman" w:cs="Times New Roman"/>
                <w:bCs/>
                <w:color w:val="auto"/>
                <w:sz w:val="21"/>
                <w:szCs w:val="21"/>
                <w:lang w:val="en-US" w:eastAsia="zh-CN"/>
              </w:rPr>
              <w:t>圈舍不进行清洗，无养殖废水产生；项目鸡舍粪便收集设施（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和清粪机）定期进行冲洗，鸡舍粪便收集设施（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和清粪机）冲洗废水收集后排入1座100m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lang w:val="en-US" w:eastAsia="zh-CN"/>
              </w:rPr>
              <w:t>废水收集池与生活污水发酵，还田，</w:t>
            </w:r>
            <w:r>
              <w:rPr>
                <w:rFonts w:hint="default" w:ascii="Times New Roman" w:hAnsi="Times New Roman" w:cs="Times New Roman"/>
                <w:color w:val="FF0000"/>
                <w:spacing w:val="7"/>
              </w:rPr>
              <w:t>不外排。</w:t>
            </w:r>
          </w:p>
        </w:tc>
        <w:tc>
          <w:tcPr>
            <w:tcW w:w="243" w:type="pct"/>
            <w:tcBorders>
              <w:right w:val="single" w:color="000000" w:sz="10" w:space="0"/>
            </w:tcBorders>
            <w:vAlign w:val="center"/>
          </w:tcPr>
          <w:p w14:paraId="217F6C9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34F0F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7" w:hRule="atLeast"/>
        </w:trPr>
        <w:tc>
          <w:tcPr>
            <w:tcW w:w="410" w:type="pct"/>
            <w:vMerge w:val="continue"/>
            <w:tcBorders>
              <w:left w:val="single" w:color="000000" w:sz="10" w:space="0"/>
            </w:tcBorders>
            <w:vAlign w:val="center"/>
          </w:tcPr>
          <w:p w14:paraId="753785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24" w:type="pct"/>
            <w:vMerge w:val="continue"/>
            <w:vAlign w:val="center"/>
          </w:tcPr>
          <w:p w14:paraId="0EED7B5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383" w:type="pct"/>
            <w:vAlign w:val="center"/>
          </w:tcPr>
          <w:p w14:paraId="752D932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Times New Roman" w:cs="Times New Roman"/>
                <w:color w:val="FF0000"/>
                <w:spacing w:val="5"/>
                <w:position w:val="1"/>
              </w:rPr>
            </w:pPr>
            <w:r>
              <w:rPr>
                <w:rFonts w:hint="default" w:ascii="Times New Roman" w:hAnsi="Times New Roman" w:eastAsia="Times New Roman" w:cs="Times New Roman"/>
                <w:color w:val="FF0000"/>
                <w:spacing w:val="5"/>
                <w:position w:val="1"/>
              </w:rPr>
              <w:t>9.2.2</w:t>
            </w:r>
            <w:r>
              <w:rPr>
                <w:rFonts w:hint="default" w:ascii="Times New Roman" w:hAnsi="Times New Roman" w:cs="Times New Roman"/>
                <w:color w:val="FF0000"/>
                <w:spacing w:val="5"/>
                <w:position w:val="1"/>
              </w:rPr>
              <w:t>污水处理设施：</w:t>
            </w:r>
            <w:r>
              <w:rPr>
                <w:rFonts w:hint="default" w:ascii="Times New Roman" w:hAnsi="Times New Roman" w:cs="Times New Roman"/>
                <w:color w:val="FF0000"/>
                <w:spacing w:val="10"/>
              </w:rPr>
              <w:t>畜禽养殖产生的污水应坚持种养结合的原则，经无害化处理后，尽量充分还田，实现污水资源化利用。畜禽养殖外排水的水质，应根据排放去向，达到国家污水综合排放标准和地方水污染物排放标准，或畜</w:t>
            </w:r>
            <w:r>
              <w:rPr>
                <w:rFonts w:hint="default" w:ascii="Times New Roman" w:hAnsi="Times New Roman" w:cs="Times New Roman"/>
                <w:color w:val="FF0000"/>
                <w:spacing w:val="9"/>
              </w:rPr>
              <w:t>禽养殖污染物排放标准，或农田灌溉水质标准。</w:t>
            </w:r>
            <w:r>
              <w:rPr>
                <w:rFonts w:hint="default" w:ascii="Times New Roman" w:hAnsi="Times New Roman" w:cs="Times New Roman"/>
                <w:color w:val="FF0000"/>
                <w:spacing w:val="3"/>
              </w:rPr>
              <w:t>畜禽养殖污水的污染治理应重点控制化学需氧量（</w:t>
            </w:r>
            <w:r>
              <w:rPr>
                <w:rFonts w:hint="default" w:ascii="Times New Roman" w:hAnsi="Times New Roman" w:eastAsia="Times New Roman" w:cs="Times New Roman"/>
                <w:color w:val="FF0000"/>
              </w:rPr>
              <w:t>CODcr</w:t>
            </w:r>
            <w:r>
              <w:rPr>
                <w:rFonts w:hint="default" w:ascii="Times New Roman" w:hAnsi="Times New Roman" w:cs="Times New Roman"/>
                <w:color w:val="FF0000"/>
                <w:spacing w:val="3"/>
              </w:rPr>
              <w:t>）</w:t>
            </w:r>
            <w:r>
              <w:rPr>
                <w:rFonts w:hint="default" w:ascii="Times New Roman" w:hAnsi="Times New Roman" w:cs="Times New Roman"/>
                <w:color w:val="FF0000"/>
                <w:spacing w:val="2"/>
              </w:rPr>
              <w:t>、生物需氧</w:t>
            </w:r>
            <w:r>
              <w:rPr>
                <w:rFonts w:hint="default" w:ascii="Times New Roman" w:hAnsi="Times New Roman" w:cs="Times New Roman"/>
                <w:color w:val="FF0000"/>
                <w:spacing w:val="-4"/>
              </w:rPr>
              <w:t>量（</w:t>
            </w:r>
            <w:r>
              <w:rPr>
                <w:rFonts w:hint="default" w:ascii="Times New Roman" w:hAnsi="Times New Roman" w:eastAsia="Times New Roman" w:cs="Times New Roman"/>
                <w:color w:val="FF0000"/>
                <w:spacing w:val="-4"/>
              </w:rPr>
              <w:t>BOD</w:t>
            </w:r>
            <w:r>
              <w:rPr>
                <w:rFonts w:hint="default" w:ascii="Times New Roman" w:hAnsi="Times New Roman" w:eastAsia="Times New Roman" w:cs="Times New Roman"/>
                <w:color w:val="FF0000"/>
                <w:spacing w:val="-4"/>
                <w:position w:val="-1"/>
                <w:sz w:val="13"/>
                <w:szCs w:val="13"/>
              </w:rPr>
              <w:t>5</w:t>
            </w:r>
            <w:r>
              <w:rPr>
                <w:rFonts w:hint="default" w:ascii="Times New Roman" w:hAnsi="Times New Roman" w:cs="Times New Roman"/>
                <w:color w:val="FF0000"/>
                <w:spacing w:val="-4"/>
              </w:rPr>
              <w:t>）、总氮（</w:t>
            </w:r>
            <w:r>
              <w:rPr>
                <w:rFonts w:hint="default" w:ascii="Times New Roman" w:hAnsi="Times New Roman" w:eastAsia="Times New Roman" w:cs="Times New Roman"/>
                <w:color w:val="FF0000"/>
                <w:spacing w:val="-4"/>
              </w:rPr>
              <w:t>T-N</w:t>
            </w:r>
            <w:r>
              <w:rPr>
                <w:rFonts w:hint="default" w:ascii="Times New Roman" w:hAnsi="Times New Roman" w:cs="Times New Roman"/>
                <w:color w:val="FF0000"/>
                <w:spacing w:val="-4"/>
              </w:rPr>
              <w:t>）、氨氮（</w:t>
            </w:r>
            <w:r>
              <w:rPr>
                <w:rFonts w:hint="default" w:ascii="Times New Roman" w:hAnsi="Times New Roman" w:eastAsia="Times New Roman" w:cs="Times New Roman"/>
                <w:color w:val="FF0000"/>
                <w:spacing w:val="-4"/>
              </w:rPr>
              <w:t>NH</w:t>
            </w:r>
            <w:r>
              <w:rPr>
                <w:rFonts w:hint="default" w:ascii="Times New Roman" w:hAnsi="Times New Roman" w:eastAsia="Times New Roman" w:cs="Times New Roman"/>
                <w:color w:val="FF0000"/>
                <w:spacing w:val="-4"/>
                <w:sz w:val="13"/>
                <w:szCs w:val="13"/>
              </w:rPr>
              <w:t>3</w:t>
            </w:r>
            <w:r>
              <w:rPr>
                <w:rFonts w:hint="default" w:ascii="Times New Roman" w:hAnsi="Times New Roman" w:eastAsia="Times New Roman" w:cs="Times New Roman"/>
                <w:color w:val="FF0000"/>
                <w:spacing w:val="-4"/>
              </w:rPr>
              <w:t>-N</w:t>
            </w:r>
            <w:r>
              <w:rPr>
                <w:rFonts w:hint="default" w:ascii="Times New Roman" w:hAnsi="Times New Roman" w:cs="Times New Roman"/>
                <w:color w:val="FF0000"/>
                <w:spacing w:val="-4"/>
              </w:rPr>
              <w:t>）、总磷（</w:t>
            </w:r>
            <w:r>
              <w:rPr>
                <w:rFonts w:hint="default" w:ascii="Times New Roman" w:hAnsi="Times New Roman" w:eastAsia="Times New Roman" w:cs="Times New Roman"/>
                <w:color w:val="FF0000"/>
                <w:spacing w:val="-4"/>
              </w:rPr>
              <w:t>T-P</w:t>
            </w:r>
            <w:r>
              <w:rPr>
                <w:rFonts w:hint="default" w:ascii="Times New Roman" w:hAnsi="Times New Roman" w:cs="Times New Roman"/>
                <w:color w:val="FF0000"/>
                <w:spacing w:val="-4"/>
              </w:rPr>
              <w:t>）等污染因子。</w:t>
            </w:r>
            <w:r>
              <w:rPr>
                <w:rFonts w:hint="default" w:ascii="Times New Roman" w:hAnsi="Times New Roman" w:cs="Times New Roman"/>
                <w:color w:val="FF0000"/>
                <w:spacing w:val="9"/>
              </w:rPr>
              <w:t>畜禽养殖场产生的污水应实行就地分质处理，冲洗畜体、圈舍产生的</w:t>
            </w:r>
            <w:r>
              <w:rPr>
                <w:rFonts w:hint="default" w:ascii="Times New Roman" w:hAnsi="Times New Roman" w:cs="Times New Roman"/>
                <w:color w:val="FF0000"/>
                <w:spacing w:val="4"/>
              </w:rPr>
              <w:t>污水应就地实行固液分离，分离出的固形物可与畜禽废弃物混合处理，</w:t>
            </w:r>
            <w:r>
              <w:rPr>
                <w:rFonts w:hint="default" w:ascii="Times New Roman" w:hAnsi="Times New Roman" w:cs="Times New Roman"/>
                <w:color w:val="FF0000"/>
                <w:spacing w:val="6"/>
              </w:rPr>
              <w:t>污水应进行收集处理。</w:t>
            </w:r>
            <w:r>
              <w:rPr>
                <w:rFonts w:hint="default" w:ascii="Times New Roman" w:hAnsi="Times New Roman" w:cs="Times New Roman"/>
                <w:color w:val="FF0000"/>
                <w:spacing w:val="10"/>
              </w:rPr>
              <w:t>畜禽养殖场（小区）排放的畜禽养殖污水宜根据污染治理要求，采用</w:t>
            </w:r>
            <w:r>
              <w:rPr>
                <w:rFonts w:hint="default" w:ascii="Times New Roman" w:hAnsi="Times New Roman" w:cs="Times New Roman"/>
                <w:color w:val="FF0000"/>
                <w:spacing w:val="7"/>
              </w:rPr>
              <w:t>“厌氧、好氧两段生物处理”工艺。</w:t>
            </w:r>
          </w:p>
          <w:p w14:paraId="6601667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10"/>
              </w:rPr>
              <w:t>畜禽养殖场、畜禽养殖小区可以进行再生水利用改造，使再生水回用于畜禽养殖圈舍冲洗、场区园林绿化等用途。再生水处理可选用生物</w:t>
            </w:r>
            <w:r>
              <w:rPr>
                <w:rFonts w:hint="default" w:ascii="Times New Roman" w:hAnsi="Times New Roman" w:cs="Times New Roman"/>
                <w:color w:val="FF0000"/>
                <w:spacing w:val="9"/>
              </w:rPr>
              <w:t>处理技术、物化处理技术、膜技术和氧化消毒技</w:t>
            </w:r>
            <w:r>
              <w:rPr>
                <w:rFonts w:hint="default" w:ascii="Times New Roman" w:hAnsi="Times New Roman" w:cs="Times New Roman"/>
                <w:color w:val="FF0000"/>
                <w:spacing w:val="8"/>
              </w:rPr>
              <w:t>术。</w:t>
            </w:r>
            <w:r>
              <w:rPr>
                <w:rFonts w:hint="default" w:ascii="Times New Roman" w:hAnsi="Times New Roman" w:cs="Times New Roman"/>
                <w:color w:val="FF0000"/>
                <w:spacing w:val="10"/>
              </w:rPr>
              <w:t>污水治理设施不得擅自拆除和闲置，确有必要拆除或者闲置的，必须征得所在地的环境保护行政主管部门同意。企业须保证污染治理设施正常使用，排放污染物不得超过国家或者地方规定的水污染物排放标</w:t>
            </w:r>
            <w:r>
              <w:rPr>
                <w:rFonts w:hint="default" w:ascii="Times New Roman" w:hAnsi="Times New Roman" w:cs="Times New Roman"/>
                <w:color w:val="FF0000"/>
                <w:spacing w:val="8"/>
              </w:rPr>
              <w:t>准和重点水污染物排放总量控制指标。</w:t>
            </w:r>
          </w:p>
        </w:tc>
        <w:tc>
          <w:tcPr>
            <w:tcW w:w="1737" w:type="pct"/>
            <w:vAlign w:val="center"/>
          </w:tcPr>
          <w:p w14:paraId="0C98EF6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11"/>
              </w:rPr>
              <w:t>本项目不设置废水排放口，</w:t>
            </w:r>
            <w:r>
              <w:rPr>
                <w:rFonts w:hint="default" w:ascii="Times New Roman" w:hAnsi="Times New Roman" w:cs="Times New Roman"/>
                <w:bCs/>
                <w:color w:val="auto"/>
                <w:sz w:val="21"/>
                <w:szCs w:val="21"/>
                <w:lang w:val="en-US" w:eastAsia="zh-CN"/>
              </w:rPr>
              <w:t>圈舍不进行清洗，无养殖废水产生；项目鸡舍粪便收集设施（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和清粪机）定期进行冲洗，鸡舍粪便收集设施（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和清粪机）冲洗废水收集后排入1座100m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lang w:val="en-US" w:eastAsia="zh-CN"/>
              </w:rPr>
              <w:t>废水收集池与生活污水发酵，还田。</w:t>
            </w:r>
          </w:p>
        </w:tc>
        <w:tc>
          <w:tcPr>
            <w:tcW w:w="243" w:type="pct"/>
            <w:tcBorders>
              <w:right w:val="single" w:color="000000" w:sz="10" w:space="0"/>
            </w:tcBorders>
            <w:vAlign w:val="center"/>
          </w:tcPr>
          <w:p w14:paraId="6FD11D2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54989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10" w:type="pct"/>
            <w:vMerge w:val="continue"/>
            <w:tcBorders>
              <w:left w:val="single" w:color="000000" w:sz="10" w:space="0"/>
            </w:tcBorders>
            <w:vAlign w:val="center"/>
          </w:tcPr>
          <w:p w14:paraId="27AC0C1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24" w:type="pct"/>
            <w:vMerge w:val="continue"/>
            <w:vAlign w:val="center"/>
          </w:tcPr>
          <w:p w14:paraId="019435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383" w:type="pct"/>
            <w:vAlign w:val="center"/>
          </w:tcPr>
          <w:p w14:paraId="6BC643A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eastAsia="Times New Roman" w:cs="Times New Roman"/>
                <w:color w:val="FF0000"/>
                <w:spacing w:val="5"/>
                <w:position w:val="1"/>
              </w:rPr>
              <w:t>9.2.3</w:t>
            </w:r>
            <w:r>
              <w:rPr>
                <w:rFonts w:hint="default" w:ascii="Times New Roman" w:hAnsi="Times New Roman" w:cs="Times New Roman"/>
                <w:color w:val="FF0000"/>
                <w:spacing w:val="5"/>
                <w:position w:val="1"/>
              </w:rPr>
              <w:t>污水处理台账管理：</w:t>
            </w:r>
            <w:r>
              <w:rPr>
                <w:rFonts w:hint="default" w:ascii="Times New Roman" w:hAnsi="Times New Roman" w:cs="Times New Roman"/>
                <w:color w:val="FF0000"/>
                <w:spacing w:val="10"/>
              </w:rPr>
              <w:t>做好每日的污水进出水量、水质、药品使用记录，环保设备运行及维修记录；保存污染设施停运报告文件、环保部门批复文件，每日在线</w:t>
            </w:r>
            <w:r>
              <w:rPr>
                <w:rFonts w:hint="default" w:ascii="Times New Roman" w:hAnsi="Times New Roman" w:cs="Times New Roman"/>
                <w:color w:val="FF0000"/>
                <w:spacing w:val="7"/>
              </w:rPr>
              <w:t>监测数据报表。</w:t>
            </w:r>
          </w:p>
        </w:tc>
        <w:tc>
          <w:tcPr>
            <w:tcW w:w="1737" w:type="pct"/>
            <w:vAlign w:val="center"/>
          </w:tcPr>
          <w:p w14:paraId="3B25B12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11"/>
              </w:rPr>
              <w:t>本项目拟对污水处理台账管理：做好每日的污水进出水量记录，环保设备运行及维修记录；保存污染</w:t>
            </w:r>
            <w:r>
              <w:rPr>
                <w:rFonts w:hint="default" w:ascii="Times New Roman" w:hAnsi="Times New Roman" w:cs="Times New Roman"/>
                <w:color w:val="FF0000"/>
                <w:spacing w:val="8"/>
              </w:rPr>
              <w:t>设施停运报告文件、环保部门批复文件。</w:t>
            </w:r>
          </w:p>
        </w:tc>
        <w:tc>
          <w:tcPr>
            <w:tcW w:w="243" w:type="pct"/>
            <w:tcBorders>
              <w:right w:val="single" w:color="000000" w:sz="10" w:space="0"/>
            </w:tcBorders>
            <w:vAlign w:val="center"/>
          </w:tcPr>
          <w:p w14:paraId="32D340D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064C3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2" w:hRule="atLeast"/>
        </w:trPr>
        <w:tc>
          <w:tcPr>
            <w:tcW w:w="410" w:type="pct"/>
            <w:vMerge w:val="restart"/>
            <w:tcBorders>
              <w:left w:val="single" w:color="000000" w:sz="10" w:space="0"/>
            </w:tcBorders>
            <w:vAlign w:val="center"/>
          </w:tcPr>
          <w:p w14:paraId="38F6439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6"/>
              </w:rPr>
              <w:t>污染防</w:t>
            </w:r>
            <w:r>
              <w:rPr>
                <w:rFonts w:hint="default" w:ascii="Times New Roman" w:hAnsi="Times New Roman" w:cs="Times New Roman"/>
                <w:color w:val="FF0000"/>
                <w:spacing w:val="5"/>
              </w:rPr>
              <w:t>治设施</w:t>
            </w:r>
            <w:r>
              <w:rPr>
                <w:rFonts w:hint="default" w:ascii="Times New Roman" w:hAnsi="Times New Roman" w:cs="Times New Roman"/>
                <w:color w:val="FF0000"/>
                <w:spacing w:val="6"/>
              </w:rPr>
              <w:t>运行管</w:t>
            </w:r>
            <w:r>
              <w:rPr>
                <w:rFonts w:hint="default" w:ascii="Times New Roman" w:hAnsi="Times New Roman" w:cs="Times New Roman"/>
                <w:color w:val="FF0000"/>
              </w:rPr>
              <w:t>理</w:t>
            </w:r>
          </w:p>
        </w:tc>
        <w:tc>
          <w:tcPr>
            <w:tcW w:w="224" w:type="pct"/>
            <w:vAlign w:val="center"/>
          </w:tcPr>
          <w:p w14:paraId="0E4577D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eastAsia="Times New Roman" w:cs="Times New Roman"/>
                <w:color w:val="FF0000"/>
                <w:spacing w:val="1"/>
              </w:rPr>
              <w:t>9.3</w:t>
            </w:r>
            <w:r>
              <w:rPr>
                <w:rFonts w:hint="default" w:ascii="Times New Roman" w:hAnsi="Times New Roman" w:cs="Times New Roman"/>
                <w:color w:val="FF0000"/>
                <w:spacing w:val="1"/>
              </w:rPr>
              <w:t>恶</w:t>
            </w:r>
            <w:r>
              <w:rPr>
                <w:rFonts w:hint="default" w:ascii="Times New Roman" w:hAnsi="Times New Roman" w:cs="Times New Roman"/>
                <w:color w:val="FF0000"/>
                <w:spacing w:val="6"/>
              </w:rPr>
              <w:t>臭污染</w:t>
            </w:r>
            <w:r>
              <w:rPr>
                <w:rFonts w:hint="default" w:ascii="Times New Roman" w:hAnsi="Times New Roman" w:cs="Times New Roman"/>
                <w:color w:val="FF0000"/>
                <w:spacing w:val="2"/>
              </w:rPr>
              <w:t>防治要</w:t>
            </w:r>
            <w:r>
              <w:rPr>
                <w:rFonts w:hint="default" w:ascii="Times New Roman" w:hAnsi="Times New Roman" w:cs="Times New Roman"/>
                <w:color w:val="FF0000"/>
              </w:rPr>
              <w:t>求</w:t>
            </w:r>
          </w:p>
        </w:tc>
        <w:tc>
          <w:tcPr>
            <w:tcW w:w="2383" w:type="pct"/>
            <w:vAlign w:val="center"/>
          </w:tcPr>
          <w:p w14:paraId="1D70189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10"/>
              </w:rPr>
              <w:t>科学设计日粮配方，提高饲料的消化率和利用率，选用养分含量变异小的优质饲料，使用环保添加剂，以减少臭气的排放。畜舍内要及时</w:t>
            </w:r>
            <w:r>
              <w:rPr>
                <w:rFonts w:hint="default" w:ascii="Times New Roman" w:hAnsi="Times New Roman" w:cs="Times New Roman"/>
                <w:color w:val="FF0000"/>
                <w:spacing w:val="9"/>
              </w:rPr>
              <w:t>清粪，加强通风，畜禽粪便和污水要封闭输送、贮存。</w:t>
            </w:r>
            <w:r>
              <w:rPr>
                <w:rFonts w:hint="default" w:ascii="Times New Roman" w:hAnsi="Times New Roman" w:cs="Times New Roman"/>
                <w:color w:val="FF0000"/>
                <w:spacing w:val="10"/>
              </w:rPr>
              <w:t>使用氧化剂类和中和剂类物质对粪便中的氨等挥发性物质进行处理以减少挥发。养殖场选址要远离城市和城镇居民区，符合卫生防护距离要求，防止周围居民区受到污染。养殖场内种植绿色植物，周围种植高大叶阔树木，可防止恶臭气体扩散，减少空气中的细菌，改善空气</w:t>
            </w:r>
            <w:r>
              <w:rPr>
                <w:rFonts w:hint="default" w:ascii="Times New Roman" w:hAnsi="Times New Roman" w:cs="Times New Roman"/>
                <w:color w:val="FF0000"/>
                <w:spacing w:val="3"/>
              </w:rPr>
              <w:t>质量。</w:t>
            </w:r>
          </w:p>
        </w:tc>
        <w:tc>
          <w:tcPr>
            <w:tcW w:w="1737" w:type="pct"/>
            <w:vAlign w:val="center"/>
          </w:tcPr>
          <w:p w14:paraId="2BED2C0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both"/>
              <w:textAlignment w:val="auto"/>
              <w:rPr>
                <w:rFonts w:hint="default" w:ascii="Times New Roman" w:hAnsi="Times New Roman" w:cs="Times New Roman"/>
                <w:color w:val="FF0000"/>
              </w:rPr>
            </w:pPr>
            <w:r>
              <w:rPr>
                <w:rFonts w:hint="default" w:ascii="Times New Roman" w:hAnsi="Times New Roman" w:cs="Times New Roman"/>
                <w:color w:val="FF0000"/>
                <w:spacing w:val="9"/>
              </w:rPr>
              <w:t>本项目养殖场选址要远离城市和城镇居民区；同时</w:t>
            </w:r>
            <w:r>
              <w:rPr>
                <w:rFonts w:hint="default" w:ascii="Times New Roman" w:hAnsi="Times New Roman" w:cs="Times New Roman"/>
                <w:color w:val="FF0000"/>
                <w:spacing w:val="3"/>
              </w:rPr>
              <w:t>场内鸡舍通过控制饲养密度、选用益生菌配方饲料、</w:t>
            </w:r>
            <w:r>
              <w:rPr>
                <w:rFonts w:hint="default" w:ascii="Times New Roman" w:hAnsi="Times New Roman" w:cs="Times New Roman"/>
                <w:color w:val="FF0000"/>
                <w:spacing w:val="9"/>
              </w:rPr>
              <w:t>干清粪工艺、鸡粪日产日清、定期喷洒除臭剂</w:t>
            </w:r>
            <w:r>
              <w:rPr>
                <w:rFonts w:hint="default" w:ascii="Times New Roman" w:hAnsi="Times New Roman" w:cs="Times New Roman"/>
                <w:color w:val="FF0000"/>
                <w:spacing w:val="8"/>
              </w:rPr>
              <w:t>、加</w:t>
            </w:r>
            <w:r>
              <w:rPr>
                <w:rFonts w:hint="default" w:ascii="Times New Roman" w:hAnsi="Times New Roman" w:cs="Times New Roman"/>
                <w:color w:val="FF0000"/>
                <w:spacing w:val="3"/>
              </w:rPr>
              <w:t>强鸡舍通风控制恶臭；污水处理设施通过加盖密闭，</w:t>
            </w:r>
            <w:r>
              <w:rPr>
                <w:rFonts w:hint="default" w:ascii="Times New Roman" w:hAnsi="Times New Roman" w:cs="Times New Roman"/>
                <w:color w:val="FF0000"/>
                <w:spacing w:val="9"/>
              </w:rPr>
              <w:t>定期喷洒除臭剂控制恶臭；污水处理系统收集</w:t>
            </w:r>
            <w:r>
              <w:rPr>
                <w:rFonts w:hint="default" w:ascii="Times New Roman" w:hAnsi="Times New Roman" w:cs="Times New Roman"/>
                <w:color w:val="FF0000"/>
                <w:spacing w:val="8"/>
              </w:rPr>
              <w:t>池</w:t>
            </w:r>
            <w:r>
              <w:rPr>
                <w:rFonts w:hint="default" w:ascii="Times New Roman" w:hAnsi="Times New Roman" w:cs="Times New Roman"/>
                <w:color w:val="FF0000"/>
                <w:spacing w:val="9"/>
              </w:rPr>
              <w:t>采取加盖密</w:t>
            </w:r>
            <w:r>
              <w:rPr>
                <w:rFonts w:hint="default" w:ascii="Times New Roman" w:hAnsi="Times New Roman" w:cs="Times New Roman"/>
                <w:color w:val="FF0000"/>
                <w:spacing w:val="7"/>
              </w:rPr>
              <w:t>闭</w:t>
            </w:r>
            <w:r>
              <w:rPr>
                <w:rFonts w:hint="default" w:ascii="Times New Roman" w:hAnsi="Times New Roman" w:eastAsia="宋体" w:cs="Times New Roman"/>
                <w:color w:val="FF0000"/>
                <w:spacing w:val="7"/>
                <w:lang w:eastAsia="zh-CN"/>
              </w:rPr>
              <w:t>，</w:t>
            </w:r>
            <w:r>
              <w:rPr>
                <w:rFonts w:hint="default" w:ascii="Times New Roman" w:hAnsi="Times New Roman" w:eastAsia="宋体" w:cs="Times New Roman"/>
                <w:color w:val="FF0000"/>
                <w:spacing w:val="7"/>
                <w:lang w:val="en-US" w:eastAsia="zh-CN"/>
              </w:rPr>
              <w:t>堆粪场</w:t>
            </w:r>
            <w:r>
              <w:rPr>
                <w:rFonts w:hint="default" w:ascii="Times New Roman" w:hAnsi="Times New Roman" w:cs="Times New Roman"/>
                <w:color w:val="FF0000"/>
                <w:spacing w:val="7"/>
              </w:rPr>
              <w:t>废气经负压收集后经</w:t>
            </w:r>
            <w:r>
              <w:rPr>
                <w:rFonts w:hint="default" w:ascii="Times New Roman" w:hAnsi="Times New Roman" w:eastAsia="Times New Roman" w:cs="Times New Roman"/>
                <w:color w:val="FF0000"/>
                <w:spacing w:val="7"/>
              </w:rPr>
              <w:t>1</w:t>
            </w:r>
            <w:r>
              <w:rPr>
                <w:rFonts w:hint="default" w:ascii="Times New Roman" w:hAnsi="Times New Roman" w:cs="Times New Roman"/>
                <w:color w:val="FF0000"/>
                <w:spacing w:val="7"/>
              </w:rPr>
              <w:t>套</w:t>
            </w:r>
            <w:r>
              <w:rPr>
                <w:rFonts w:hint="default" w:ascii="Times New Roman" w:hAnsi="Times New Roman" w:cs="Times New Roman"/>
                <w:color w:val="FF0000"/>
                <w:spacing w:val="-3"/>
              </w:rPr>
              <w:t>生物除臭装置处理后，经</w:t>
            </w:r>
            <w:r>
              <w:rPr>
                <w:rFonts w:hint="default" w:ascii="Times New Roman" w:hAnsi="Times New Roman" w:eastAsia="Times New Roman" w:cs="Times New Roman"/>
                <w:color w:val="FF0000"/>
                <w:spacing w:val="-3"/>
              </w:rPr>
              <w:t>1</w:t>
            </w:r>
            <w:r>
              <w:rPr>
                <w:rFonts w:hint="default" w:ascii="Times New Roman" w:hAnsi="Times New Roman" w:cs="Times New Roman"/>
                <w:color w:val="FF0000"/>
                <w:spacing w:val="-3"/>
              </w:rPr>
              <w:t>根</w:t>
            </w:r>
            <w:r>
              <w:rPr>
                <w:rFonts w:hint="default" w:ascii="Times New Roman" w:hAnsi="Times New Roman" w:eastAsia="Times New Roman" w:cs="Times New Roman"/>
                <w:color w:val="FF0000"/>
                <w:spacing w:val="-3"/>
              </w:rPr>
              <w:t>15m</w:t>
            </w:r>
            <w:r>
              <w:rPr>
                <w:rFonts w:hint="default" w:ascii="Times New Roman" w:hAnsi="Times New Roman" w:cs="Times New Roman"/>
                <w:color w:val="FF0000"/>
                <w:spacing w:val="-4"/>
              </w:rPr>
              <w:t>高排气筒</w:t>
            </w:r>
            <w:r>
              <w:rPr>
                <w:rFonts w:hint="default" w:ascii="Times New Roman" w:hAnsi="Times New Roman" w:cs="Times New Roman"/>
                <w:color w:val="FF0000"/>
                <w:spacing w:val="9"/>
              </w:rPr>
              <w:t>（</w:t>
            </w:r>
            <w:r>
              <w:rPr>
                <w:rFonts w:hint="default" w:ascii="Times New Roman" w:hAnsi="Times New Roman" w:eastAsia="Times New Roman" w:cs="Times New Roman"/>
                <w:color w:val="FF0000"/>
              </w:rPr>
              <w:t>DA</w:t>
            </w:r>
            <w:r>
              <w:rPr>
                <w:rFonts w:hint="default" w:ascii="Times New Roman" w:hAnsi="Times New Roman" w:eastAsia="Times New Roman" w:cs="Times New Roman"/>
                <w:color w:val="FF0000"/>
                <w:spacing w:val="9"/>
              </w:rPr>
              <w:t>00</w:t>
            </w:r>
            <w:r>
              <w:rPr>
                <w:rFonts w:hint="default" w:ascii="Times New Roman" w:hAnsi="Times New Roman" w:eastAsia="宋体" w:cs="Times New Roman"/>
                <w:color w:val="FF0000"/>
                <w:spacing w:val="9"/>
                <w:lang w:val="en-US" w:eastAsia="zh-CN"/>
              </w:rPr>
              <w:t>2</w:t>
            </w:r>
            <w:r>
              <w:rPr>
                <w:rFonts w:hint="default" w:ascii="Times New Roman" w:hAnsi="Times New Roman" w:cs="Times New Roman"/>
                <w:color w:val="FF0000"/>
                <w:spacing w:val="9"/>
              </w:rPr>
              <w:t>）排放，同时加强场区内绿化管理，减少</w:t>
            </w:r>
            <w:r>
              <w:rPr>
                <w:rFonts w:hint="default" w:ascii="Times New Roman" w:hAnsi="Times New Roman" w:cs="Times New Roman"/>
                <w:color w:val="FF0000"/>
                <w:spacing w:val="5"/>
              </w:rPr>
              <w:t>恶臭对周围环境的污染。</w:t>
            </w:r>
          </w:p>
        </w:tc>
        <w:tc>
          <w:tcPr>
            <w:tcW w:w="243" w:type="pct"/>
            <w:tcBorders>
              <w:right w:val="single" w:color="000000" w:sz="10" w:space="0"/>
            </w:tcBorders>
            <w:vAlign w:val="center"/>
          </w:tcPr>
          <w:p w14:paraId="75E75A6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38893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410" w:type="pct"/>
            <w:vMerge w:val="continue"/>
            <w:tcBorders>
              <w:left w:val="single" w:color="000000" w:sz="10" w:space="0"/>
            </w:tcBorders>
            <w:vAlign w:val="center"/>
          </w:tcPr>
          <w:p w14:paraId="506FA87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24" w:type="pct"/>
            <w:vMerge w:val="restart"/>
            <w:vAlign w:val="center"/>
          </w:tcPr>
          <w:p w14:paraId="37E3402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eastAsia="Times New Roman" w:cs="Times New Roman"/>
                <w:color w:val="FF0000"/>
                <w:spacing w:val="-4"/>
              </w:rPr>
              <w:t>9.4</w:t>
            </w:r>
            <w:r>
              <w:rPr>
                <w:rFonts w:hint="default" w:ascii="Times New Roman" w:hAnsi="Times New Roman" w:cs="Times New Roman"/>
                <w:color w:val="FF0000"/>
                <w:spacing w:val="-4"/>
              </w:rPr>
              <w:t>固</w:t>
            </w:r>
            <w:r>
              <w:rPr>
                <w:rFonts w:hint="default" w:ascii="Times New Roman" w:hAnsi="Times New Roman" w:cs="Times New Roman"/>
                <w:color w:val="FF0000"/>
                <w:spacing w:val="6"/>
              </w:rPr>
              <w:t>体废弃物防治</w:t>
            </w:r>
            <w:r>
              <w:rPr>
                <w:rFonts w:hint="default" w:ascii="Times New Roman" w:hAnsi="Times New Roman" w:cs="Times New Roman"/>
                <w:color w:val="FF0000"/>
                <w:spacing w:val="5"/>
              </w:rPr>
              <w:t>具体要</w:t>
            </w:r>
            <w:r>
              <w:rPr>
                <w:rFonts w:hint="default" w:ascii="Times New Roman" w:hAnsi="Times New Roman" w:cs="Times New Roman"/>
                <w:color w:val="FF0000"/>
              </w:rPr>
              <w:t>求</w:t>
            </w:r>
          </w:p>
        </w:tc>
        <w:tc>
          <w:tcPr>
            <w:tcW w:w="2383" w:type="pct"/>
            <w:vAlign w:val="center"/>
          </w:tcPr>
          <w:p w14:paraId="70CE471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Times New Roman" w:cs="Times New Roman"/>
                <w:color w:val="FF0000"/>
                <w:spacing w:val="5"/>
                <w:position w:val="1"/>
              </w:rPr>
            </w:pPr>
            <w:r>
              <w:rPr>
                <w:rFonts w:hint="default" w:ascii="Times New Roman" w:hAnsi="Times New Roman" w:eastAsia="Times New Roman" w:cs="Times New Roman"/>
                <w:color w:val="FF0000"/>
                <w:spacing w:val="5"/>
                <w:position w:val="1"/>
              </w:rPr>
              <w:t>9.4.1</w:t>
            </w:r>
            <w:r>
              <w:rPr>
                <w:rFonts w:hint="default" w:ascii="Times New Roman" w:hAnsi="Times New Roman" w:cs="Times New Roman"/>
                <w:color w:val="FF0000"/>
                <w:spacing w:val="5"/>
                <w:position w:val="1"/>
              </w:rPr>
              <w:t>畜禽养殖废弃物收集管理：</w:t>
            </w:r>
            <w:r>
              <w:rPr>
                <w:rFonts w:hint="default" w:ascii="Times New Roman" w:hAnsi="Times New Roman" w:cs="Times New Roman"/>
                <w:color w:val="FF0000"/>
                <w:spacing w:val="8"/>
              </w:rPr>
              <w:t>畜禽养殖应逐步采取粪尿分离和干清粪方式，减少污水产生和排放，为畜禽粪便处理与利用创造条件。</w:t>
            </w:r>
            <w:r>
              <w:rPr>
                <w:rFonts w:hint="default" w:ascii="Times New Roman" w:hAnsi="Times New Roman" w:cs="Times New Roman"/>
                <w:color w:val="FF0000"/>
                <w:spacing w:val="10"/>
              </w:rPr>
              <w:t>采用干法清粪工艺，畜舍（猪舍）地板设置网床或漏缝，实现粪、尿</w:t>
            </w:r>
          </w:p>
          <w:p w14:paraId="0DC9686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10"/>
              </w:rPr>
              <w:t>的分离，及时单独清出畜禽粪便，实现日产日清，并将产生的畜禽粪</w:t>
            </w:r>
            <w:r>
              <w:rPr>
                <w:rFonts w:hint="default" w:ascii="Times New Roman" w:hAnsi="Times New Roman" w:cs="Times New Roman"/>
                <w:color w:val="FF0000"/>
                <w:spacing w:val="8"/>
              </w:rPr>
              <w:t>便及时运至贮存或者处理场所。</w:t>
            </w:r>
            <w:r>
              <w:rPr>
                <w:rFonts w:hint="default" w:ascii="Times New Roman" w:hAnsi="Times New Roman" w:cs="Times New Roman"/>
                <w:color w:val="FF0000"/>
                <w:spacing w:val="9"/>
              </w:rPr>
              <w:t>规模化畜禽养殖场宜采用麦壳、稻壳、谷糠、锯末、粉碎的秸秆等材</w:t>
            </w:r>
            <w:r>
              <w:rPr>
                <w:rFonts w:hint="default" w:ascii="Times New Roman" w:hAnsi="Times New Roman" w:cs="Times New Roman"/>
                <w:color w:val="FF0000"/>
                <w:spacing w:val="4"/>
              </w:rPr>
              <w:t>料作为圈、舍、厩的垫料。畜禽粪便、垫料等废弃物应适时定期清运。</w:t>
            </w:r>
            <w:r>
              <w:rPr>
                <w:rFonts w:hint="default" w:ascii="Times New Roman" w:hAnsi="Times New Roman" w:cs="Times New Roman"/>
                <w:color w:val="FF0000"/>
                <w:spacing w:val="9"/>
              </w:rPr>
              <w:t>畜禽废弃物应设置畜禽废渣贮存设施或场所，采取防渗漏、防溢流、防雨水</w:t>
            </w:r>
            <w:r>
              <w:rPr>
                <w:rFonts w:hint="default" w:ascii="Times New Roman" w:hAnsi="Times New Roman" w:eastAsia="宋体" w:cs="Times New Roman"/>
                <w:color w:val="FF0000"/>
                <w:spacing w:val="9"/>
                <w:lang w:eastAsia="zh-CN"/>
              </w:rPr>
              <w:t>淋湿</w:t>
            </w:r>
            <w:r>
              <w:rPr>
                <w:rFonts w:hint="default" w:ascii="Times New Roman" w:hAnsi="Times New Roman" w:cs="Times New Roman"/>
                <w:color w:val="FF0000"/>
                <w:spacing w:val="9"/>
              </w:rPr>
              <w:t>、防恶臭、水泥硬化等措施，不可将粪便、污物随意堆放和排放，防止畜禽废渣渗漏、散落、溢流、雨水</w:t>
            </w:r>
            <w:r>
              <w:rPr>
                <w:rFonts w:hint="default" w:ascii="Times New Roman" w:hAnsi="Times New Roman" w:eastAsia="宋体" w:cs="Times New Roman"/>
                <w:color w:val="FF0000"/>
                <w:spacing w:val="9"/>
                <w:lang w:eastAsia="zh-CN"/>
              </w:rPr>
              <w:t>淋湿</w:t>
            </w:r>
            <w:r>
              <w:rPr>
                <w:rFonts w:hint="default" w:ascii="Times New Roman" w:hAnsi="Times New Roman" w:cs="Times New Roman"/>
                <w:color w:val="FF0000"/>
                <w:spacing w:val="9"/>
              </w:rPr>
              <w:t>、恶臭气味等对</w:t>
            </w:r>
            <w:r>
              <w:rPr>
                <w:rFonts w:hint="default" w:ascii="Times New Roman" w:hAnsi="Times New Roman" w:cs="Times New Roman"/>
                <w:color w:val="FF0000"/>
                <w:spacing w:val="6"/>
              </w:rPr>
              <w:t>周围环境造成污染和危害。</w:t>
            </w:r>
            <w:r>
              <w:rPr>
                <w:rFonts w:hint="default" w:ascii="Times New Roman" w:hAnsi="Times New Roman" w:cs="Times New Roman"/>
                <w:color w:val="FF0000"/>
                <w:spacing w:val="10"/>
              </w:rPr>
              <w:t>畜禽养殖废弃物外运至集中处理场进行堆肥处理，其贮存、运输器具</w:t>
            </w:r>
            <w:r>
              <w:rPr>
                <w:rFonts w:hint="default" w:ascii="Times New Roman" w:hAnsi="Times New Roman" w:cs="Times New Roman"/>
                <w:color w:val="FF0000"/>
                <w:spacing w:val="9"/>
              </w:rPr>
              <w:t>应采取可靠的密闭、防泄漏的卫生安全措施。</w:t>
            </w:r>
          </w:p>
        </w:tc>
        <w:tc>
          <w:tcPr>
            <w:tcW w:w="1737" w:type="pct"/>
            <w:vAlign w:val="center"/>
          </w:tcPr>
          <w:p w14:paraId="7FE8E92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11"/>
              </w:rPr>
              <w:t>本项目采用机械干清粪工艺本项目的鸡粪日产日清，每天由传送带直接运输至</w:t>
            </w:r>
            <w:r>
              <w:rPr>
                <w:rFonts w:hint="default" w:ascii="Times New Roman" w:hAnsi="Times New Roman" w:eastAsia="宋体" w:cs="Times New Roman"/>
                <w:color w:val="FF0000"/>
                <w:spacing w:val="11"/>
                <w:lang w:val="en-US" w:eastAsia="zh-CN"/>
              </w:rPr>
              <w:t>堆粪场发酵处理</w:t>
            </w:r>
          </w:p>
        </w:tc>
        <w:tc>
          <w:tcPr>
            <w:tcW w:w="243" w:type="pct"/>
            <w:tcBorders>
              <w:right w:val="single" w:color="000000" w:sz="10" w:space="0"/>
            </w:tcBorders>
            <w:vAlign w:val="center"/>
          </w:tcPr>
          <w:p w14:paraId="4121FDB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r w14:paraId="1953E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1" w:hRule="atLeast"/>
        </w:trPr>
        <w:tc>
          <w:tcPr>
            <w:tcW w:w="410" w:type="pct"/>
            <w:vMerge w:val="continue"/>
            <w:tcBorders>
              <w:left w:val="single" w:color="000000" w:sz="10" w:space="0"/>
            </w:tcBorders>
            <w:vAlign w:val="center"/>
          </w:tcPr>
          <w:p w14:paraId="7617CF0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24" w:type="pct"/>
            <w:vMerge w:val="continue"/>
            <w:vAlign w:val="center"/>
          </w:tcPr>
          <w:p w14:paraId="5F7FA69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rPr>
            </w:pPr>
          </w:p>
        </w:tc>
        <w:tc>
          <w:tcPr>
            <w:tcW w:w="2383" w:type="pct"/>
            <w:vAlign w:val="center"/>
          </w:tcPr>
          <w:p w14:paraId="2CBF2AA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eastAsia="Times New Roman" w:cs="Times New Roman"/>
                <w:color w:val="FF0000"/>
                <w:spacing w:val="6"/>
                <w:position w:val="1"/>
              </w:rPr>
              <w:t>9.4.2</w:t>
            </w:r>
            <w:r>
              <w:rPr>
                <w:rFonts w:hint="default" w:ascii="Times New Roman" w:hAnsi="Times New Roman" w:cs="Times New Roman"/>
                <w:color w:val="FF0000"/>
                <w:spacing w:val="6"/>
                <w:position w:val="1"/>
              </w:rPr>
              <w:t>畜禽养殖废弃物的综合利用：</w:t>
            </w:r>
            <w:r>
              <w:rPr>
                <w:rFonts w:hint="default" w:ascii="Times New Roman" w:hAnsi="Times New Roman" w:cs="Times New Roman"/>
                <w:color w:val="FF0000"/>
                <w:spacing w:val="10"/>
              </w:rPr>
              <w:t>畜禽养殖废弃物应根据养殖种类、养殖规模、粪污收集方式、当地的自然地理环境条件以及排水去向等实际情况采用不同模式进行处理与</w:t>
            </w:r>
            <w:r>
              <w:rPr>
                <w:rFonts w:hint="default" w:ascii="Times New Roman" w:hAnsi="Times New Roman" w:cs="Times New Roman"/>
                <w:color w:val="FF0000"/>
                <w:spacing w:val="2"/>
              </w:rPr>
              <w:t>利用。</w:t>
            </w:r>
            <w:r>
              <w:rPr>
                <w:rFonts w:hint="default" w:ascii="Times New Roman" w:hAnsi="Times New Roman" w:cs="Times New Roman"/>
                <w:color w:val="FF0000"/>
                <w:spacing w:val="10"/>
              </w:rPr>
              <w:t>规模化畜禽养殖场（小区）周边如有大型专业化集中式畜禽废弃物处</w:t>
            </w:r>
            <w:r>
              <w:rPr>
                <w:rFonts w:hint="default" w:ascii="Times New Roman" w:hAnsi="Times New Roman" w:cs="Times New Roman"/>
                <w:color w:val="FF0000"/>
                <w:spacing w:val="9"/>
              </w:rPr>
              <w:t>理处置工厂，可送入进行畜禽废弃物的集中处理与规模化利用。</w:t>
            </w:r>
            <w:r>
              <w:rPr>
                <w:rFonts w:hint="default" w:ascii="Times New Roman" w:hAnsi="Times New Roman" w:cs="Times New Roman"/>
                <w:color w:val="FF0000"/>
                <w:spacing w:val="10"/>
              </w:rPr>
              <w:t>畜禽养殖场（小区）若周边有农田能消纳其全部粪肥，可采用高温好氧堆肥生产有机肥工艺或其他适用技术和方法进行无害化处理并达到</w:t>
            </w:r>
            <w:r>
              <w:rPr>
                <w:rFonts w:hint="default" w:ascii="Times New Roman" w:hAnsi="Times New Roman" w:cs="Times New Roman"/>
                <w:color w:val="FF0000"/>
                <w:spacing w:val="5"/>
              </w:rPr>
              <w:t>《粪便无害化卫生标准》（</w:t>
            </w:r>
            <w:r>
              <w:rPr>
                <w:rFonts w:hint="default" w:ascii="Times New Roman" w:hAnsi="Times New Roman" w:eastAsia="Times New Roman" w:cs="Times New Roman"/>
                <w:color w:val="FF0000"/>
              </w:rPr>
              <w:t>GB</w:t>
            </w:r>
            <w:r>
              <w:rPr>
                <w:rFonts w:hint="default" w:ascii="Times New Roman" w:hAnsi="Times New Roman" w:eastAsia="Times New Roman" w:cs="Times New Roman"/>
                <w:color w:val="FF0000"/>
                <w:spacing w:val="5"/>
              </w:rPr>
              <w:t>7959-87</w:t>
            </w:r>
            <w:r>
              <w:rPr>
                <w:rFonts w:hint="default" w:ascii="Times New Roman" w:hAnsi="Times New Roman" w:cs="Times New Roman"/>
                <w:color w:val="FF0000"/>
                <w:spacing w:val="5"/>
              </w:rPr>
              <w:t>）的有关要求后还田利用。畜禽养殖场（小区）若具备有效利用的条件，可以</w:t>
            </w:r>
            <w:r>
              <w:rPr>
                <w:rFonts w:hint="default" w:ascii="Times New Roman" w:hAnsi="Times New Roman" w:cs="Times New Roman"/>
                <w:color w:val="FF0000"/>
                <w:spacing w:val="4"/>
              </w:rPr>
              <w:t>采用</w:t>
            </w:r>
            <w:r>
              <w:rPr>
                <w:rFonts w:hint="default" w:ascii="Times New Roman" w:hAnsi="Times New Roman" w:eastAsia="Times New Roman" w:cs="Times New Roman"/>
                <w:color w:val="FF0000"/>
                <w:spacing w:val="4"/>
              </w:rPr>
              <w:t>“</w:t>
            </w:r>
            <w:r>
              <w:rPr>
                <w:rFonts w:hint="default" w:ascii="Times New Roman" w:hAnsi="Times New Roman" w:cs="Times New Roman"/>
                <w:color w:val="FF0000"/>
                <w:spacing w:val="4"/>
              </w:rPr>
              <w:t>厌氧消化工艺</w:t>
            </w:r>
            <w:r>
              <w:rPr>
                <w:rFonts w:hint="default" w:ascii="Times New Roman" w:hAnsi="Times New Roman" w:eastAsia="Times New Roman" w:cs="Times New Roman"/>
                <w:color w:val="FF0000"/>
                <w:spacing w:val="4"/>
              </w:rPr>
              <w:t>”</w:t>
            </w:r>
            <w:r>
              <w:rPr>
                <w:rFonts w:hint="default" w:ascii="Times New Roman" w:hAnsi="Times New Roman" w:cs="Times New Roman"/>
                <w:color w:val="FF0000"/>
                <w:spacing w:val="10"/>
              </w:rPr>
              <w:t>进行畜禽养殖废弃物的无害化处理与有机肥综合利用。农户沼气普及</w:t>
            </w:r>
            <w:r>
              <w:rPr>
                <w:rFonts w:hint="default" w:ascii="Times New Roman" w:hAnsi="Times New Roman" w:cs="Times New Roman"/>
                <w:color w:val="FF0000"/>
                <w:spacing w:val="9"/>
              </w:rPr>
              <w:t>率较高的地区，可将产生的畜禽废弃物分送给</w:t>
            </w:r>
            <w:r>
              <w:rPr>
                <w:rFonts w:hint="default" w:ascii="Times New Roman" w:hAnsi="Times New Roman" w:cs="Times New Roman"/>
                <w:color w:val="FF0000"/>
                <w:spacing w:val="8"/>
              </w:rPr>
              <w:t>沼气户用作沼料。</w:t>
            </w:r>
          </w:p>
        </w:tc>
        <w:tc>
          <w:tcPr>
            <w:tcW w:w="1737" w:type="pct"/>
            <w:vAlign w:val="center"/>
          </w:tcPr>
          <w:p w14:paraId="0C006BC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11"/>
              </w:rPr>
              <w:t>本项目采用机械干清粪工艺本项目的鸡粪日产日清，每天由传送带直接运输至</w:t>
            </w:r>
            <w:r>
              <w:rPr>
                <w:rFonts w:hint="default" w:ascii="Times New Roman" w:hAnsi="Times New Roman" w:eastAsia="宋体" w:cs="Times New Roman"/>
                <w:color w:val="FF0000"/>
                <w:spacing w:val="11"/>
                <w:lang w:val="en-US" w:eastAsia="zh-CN"/>
              </w:rPr>
              <w:t>堆粪场发酵处理</w:t>
            </w:r>
          </w:p>
        </w:tc>
        <w:tc>
          <w:tcPr>
            <w:tcW w:w="243" w:type="pct"/>
            <w:tcBorders>
              <w:right w:val="single" w:color="000000" w:sz="10" w:space="0"/>
            </w:tcBorders>
            <w:vAlign w:val="center"/>
          </w:tcPr>
          <w:p w14:paraId="05F8ECA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rPr>
            </w:pPr>
            <w:r>
              <w:rPr>
                <w:rFonts w:hint="default" w:ascii="Times New Roman" w:hAnsi="Times New Roman" w:cs="Times New Roman"/>
                <w:color w:val="FF0000"/>
                <w:spacing w:val="3"/>
              </w:rPr>
              <w:t>符合</w:t>
            </w:r>
          </w:p>
        </w:tc>
      </w:tr>
    </w:tbl>
    <w:p w14:paraId="1FE657F0">
      <w:pPr>
        <w:pStyle w:val="5"/>
        <w:bidi w:val="0"/>
        <w:rPr>
          <w:rFonts w:hint="default" w:ascii="Times New Roman" w:hAnsi="Times New Roman" w:eastAsia="宋体" w:cs="Times New Roman"/>
          <w:b/>
          <w:bCs/>
          <w:color w:val="auto"/>
          <w:sz w:val="24"/>
          <w:lang w:eastAsia="zh-CN"/>
        </w:rPr>
      </w:pPr>
      <w:r>
        <w:rPr>
          <w:rFonts w:hint="default" w:ascii="Times New Roman" w:hAnsi="Times New Roman" w:cs="Times New Roman"/>
          <w:b/>
          <w:bCs/>
          <w:color w:val="auto"/>
          <w:sz w:val="24"/>
          <w:lang w:eastAsia="zh-CN"/>
        </w:rPr>
        <w:t>与《</w:t>
      </w:r>
      <w:r>
        <w:rPr>
          <w:rFonts w:hint="default" w:ascii="Times New Roman" w:hAnsi="Times New Roman" w:cs="Times New Roman"/>
          <w:b/>
          <w:bCs/>
          <w:color w:val="auto"/>
          <w:sz w:val="24"/>
          <w:lang w:val="en-US" w:eastAsia="zh-CN"/>
        </w:rPr>
        <w:t>新疆维吾尔自治区畜牧业</w:t>
      </w:r>
      <w:r>
        <w:rPr>
          <w:rFonts w:hint="default" w:ascii="Times New Roman" w:hAnsi="Times New Roman" w:cs="Times New Roman"/>
          <w:b/>
          <w:bCs/>
          <w:color w:val="auto"/>
          <w:sz w:val="24"/>
          <w:lang w:eastAsia="zh-CN"/>
        </w:rPr>
        <w:t>“十</w:t>
      </w:r>
      <w:r>
        <w:rPr>
          <w:rFonts w:hint="default" w:ascii="Times New Roman" w:hAnsi="Times New Roman" w:cs="Times New Roman"/>
          <w:b/>
          <w:bCs/>
          <w:color w:val="auto"/>
          <w:sz w:val="24"/>
          <w:lang w:val="en-US" w:eastAsia="zh-CN"/>
        </w:rPr>
        <w:t>四</w:t>
      </w:r>
      <w:r>
        <w:rPr>
          <w:rFonts w:hint="default" w:ascii="Times New Roman" w:hAnsi="Times New Roman" w:cs="Times New Roman"/>
          <w:b/>
          <w:bCs/>
          <w:color w:val="auto"/>
          <w:sz w:val="24"/>
          <w:lang w:eastAsia="zh-CN"/>
        </w:rPr>
        <w:t>五”</w:t>
      </w:r>
      <w:r>
        <w:rPr>
          <w:rFonts w:hint="default" w:ascii="Times New Roman" w:hAnsi="Times New Roman" w:cs="Times New Roman"/>
          <w:b/>
          <w:bCs/>
          <w:color w:val="auto"/>
          <w:sz w:val="24"/>
          <w:lang w:val="en-US" w:eastAsia="zh-CN"/>
        </w:rPr>
        <w:t>发展</w:t>
      </w:r>
      <w:r>
        <w:rPr>
          <w:rFonts w:hint="default" w:ascii="Times New Roman" w:hAnsi="Times New Roman" w:cs="Times New Roman"/>
          <w:b/>
          <w:bCs/>
          <w:color w:val="auto"/>
          <w:sz w:val="24"/>
          <w:lang w:eastAsia="zh-CN"/>
        </w:rPr>
        <w:t>规划》（自治区第十三届人民政府第132次常务会议和自治区党委常委会会议，2021年9月18日）的符合性分析</w:t>
      </w:r>
    </w:p>
    <w:p w14:paraId="609FEBD0">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新疆维吾尔自治区畜牧业“十四五”发展规划》规划提出，“十四五”期间，全区畜牧业坚持生态化发展方向，坚持农牧结合、草畜配套，稳定发展牧区畜牧业，突出发展农区畜牧业，坚持走集约化、标准化、规模化的发展道路，着力夯基础、补短板、强弱项、优结构、促融合、壮主体、增动能，强化科技创新和政策支持，做大肉牛肉羊产业、加快奶业振兴、做优做强家禽产业、因地制宜发展特色产业，构建科学合理、安全高效的畜产品供给保障体系，加快推进现代畜牧业发展。</w:t>
      </w:r>
    </w:p>
    <w:p w14:paraId="2EF10C17">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优化家禽生产布局：发挥天山北坡专业化生产优势，引导大型企业建设工厂化、集约化、智能化基地，加快促进向育种—养殖—加工—销售一体化发展；推进南疆四地州特禽养殖向标准化规模化转型，推动禽肉对牛羊肉消费的替代补给；挖掘特色禽类资源，打造特优品牌。到2025年，南疆地区新增肉禽1亿羽，天山北坡新增肉禽2000万羽；全区新增蛋禽500万羽，规模养殖比例达85%以上，禽肉产量达45万吨，禽蛋产量达50万吨，自给率达90%以上。</w:t>
      </w:r>
    </w:p>
    <w:p w14:paraId="37554C18">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本项目为蛋鸡规模化养殖项目，年存栏蛋鸡和育雏鸡60万羽，本项目的集约化养殖方式，可加快推进现代家禽业发展，因此，本项目的建设符合《新疆维吾尔自治区畜牧业“十四五”发展规划》总体目标，符合家禽生产布局。</w:t>
      </w:r>
    </w:p>
    <w:p w14:paraId="3ED35894">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与《关于印发农业农村污染治理攻坚战行动方案（2021</w:t>
      </w:r>
      <w:r>
        <w:rPr>
          <w:rFonts w:hint="eastAsia" w:cs="Times New Roman"/>
          <w:color w:val="auto"/>
          <w:lang w:val="en-US" w:eastAsia="zh-CN"/>
        </w:rPr>
        <w:t>—</w:t>
      </w:r>
      <w:r>
        <w:rPr>
          <w:rFonts w:hint="default" w:ascii="Times New Roman" w:hAnsi="Times New Roman" w:cs="Times New Roman"/>
          <w:color w:val="auto"/>
          <w:lang w:val="en-US" w:eastAsia="zh-CN"/>
        </w:rPr>
        <w:t>2025年）的通知》（环土壤〔2022〕8号）符合性分析</w:t>
      </w:r>
    </w:p>
    <w:p w14:paraId="22FBDDCE">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根据《关于印发农业农村污染治理攻坚战行动方案（2021</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2025年）的通知》（环土壤〔2022〕8号）：推行畜禽粪污资源化利用。完善畜禽粪污资源化利用管理制度，依法合理施用畜禽粪肥。推动畜禽规模养殖场粪污处理设施装备提档升级，规范畜禽养殖户粪污处理设施装备配套，开展设施装备配套情况核查。整县推进畜禽粪污资源化利用，改造提升粪污处理设施，建设粪肥还田利用示范基地，推进种养结合，畅通粪肥还田渠道。建立畜禽规模养殖场碳排放核算、报告、核查等标准，探索制定重点畜产品全生命周期碳足迹标准，引导畜禽养殖环节温室气体减排。完善畜禽粪肥限量标准，指导各地安全合理施用粪肥。到2025年，畜禽规模养殖场建立粪污资源化利用计划和台账，粪污处理设施装备配套率稳定在97%以上，畜禽养殖户粪污处理设施装备配套水平明显提升。</w:t>
      </w:r>
    </w:p>
    <w:p w14:paraId="2F28E82F">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highlight w:val="none"/>
        </w:rPr>
        <w:t>本项目的清粪采用干清粪方式，</w:t>
      </w:r>
      <w:r>
        <w:rPr>
          <w:rFonts w:hint="default" w:ascii="Times New Roman" w:hAnsi="Times New Roman" w:cs="Times New Roman"/>
          <w:color w:val="auto"/>
          <w:sz w:val="24"/>
          <w:highlight w:val="none"/>
          <w:lang w:val="en-US" w:eastAsia="zh-CN"/>
        </w:rPr>
        <w:t>鸡粪经收集后暂存至鸡粪发酵</w:t>
      </w:r>
      <w:r>
        <w:rPr>
          <w:rFonts w:hint="eastAsia" w:ascii="Times New Roman" w:hAnsi="Times New Roman" w:cs="Times New Roman"/>
          <w:color w:val="auto"/>
          <w:sz w:val="24"/>
          <w:highlight w:val="none"/>
          <w:lang w:val="en-US" w:eastAsia="zh-CN"/>
        </w:rPr>
        <w:t>处理厂</w:t>
      </w:r>
      <w:r>
        <w:rPr>
          <w:rFonts w:hint="default" w:ascii="Times New Roman" w:hAnsi="Times New Roman" w:cs="Times New Roman"/>
          <w:color w:val="auto"/>
          <w:sz w:val="24"/>
          <w:highlight w:val="none"/>
          <w:lang w:val="en-US" w:eastAsia="zh-CN"/>
        </w:rPr>
        <w:t>，收集后发酵后外售农户综合利用，项目鸡舍粪便收集设施（</w:t>
      </w:r>
      <w:r>
        <w:rPr>
          <w:rFonts w:hint="eastAsia" w:ascii="Times New Roman" w:hAnsi="Times New Roman" w:cs="Times New Roman"/>
          <w:color w:val="auto"/>
          <w:sz w:val="24"/>
          <w:highlight w:val="none"/>
          <w:lang w:val="en-US" w:eastAsia="zh-CN"/>
        </w:rPr>
        <w:t>粪便传送带</w:t>
      </w:r>
      <w:r>
        <w:rPr>
          <w:rFonts w:hint="default" w:ascii="Times New Roman" w:hAnsi="Times New Roman" w:cs="Times New Roman"/>
          <w:color w:val="auto"/>
          <w:sz w:val="24"/>
          <w:highlight w:val="none"/>
          <w:lang w:val="en-US" w:eastAsia="zh-CN"/>
        </w:rPr>
        <w:t>和清粪机）定期进行冲洗，鸡舍粪便收集设施（</w:t>
      </w:r>
      <w:r>
        <w:rPr>
          <w:rFonts w:hint="eastAsia" w:ascii="Times New Roman" w:hAnsi="Times New Roman" w:cs="Times New Roman"/>
          <w:color w:val="auto"/>
          <w:sz w:val="24"/>
          <w:highlight w:val="none"/>
          <w:lang w:val="en-US" w:eastAsia="zh-CN"/>
        </w:rPr>
        <w:t>粪便传送带</w:t>
      </w:r>
      <w:r>
        <w:rPr>
          <w:rFonts w:hint="default" w:ascii="Times New Roman" w:hAnsi="Times New Roman" w:cs="Times New Roman"/>
          <w:color w:val="auto"/>
          <w:sz w:val="24"/>
          <w:highlight w:val="none"/>
          <w:lang w:val="en-US" w:eastAsia="zh-CN"/>
        </w:rPr>
        <w:t>和清粪机）冲洗废水与生活污水排入废水收集池处理后用于粪便堆肥，增加有机肥湿度</w:t>
      </w:r>
      <w:r>
        <w:rPr>
          <w:rFonts w:hint="default" w:ascii="Times New Roman" w:hAnsi="Times New Roman" w:cs="Times New Roman"/>
          <w:color w:val="auto"/>
          <w:sz w:val="24"/>
          <w:lang w:val="en-US" w:eastAsia="zh-CN"/>
        </w:rPr>
        <w:t>。项目建设符合《关于印发农业农村污染治理攻坚战行动方案（2021</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2025年）的通知》（环土壤〔2022〕8号）相关要求。</w:t>
      </w:r>
    </w:p>
    <w:p w14:paraId="06CC95B6">
      <w:pPr>
        <w:pStyle w:val="5"/>
        <w:bidi w:val="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与《第十师北屯市“十四五”生态环境保护规划》的符合性</w:t>
      </w:r>
    </w:p>
    <w:p w14:paraId="5B733C32">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加强农业面源水污染防治。扎实开展农业面源水污染综合整治，持续加强师市农业面源污染控制。加强农排渠的水污染治理，采取农业灌溉系统改造、生态拦截沟建设、污水净化塘等措施，减少农田退水污染负荷。强化屠宰行业外排污水预处理，鼓励深度处理。加强水产养殖尾水治理，推广应用封闭式循环水、零废水排放或尾水处理后排放的水产养殖新技术。推广“种养结合”“桑基鱼塘”“截污建池收运还田”等生态循环发展模式，减少畜禽养殖污染。发挥水产养殖业生态修复功能，广泛应用于连队人居环境整治沟渠清理、河道美化、湿地生态修复等，实现生态与产业共赢。</w:t>
      </w:r>
    </w:p>
    <w:p w14:paraId="53E66709">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highlight w:val="none"/>
        </w:rPr>
        <w:t>本项目的清粪采用干清粪方式，</w:t>
      </w:r>
      <w:r>
        <w:rPr>
          <w:rFonts w:hint="default" w:ascii="Times New Roman" w:hAnsi="Times New Roman" w:cs="Times New Roman"/>
          <w:color w:val="FF0000"/>
          <w:sz w:val="24"/>
          <w:highlight w:val="none"/>
          <w:lang w:val="en-US" w:eastAsia="zh-CN"/>
        </w:rPr>
        <w:t>鸡粪经收集后暂存至鸡粪发酵</w:t>
      </w:r>
      <w:r>
        <w:rPr>
          <w:rFonts w:hint="eastAsia" w:ascii="Times New Roman" w:hAnsi="Times New Roman" w:cs="Times New Roman"/>
          <w:color w:val="FF0000"/>
          <w:sz w:val="24"/>
          <w:highlight w:val="none"/>
          <w:lang w:val="en-US" w:eastAsia="zh-CN"/>
        </w:rPr>
        <w:t>处理厂</w:t>
      </w:r>
      <w:r>
        <w:rPr>
          <w:rFonts w:hint="default" w:ascii="Times New Roman" w:hAnsi="Times New Roman" w:cs="Times New Roman"/>
          <w:color w:val="FF0000"/>
          <w:sz w:val="24"/>
          <w:highlight w:val="none"/>
          <w:lang w:val="en-US" w:eastAsia="zh-CN"/>
        </w:rPr>
        <w:t>，收集后发酵后外售农户综合利用，项目鸡舍粪便收集设施（</w:t>
      </w:r>
      <w:r>
        <w:rPr>
          <w:rFonts w:hint="eastAsia" w:ascii="Times New Roman" w:hAnsi="Times New Roman" w:cs="Times New Roman"/>
          <w:color w:val="FF0000"/>
          <w:sz w:val="24"/>
          <w:highlight w:val="none"/>
          <w:lang w:val="en-US" w:eastAsia="zh-CN"/>
        </w:rPr>
        <w:t>粪便传送带</w:t>
      </w:r>
      <w:r>
        <w:rPr>
          <w:rFonts w:hint="default" w:ascii="Times New Roman" w:hAnsi="Times New Roman" w:cs="Times New Roman"/>
          <w:color w:val="FF0000"/>
          <w:sz w:val="24"/>
          <w:highlight w:val="none"/>
          <w:lang w:val="en-US" w:eastAsia="zh-CN"/>
        </w:rPr>
        <w:t>和清粪机）定期进行冲洗，鸡舍粪便收集设施（</w:t>
      </w:r>
      <w:r>
        <w:rPr>
          <w:rFonts w:hint="eastAsia" w:ascii="Times New Roman" w:hAnsi="Times New Roman" w:cs="Times New Roman"/>
          <w:color w:val="FF0000"/>
          <w:sz w:val="24"/>
          <w:highlight w:val="none"/>
          <w:lang w:val="en-US" w:eastAsia="zh-CN"/>
        </w:rPr>
        <w:t>粪便传送带</w:t>
      </w:r>
      <w:r>
        <w:rPr>
          <w:rFonts w:hint="default" w:ascii="Times New Roman" w:hAnsi="Times New Roman" w:cs="Times New Roman"/>
          <w:color w:val="FF0000"/>
          <w:sz w:val="24"/>
          <w:highlight w:val="none"/>
          <w:lang w:val="en-US" w:eastAsia="zh-CN"/>
        </w:rPr>
        <w:t>和清粪机）冲洗废水与生活污水排入废水收集池处理后用于粪便堆肥，增加有机肥湿度</w:t>
      </w:r>
      <w:r>
        <w:rPr>
          <w:rFonts w:hint="default" w:ascii="Times New Roman" w:hAnsi="Times New Roman" w:cs="Times New Roman"/>
          <w:color w:val="FF0000"/>
          <w:sz w:val="24"/>
          <w:lang w:val="en-US" w:eastAsia="zh-CN"/>
        </w:rPr>
        <w:t>。项目建设符合《第十师北屯市“十四五”生态环境保护规划》相关要求。</w:t>
      </w:r>
    </w:p>
    <w:p w14:paraId="4224EF33">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生态环境分区管控符合性</w:t>
      </w:r>
    </w:p>
    <w:p w14:paraId="43AE3F41">
      <w:pPr>
        <w:pStyle w:val="5"/>
        <w:bidi w:val="0"/>
        <w:rPr>
          <w:rFonts w:hint="default" w:ascii="Times New Roman" w:hAnsi="Times New Roman" w:cs="Times New Roman"/>
          <w:lang w:eastAsia="zh-CN"/>
        </w:rPr>
      </w:pPr>
      <w:r>
        <w:rPr>
          <w:rFonts w:hint="default" w:ascii="Times New Roman" w:hAnsi="Times New Roman" w:cs="Times New Roman"/>
          <w:lang w:eastAsia="zh-CN"/>
        </w:rPr>
        <w:t>与《新疆生产建设兵团“三线一单”生态环境分区管控方案》及动态更新成果符合性分析</w:t>
      </w:r>
    </w:p>
    <w:p w14:paraId="2F9702F1">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highlight w:val="none"/>
          <w:lang w:val="en-US" w:eastAsia="zh-CN"/>
        </w:rPr>
      </w:pPr>
      <w:r>
        <w:rPr>
          <w:rFonts w:hint="default" w:ascii="Times New Roman" w:hAnsi="Times New Roman" w:eastAsia="宋体" w:cs="Times New Roman"/>
          <w:color w:val="FF0000"/>
          <w:sz w:val="24"/>
          <w:highlight w:val="none"/>
          <w:lang w:val="en-US" w:eastAsia="zh-CN"/>
        </w:rPr>
        <w:t>2021年4月，兵团下发《关于印发〈新疆生产建设兵团“三线一单”生态环境分区管控方案〉的通知》</w:t>
      </w:r>
      <w:r>
        <w:rPr>
          <w:rFonts w:hint="eastAsia" w:ascii="Times New Roman" w:hAnsi="Times New Roman" w:cs="Times New Roman"/>
          <w:color w:val="FF0000"/>
          <w:sz w:val="24"/>
          <w:highlight w:val="none"/>
          <w:lang w:val="en-US" w:eastAsia="zh-CN"/>
        </w:rPr>
        <w:t>（</w:t>
      </w:r>
      <w:r>
        <w:rPr>
          <w:rFonts w:hint="default" w:ascii="Times New Roman" w:hAnsi="Times New Roman" w:eastAsia="宋体" w:cs="Times New Roman"/>
          <w:color w:val="FF0000"/>
          <w:sz w:val="24"/>
          <w:highlight w:val="none"/>
          <w:lang w:val="en-US" w:eastAsia="zh-CN"/>
        </w:rPr>
        <w:t>新兵发〔2021〕16号</w:t>
      </w:r>
      <w:r>
        <w:rPr>
          <w:rFonts w:hint="eastAsia" w:ascii="Times New Roman" w:hAnsi="Times New Roman" w:cs="Times New Roman"/>
          <w:color w:val="FF0000"/>
          <w:sz w:val="24"/>
          <w:highlight w:val="none"/>
          <w:lang w:val="en-US" w:eastAsia="zh-CN"/>
        </w:rPr>
        <w:t>）</w:t>
      </w:r>
      <w:r>
        <w:rPr>
          <w:rFonts w:hint="default" w:ascii="Times New Roman" w:hAnsi="Times New Roman" w:eastAsia="宋体" w:cs="Times New Roman"/>
          <w:color w:val="FF0000"/>
          <w:sz w:val="24"/>
          <w:highlight w:val="none"/>
          <w:lang w:val="en-US" w:eastAsia="zh-CN"/>
        </w:rPr>
        <w:t>，2023年度，兵团衔接国土空间规划、“三区三线”、水源地优化调整等成果，动态更新兵团生态环境分区管控成果。2024年1月初，《新疆生产建设兵团2023年度生态环境分区管控成果动态更新情况说明》顺利通过生态环境部的备案，自此，全兵团共划定760个环境管控单元，分为优先保护单元、重点管控单元、一般管控单元三大类。2024年12月16日、按照生态环境部</w:t>
      </w:r>
      <w:r>
        <w:rPr>
          <w:rFonts w:hint="eastAsia" w:ascii="Times New Roman" w:hAnsi="Times New Roman" w:cs="Times New Roman"/>
          <w:color w:val="FF0000"/>
          <w:sz w:val="24"/>
          <w:highlight w:val="none"/>
          <w:lang w:val="en-US" w:eastAsia="zh-CN"/>
        </w:rPr>
        <w:t>《</w:t>
      </w:r>
      <w:r>
        <w:rPr>
          <w:rFonts w:hint="default" w:ascii="Times New Roman" w:hAnsi="Times New Roman" w:eastAsia="宋体" w:cs="Times New Roman"/>
          <w:color w:val="FF0000"/>
          <w:sz w:val="24"/>
          <w:highlight w:val="none"/>
          <w:lang w:val="en-US" w:eastAsia="zh-CN"/>
        </w:rPr>
        <w:t>2023年生态环境分区管控成果动态更新工作方案》</w:t>
      </w:r>
      <w:r>
        <w:rPr>
          <w:rFonts w:hint="eastAsia" w:ascii="Times New Roman" w:hAnsi="Times New Roman" w:cs="Times New Roman"/>
          <w:color w:val="FF0000"/>
          <w:sz w:val="24"/>
          <w:highlight w:val="none"/>
          <w:lang w:val="en-US" w:eastAsia="zh-CN"/>
        </w:rPr>
        <w:t>（</w:t>
      </w:r>
      <w:r>
        <w:rPr>
          <w:rFonts w:hint="default" w:ascii="Times New Roman" w:hAnsi="Times New Roman" w:eastAsia="宋体" w:cs="Times New Roman"/>
          <w:color w:val="FF0000"/>
          <w:sz w:val="24"/>
          <w:highlight w:val="none"/>
          <w:lang w:val="en-US" w:eastAsia="zh-CN"/>
        </w:rPr>
        <w:t>环办环评函〔2023〕81号)要求，兵团生态环境局发布了《新疆生产建设兵团2023年度生态环境分区管控动态更新成果公告》。</w:t>
      </w:r>
    </w:p>
    <w:p w14:paraId="33FF7812">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highlight w:val="none"/>
          <w:lang w:val="en-US" w:eastAsia="zh-CN"/>
        </w:rPr>
      </w:pPr>
      <w:r>
        <w:rPr>
          <w:rFonts w:hint="default" w:ascii="Times New Roman" w:hAnsi="Times New Roman" w:eastAsia="宋体" w:cs="Times New Roman"/>
          <w:color w:val="FF0000"/>
          <w:sz w:val="24"/>
          <w:highlight w:val="none"/>
          <w:lang w:val="en-US" w:eastAsia="zh-CN"/>
        </w:rPr>
        <w:t>优先保护单元主要包括生态保护红线、一般生态空间，水环境优先保护区，环境空气一类功能区等区域。该区域以生态环境保护优先为原则，开发建设活动应严格执行相关法律法规要求，严守生态环境质量底线，确保生态功能不降低。重点管控单元主要包括兵团城市和团部区域、兵团级及以上开发区和开发强度大、污染物排放强度高及存在环境风险的区域。该区域应优化空间布局，加强污染物排放控制和环境风险防控，不断提升资源利用效率，重点解决突出生态环境问题，切实推动生态环境质量持续改善。一般管控单元主要指优先保护单元和重点管控单元之外的区域。该区域以经济社会可持续发展为导向，生态环境保护与适度开发相结合，开发建设应落实现行生态环境保护基本要求。</w:t>
      </w:r>
    </w:p>
    <w:p w14:paraId="24064801">
      <w:pPr>
        <w:pStyle w:val="6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color w:val="FF0000"/>
          <w:sz w:val="24"/>
          <w:highlight w:val="none"/>
          <w:lang w:val="en-US" w:eastAsia="zh-CN"/>
        </w:rPr>
      </w:pPr>
      <w:r>
        <w:rPr>
          <w:rFonts w:hint="default" w:ascii="Times New Roman" w:hAnsi="Times New Roman" w:eastAsia="宋体" w:cs="Times New Roman"/>
          <w:color w:val="FF0000"/>
          <w:sz w:val="24"/>
          <w:highlight w:val="none"/>
          <w:lang w:val="en-US" w:eastAsia="zh-CN"/>
        </w:rPr>
        <w:t>根据《关于以改善环境质量为核心加强环境影响评价管理的通知》，落实“生态保护红线、环境质量底线、资源利用上线和环境准入负面清单”，强化“三线一单”作用，对本项目与兵团生态环境准入清单的符合性分析见下表。</w:t>
      </w:r>
    </w:p>
    <w:p w14:paraId="33F7D8A1">
      <w:pPr>
        <w:pStyle w:val="14"/>
        <w:bidi w:val="0"/>
        <w:rPr>
          <w:rFonts w:hint="default" w:ascii="Times New Roman" w:hAnsi="Times New Roman" w:cs="Times New Roman"/>
          <w:lang w:eastAsia="zh-C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lang w:eastAsia="zh-CN"/>
        </w:rPr>
        <w:t>本项目与《新疆生产建设兵团2023年度生态环境分区管控动态更新成果》符合性分析一览表</w:t>
      </w:r>
    </w:p>
    <w:tbl>
      <w:tblPr>
        <w:tblStyle w:val="76"/>
        <w:tblW w:w="473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8"/>
        <w:gridCol w:w="396"/>
        <w:gridCol w:w="4355"/>
        <w:gridCol w:w="2526"/>
        <w:gridCol w:w="306"/>
      </w:tblGrid>
      <w:tr w14:paraId="66203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203" w:type="pct"/>
            <w:gridSpan w:val="3"/>
            <w:tcBorders>
              <w:tl2br w:val="nil"/>
              <w:tr2bl w:val="nil"/>
            </w:tcBorders>
            <w:shd w:val="clear" w:color="auto" w:fill="auto"/>
            <w:vAlign w:val="center"/>
          </w:tcPr>
          <w:p w14:paraId="43F38C31">
            <w:pPr>
              <w:spacing w:line="240" w:lineRule="auto"/>
              <w:ind w:firstLine="0" w:firstLineChars="0"/>
              <w:rPr>
                <w:rFonts w:hint="default" w:ascii="Times New Roman" w:hAnsi="Times New Roman" w:eastAsia="Arial" w:cs="Times New Roman"/>
                <w:color w:val="auto"/>
                <w:sz w:val="21"/>
                <w:szCs w:val="21"/>
                <w:lang w:eastAsia="zh-CN"/>
              </w:rPr>
            </w:pPr>
            <w:r>
              <w:rPr>
                <w:rFonts w:hint="default" w:ascii="Times New Roman" w:hAnsi="Times New Roman" w:eastAsia="Arial" w:cs="Times New Roman"/>
                <w:color w:val="auto"/>
                <w:sz w:val="21"/>
                <w:szCs w:val="21"/>
                <w:lang w:eastAsia="zh-CN"/>
              </w:rPr>
              <w:t>环境管理政策有关要求</w:t>
            </w:r>
          </w:p>
        </w:tc>
        <w:tc>
          <w:tcPr>
            <w:tcW w:w="1602" w:type="pct"/>
            <w:tcBorders>
              <w:tl2br w:val="nil"/>
              <w:tr2bl w:val="nil"/>
            </w:tcBorders>
            <w:shd w:val="clear" w:color="auto" w:fill="auto"/>
            <w:vAlign w:val="center"/>
          </w:tcPr>
          <w:p w14:paraId="490C3BE7">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本项目情况</w:t>
            </w:r>
          </w:p>
        </w:tc>
        <w:tc>
          <w:tcPr>
            <w:tcW w:w="194" w:type="pct"/>
            <w:tcBorders>
              <w:tl2br w:val="nil"/>
              <w:tr2bl w:val="nil"/>
            </w:tcBorders>
            <w:shd w:val="clear" w:color="auto" w:fill="auto"/>
            <w:vAlign w:val="center"/>
          </w:tcPr>
          <w:p w14:paraId="7C9DB540">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符合性</w:t>
            </w:r>
          </w:p>
        </w:tc>
      </w:tr>
      <w:tr w14:paraId="27E7D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7" w:hRule="atLeast"/>
        </w:trPr>
        <w:tc>
          <w:tcPr>
            <w:tcW w:w="189" w:type="pct"/>
            <w:vMerge w:val="restart"/>
            <w:tcBorders>
              <w:tl2br w:val="nil"/>
              <w:tr2bl w:val="nil"/>
            </w:tcBorders>
            <w:shd w:val="clear" w:color="auto" w:fill="auto"/>
            <w:textDirection w:val="tbRlV"/>
            <w:vAlign w:val="center"/>
          </w:tcPr>
          <w:p w14:paraId="30F923E8">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总体管控要求</w:t>
            </w:r>
          </w:p>
        </w:tc>
        <w:tc>
          <w:tcPr>
            <w:tcW w:w="252" w:type="pct"/>
            <w:vMerge w:val="restart"/>
            <w:tcBorders>
              <w:tl2br w:val="nil"/>
              <w:tr2bl w:val="nil"/>
            </w:tcBorders>
            <w:shd w:val="clear" w:color="auto" w:fill="auto"/>
            <w:textDirection w:val="tbRlV"/>
            <w:vAlign w:val="center"/>
          </w:tcPr>
          <w:p w14:paraId="6C7C3A68">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空间布局约束</w:t>
            </w:r>
          </w:p>
        </w:tc>
        <w:tc>
          <w:tcPr>
            <w:tcW w:w="2761" w:type="pct"/>
            <w:tcBorders>
              <w:tl2br w:val="nil"/>
              <w:tr2bl w:val="nil"/>
            </w:tcBorders>
            <w:shd w:val="clear" w:color="auto" w:fill="auto"/>
            <w:vAlign w:val="center"/>
          </w:tcPr>
          <w:p w14:paraId="1FB90FDC">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1.1)《自治区“三高”项目认定标准》认定为“三高”的项目是《产业结构调整指导</w:t>
            </w:r>
            <w:r>
              <w:rPr>
                <w:rFonts w:hint="default" w:ascii="Times New Roman" w:hAnsi="Times New Roman" w:cs="Times New Roman"/>
                <w:color w:val="auto"/>
                <w:sz w:val="21"/>
                <w:szCs w:val="21"/>
                <w:lang w:eastAsia="zh-CN"/>
              </w:rPr>
              <w:t>目录</w:t>
            </w:r>
            <w:r>
              <w:rPr>
                <w:rFonts w:hint="default" w:ascii="Times New Roman" w:hAnsi="Times New Roman" w:eastAsia="Arial" w:cs="Times New Roman"/>
                <w:color w:val="auto"/>
                <w:sz w:val="21"/>
                <w:szCs w:val="21"/>
                <w:lang w:eastAsia="zh-CN"/>
              </w:rPr>
              <w:t>》中的淘汰类项目、《市场准入负面清单</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最新版本)》中的禁止准入类</w:t>
            </w:r>
            <w:r>
              <w:rPr>
                <w:rFonts w:hint="default" w:ascii="Times New Roman" w:hAnsi="Times New Roman" w:cs="Times New Roman"/>
                <w:color w:val="auto"/>
                <w:sz w:val="21"/>
                <w:szCs w:val="21"/>
                <w:lang w:eastAsia="zh-CN"/>
              </w:rPr>
              <w:t>项目</w:t>
            </w:r>
            <w:r>
              <w:rPr>
                <w:rFonts w:hint="default" w:ascii="Times New Roman" w:hAnsi="Times New Roman" w:eastAsia="Arial" w:cs="Times New Roman"/>
                <w:color w:val="auto"/>
                <w:sz w:val="21"/>
                <w:szCs w:val="21"/>
                <w:lang w:eastAsia="zh-CN"/>
              </w:rPr>
              <w:t>、不符合相应行业准入条件的项目、自治区相关产业政策禁止建设的项目以及不符合重点区域产业准入条件的项目等</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禁止新</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改、扩)建</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1.2)列入《产业结构调整指导目录》淘汰类的现状企业</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制定调整计划</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针对环保治理措施不符合现行环保要求、资源能源消耗高、涉及</w:t>
            </w:r>
            <w:r>
              <w:rPr>
                <w:rFonts w:hint="default" w:ascii="Times New Roman" w:hAnsi="Times New Roman" w:cs="Times New Roman"/>
                <w:color w:val="auto"/>
                <w:sz w:val="21"/>
                <w:szCs w:val="21"/>
                <w:lang w:eastAsia="zh-CN"/>
              </w:rPr>
              <w:t>总</w:t>
            </w:r>
            <w:r>
              <w:rPr>
                <w:rFonts w:hint="default" w:ascii="Times New Roman" w:hAnsi="Times New Roman" w:eastAsia="Arial" w:cs="Times New Roman"/>
                <w:color w:val="auto"/>
                <w:sz w:val="21"/>
                <w:szCs w:val="21"/>
                <w:lang w:eastAsia="zh-CN"/>
              </w:rPr>
              <w:t>量排放区域超标污染物</w:t>
            </w:r>
            <w:r>
              <w:rPr>
                <w:rFonts w:hint="default" w:ascii="Times New Roman" w:hAnsi="Times New Roman" w:cs="Times New Roman"/>
                <w:color w:val="auto"/>
                <w:sz w:val="21"/>
                <w:szCs w:val="21"/>
                <w:lang w:eastAsia="zh-CN"/>
              </w:rPr>
              <w:t>或</w:t>
            </w:r>
            <w:r>
              <w:rPr>
                <w:rFonts w:hint="default" w:ascii="Times New Roman" w:hAnsi="Times New Roman" w:eastAsia="Arial" w:cs="Times New Roman"/>
                <w:color w:val="auto"/>
                <w:sz w:val="21"/>
                <w:szCs w:val="21"/>
                <w:lang w:eastAsia="zh-CN"/>
              </w:rPr>
              <w:t>持续发生环保投诉的现有企业</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制定整治计划</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在调整过渡期内</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应严格控制其生产规模</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禁止新增产生环境污染的产能和产品</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6B2FE931">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本项目属于《产业结构调整指导目录</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2024年本)》中鼓励类项目</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不属于《市场准入负面清单</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2025年版)》禁止准入类项目</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不属于《自治区严禁“三高”项目进新疆推动经济高质量发展实施方案》</w:t>
            </w:r>
            <w:r>
              <w:rPr>
                <w:rFonts w:hint="default" w:ascii="Times New Roman" w:hAnsi="Times New Roman" w:cs="Times New Roman"/>
                <w:color w:val="auto"/>
                <w:sz w:val="21"/>
                <w:szCs w:val="21"/>
                <w:lang w:eastAsia="zh-CN"/>
              </w:rPr>
              <w:t>禁止</w:t>
            </w:r>
            <w:r>
              <w:rPr>
                <w:rFonts w:hint="default" w:ascii="Times New Roman" w:hAnsi="Times New Roman" w:eastAsia="Arial" w:cs="Times New Roman"/>
                <w:color w:val="auto"/>
                <w:sz w:val="21"/>
                <w:szCs w:val="21"/>
                <w:lang w:eastAsia="zh-CN"/>
              </w:rPr>
              <w:t>建设项目</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项目建设符合《新疆维吾尔自治区重点行业生态环境准入条件</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2024)》要求</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244B6E59">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71DD8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7" w:hRule="atLeast"/>
        </w:trPr>
        <w:tc>
          <w:tcPr>
            <w:tcW w:w="189" w:type="pct"/>
            <w:vMerge w:val="continue"/>
            <w:tcBorders>
              <w:tl2br w:val="nil"/>
              <w:tr2bl w:val="nil"/>
            </w:tcBorders>
            <w:shd w:val="clear" w:color="auto" w:fill="auto"/>
            <w:textDirection w:val="tbRlV"/>
            <w:vAlign w:val="center"/>
          </w:tcPr>
          <w:p w14:paraId="7BB020E3">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textDirection w:val="tbRlV"/>
            <w:vAlign w:val="center"/>
          </w:tcPr>
          <w:p w14:paraId="6BDA3B64">
            <w:pPr>
              <w:spacing w:line="240" w:lineRule="auto"/>
              <w:ind w:firstLine="0" w:firstLineChars="0"/>
              <w:rPr>
                <w:rFonts w:hint="default" w:ascii="Times New Roman" w:hAnsi="Times New Roman" w:eastAsia="Arial" w:cs="Times New Roman"/>
                <w:color w:val="auto"/>
                <w:sz w:val="21"/>
                <w:szCs w:val="21"/>
              </w:rPr>
            </w:pPr>
          </w:p>
        </w:tc>
        <w:tc>
          <w:tcPr>
            <w:tcW w:w="2761" w:type="pct"/>
            <w:tcBorders>
              <w:tl2br w:val="nil"/>
              <w:tr2bl w:val="nil"/>
            </w:tcBorders>
            <w:shd w:val="clear" w:color="auto" w:fill="auto"/>
            <w:vAlign w:val="center"/>
          </w:tcPr>
          <w:p w14:paraId="7330AF96">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1.3)符合国家煤电产业政策的新建煤电、热电联产项目烟气排放需执行超低排放标准</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具备风光电清洁供暖建设条件的区域原则上不新批热电联产项目</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严格执行钢铁、水泥、平板玻璃等行业产能置换实施办法</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除国家规定新增原料用能不纳入能源消费</w:t>
            </w:r>
            <w:r>
              <w:rPr>
                <w:rFonts w:hint="default" w:ascii="Times New Roman" w:hAnsi="Times New Roman" w:cs="Times New Roman"/>
                <w:color w:val="auto"/>
                <w:sz w:val="21"/>
                <w:szCs w:val="21"/>
                <w:lang w:eastAsia="zh-CN"/>
              </w:rPr>
              <w:t>总量</w:t>
            </w:r>
            <w:r>
              <w:rPr>
                <w:rFonts w:hint="default" w:ascii="Times New Roman" w:hAnsi="Times New Roman" w:eastAsia="Arial" w:cs="Times New Roman"/>
                <w:color w:val="auto"/>
                <w:sz w:val="21"/>
                <w:szCs w:val="21"/>
                <w:lang w:eastAsia="zh-CN"/>
              </w:rPr>
              <w:t>控制的项目和列入国家规</w:t>
            </w:r>
            <w:r>
              <w:rPr>
                <w:rFonts w:hint="default" w:ascii="Times New Roman" w:hAnsi="Times New Roman" w:cs="Times New Roman"/>
                <w:color w:val="auto"/>
                <w:sz w:val="21"/>
                <w:szCs w:val="21"/>
                <w:lang w:eastAsia="zh-CN"/>
              </w:rPr>
              <w:t>划的</w:t>
            </w:r>
            <w:r>
              <w:rPr>
                <w:rFonts w:hint="default" w:ascii="Times New Roman" w:hAnsi="Times New Roman" w:eastAsia="Arial" w:cs="Times New Roman"/>
                <w:color w:val="auto"/>
                <w:sz w:val="21"/>
                <w:szCs w:val="21"/>
                <w:lang w:eastAsia="zh-CN"/>
              </w:rPr>
              <w:t>项目外</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乌昌-石等重点区域严控新建、扩建使用煤炭项目</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1.4)针对乌昌-石区域内可能影响相邻行政区域大气环境的项目</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制定互商机制</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项目立项前</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需征求相邻人民政府意见</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“乌昌石”区域建设项目须</w:t>
            </w:r>
            <w:r>
              <w:rPr>
                <w:rFonts w:hint="default" w:ascii="Times New Roman" w:hAnsi="Times New Roman" w:cs="Times New Roman"/>
                <w:color w:val="auto"/>
                <w:sz w:val="21"/>
                <w:szCs w:val="21"/>
                <w:lang w:eastAsia="zh-CN"/>
              </w:rPr>
              <w:t>执行</w:t>
            </w:r>
            <w:r>
              <w:rPr>
                <w:rFonts w:hint="default" w:ascii="Times New Roman" w:hAnsi="Times New Roman" w:eastAsia="Arial" w:cs="Times New Roman"/>
                <w:color w:val="auto"/>
                <w:sz w:val="21"/>
                <w:szCs w:val="21"/>
                <w:lang w:eastAsia="zh-CN"/>
              </w:rPr>
              <w:t>国家排放标准及修改单中特别排放限值和特别控制要求</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15)依法依规淘汰落后</w:t>
            </w:r>
            <w:r>
              <w:rPr>
                <w:rFonts w:hint="default" w:ascii="Times New Roman" w:hAnsi="Times New Roman" w:cs="Times New Roman"/>
                <w:color w:val="auto"/>
                <w:sz w:val="21"/>
                <w:szCs w:val="21"/>
                <w:lang w:eastAsia="zh-CN"/>
              </w:rPr>
              <w:t>产能</w:t>
            </w:r>
            <w:r>
              <w:rPr>
                <w:rFonts w:hint="default" w:ascii="Times New Roman" w:hAnsi="Times New Roman" w:eastAsia="Arial" w:cs="Times New Roman"/>
                <w:color w:val="auto"/>
                <w:sz w:val="21"/>
                <w:szCs w:val="21"/>
                <w:lang w:eastAsia="zh-CN"/>
              </w:rPr>
              <w:t>和化解过剩产能</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大气污染防治重点区域严禁新增钢铁、水泥熟料、平板玻璃、煤化工产能</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严控新增炼油产能</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其他地区钢铁、水泥熟料、平板玻璃、炼油、电解铝等新建、扩建</w:t>
            </w:r>
            <w:r>
              <w:rPr>
                <w:rFonts w:hint="default" w:ascii="Times New Roman" w:hAnsi="Times New Roman" w:cs="Times New Roman"/>
                <w:color w:val="auto"/>
                <w:sz w:val="21"/>
                <w:szCs w:val="21"/>
                <w:lang w:eastAsia="zh-CN"/>
              </w:rPr>
              <w:t>项目</w:t>
            </w:r>
            <w:r>
              <w:rPr>
                <w:rFonts w:hint="default" w:ascii="Times New Roman" w:hAnsi="Times New Roman" w:eastAsia="Arial" w:cs="Times New Roman"/>
                <w:color w:val="auto"/>
                <w:sz w:val="21"/>
                <w:szCs w:val="21"/>
                <w:lang w:eastAsia="zh-CN"/>
              </w:rPr>
              <w:t>严格实施产能等量或减量置换要求</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1D1F7186">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本项目不涉及1.5条中提到的淘汰落后产能和化解过剩产能</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1860FE13">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4C5FD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89" w:type="pct"/>
            <w:vMerge w:val="continue"/>
            <w:tcBorders>
              <w:tl2br w:val="nil"/>
              <w:tr2bl w:val="nil"/>
            </w:tcBorders>
            <w:shd w:val="clear" w:color="auto" w:fill="auto"/>
            <w:textDirection w:val="tbRlV"/>
            <w:vAlign w:val="center"/>
          </w:tcPr>
          <w:p w14:paraId="0B0ACAED">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textDirection w:val="tbRlV"/>
            <w:vAlign w:val="center"/>
          </w:tcPr>
          <w:p w14:paraId="6749A219">
            <w:pPr>
              <w:spacing w:line="240" w:lineRule="auto"/>
              <w:ind w:firstLine="0" w:firstLineChars="0"/>
              <w:rPr>
                <w:rFonts w:hint="default" w:ascii="Times New Roman" w:hAnsi="Times New Roman" w:eastAsia="Arial" w:cs="Times New Roman"/>
                <w:color w:val="auto"/>
                <w:sz w:val="21"/>
                <w:szCs w:val="21"/>
              </w:rPr>
            </w:pPr>
          </w:p>
        </w:tc>
        <w:tc>
          <w:tcPr>
            <w:tcW w:w="2761" w:type="pct"/>
            <w:tcBorders>
              <w:tl2br w:val="nil"/>
              <w:tr2bl w:val="nil"/>
            </w:tcBorders>
            <w:shd w:val="clear" w:color="auto" w:fill="auto"/>
            <w:vAlign w:val="center"/>
          </w:tcPr>
          <w:p w14:paraId="0627E407">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1.6)重大项目原则上布局在重点开发区</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并符合国土空间规划</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鼓励发展节水高效现代农业、低耗水高新技术产业以及生态保护型旅游业</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严格控制缺水地区、水污染严重地区和敏感区域高耗水、高污染</w:t>
            </w:r>
            <w:r>
              <w:rPr>
                <w:rFonts w:hint="default" w:ascii="Times New Roman" w:hAnsi="Times New Roman" w:cs="Times New Roman"/>
                <w:color w:val="auto"/>
                <w:sz w:val="21"/>
                <w:szCs w:val="21"/>
                <w:lang w:eastAsia="zh-CN"/>
              </w:rPr>
              <w:t>行业</w:t>
            </w:r>
            <w:r>
              <w:rPr>
                <w:rFonts w:hint="default" w:ascii="Times New Roman" w:hAnsi="Times New Roman" w:eastAsia="Arial" w:cs="Times New Roman"/>
                <w:color w:val="auto"/>
                <w:sz w:val="21"/>
                <w:szCs w:val="21"/>
                <w:lang w:eastAsia="zh-CN"/>
              </w:rPr>
              <w:t>发展</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新建、改建、扩建重点行业建设项目实行</w:t>
            </w:r>
            <w:r>
              <w:rPr>
                <w:rFonts w:hint="default" w:ascii="Times New Roman" w:hAnsi="Times New Roman" w:cs="Times New Roman"/>
                <w:color w:val="auto"/>
                <w:sz w:val="21"/>
                <w:szCs w:val="21"/>
                <w:lang w:eastAsia="zh-CN"/>
              </w:rPr>
              <w:t>主要污染物排放量</w:t>
            </w:r>
            <w:r>
              <w:rPr>
                <w:rFonts w:hint="default" w:ascii="Times New Roman" w:hAnsi="Times New Roman" w:eastAsia="Arial" w:cs="Times New Roman"/>
                <w:color w:val="auto"/>
                <w:sz w:val="21"/>
                <w:szCs w:val="21"/>
                <w:lang w:eastAsia="zh-CN"/>
              </w:rPr>
              <w:t>置换</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7931A0FD">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本项目生产主水源为</w:t>
            </w:r>
            <w:r>
              <w:rPr>
                <w:rFonts w:hint="default" w:ascii="Times New Roman" w:hAnsi="Times New Roman" w:eastAsia="Arial" w:cs="Times New Roman"/>
                <w:color w:val="auto"/>
                <w:sz w:val="21"/>
                <w:szCs w:val="21"/>
                <w:lang w:val="en-US" w:eastAsia="zh-CN"/>
              </w:rPr>
              <w:t>市政</w:t>
            </w:r>
            <w:r>
              <w:rPr>
                <w:rFonts w:hint="default" w:ascii="Times New Roman" w:hAnsi="Times New Roman" w:eastAsia="Arial" w:cs="Times New Roman"/>
                <w:color w:val="auto"/>
                <w:sz w:val="21"/>
                <w:szCs w:val="21"/>
                <w:lang w:eastAsia="zh-CN"/>
              </w:rPr>
              <w:t>水厂供水</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可有效提升区域水资源利用效率</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6961D7C8">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439F0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189" w:type="pct"/>
            <w:vMerge w:val="continue"/>
            <w:tcBorders>
              <w:tl2br w:val="nil"/>
              <w:tr2bl w:val="nil"/>
            </w:tcBorders>
            <w:shd w:val="clear" w:color="auto" w:fill="auto"/>
            <w:textDirection w:val="tbRlV"/>
            <w:vAlign w:val="center"/>
          </w:tcPr>
          <w:p w14:paraId="788B0E40">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textDirection w:val="tbRlV"/>
            <w:vAlign w:val="center"/>
          </w:tcPr>
          <w:p w14:paraId="0F3AF7DF">
            <w:pPr>
              <w:spacing w:line="240" w:lineRule="auto"/>
              <w:ind w:firstLine="0" w:firstLineChars="0"/>
              <w:rPr>
                <w:rFonts w:hint="default" w:ascii="Times New Roman" w:hAnsi="Times New Roman" w:eastAsia="Arial" w:cs="Times New Roman"/>
                <w:color w:val="auto"/>
                <w:sz w:val="21"/>
                <w:szCs w:val="21"/>
              </w:rPr>
            </w:pPr>
          </w:p>
        </w:tc>
        <w:tc>
          <w:tcPr>
            <w:tcW w:w="2761" w:type="pct"/>
            <w:tcBorders>
              <w:tl2br w:val="nil"/>
              <w:tr2bl w:val="nil"/>
            </w:tcBorders>
            <w:shd w:val="clear" w:color="auto" w:fill="auto"/>
            <w:vAlign w:val="center"/>
          </w:tcPr>
          <w:p w14:paraId="00E00EFB">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19)任何单位和个人不得在水源涵养区、饮用水水源保护区内和河流、湖泊、水库</w:t>
            </w:r>
            <w:r>
              <w:rPr>
                <w:rFonts w:hint="default" w:ascii="Times New Roman" w:hAnsi="Times New Roman" w:cs="Times New Roman"/>
                <w:color w:val="auto"/>
                <w:sz w:val="21"/>
                <w:szCs w:val="21"/>
                <w:lang w:eastAsia="zh-CN"/>
              </w:rPr>
              <w:t>周边</w:t>
            </w:r>
            <w:r>
              <w:rPr>
                <w:rFonts w:hint="default" w:ascii="Times New Roman" w:hAnsi="Times New Roman" w:eastAsia="Arial" w:cs="Times New Roman"/>
                <w:color w:val="auto"/>
                <w:sz w:val="21"/>
                <w:szCs w:val="21"/>
                <w:lang w:eastAsia="zh-CN"/>
              </w:rPr>
              <w:t>建设重化工、涉重金属等工业污染项目</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对已建成的工业污染项目</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当地人民政府应当组织限期搬迁</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216D0698">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项目选址不在水源涵养区、饮用水水源保护区内和河流、湖泊、水库周围</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78857518">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53DE8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5" w:hRule="atLeast"/>
        </w:trPr>
        <w:tc>
          <w:tcPr>
            <w:tcW w:w="189" w:type="pct"/>
            <w:vMerge w:val="continue"/>
            <w:tcBorders>
              <w:tl2br w:val="nil"/>
              <w:tr2bl w:val="nil"/>
            </w:tcBorders>
            <w:shd w:val="clear" w:color="auto" w:fill="auto"/>
            <w:textDirection w:val="tbRlV"/>
            <w:vAlign w:val="center"/>
          </w:tcPr>
          <w:p w14:paraId="66D132E0">
            <w:pPr>
              <w:spacing w:line="240" w:lineRule="auto"/>
              <w:ind w:firstLine="0" w:firstLineChars="0"/>
              <w:rPr>
                <w:rFonts w:hint="default" w:ascii="Times New Roman" w:hAnsi="Times New Roman" w:eastAsia="Arial" w:cs="Times New Roman"/>
                <w:color w:val="auto"/>
                <w:sz w:val="21"/>
                <w:szCs w:val="21"/>
              </w:rPr>
            </w:pPr>
          </w:p>
        </w:tc>
        <w:tc>
          <w:tcPr>
            <w:tcW w:w="252" w:type="pct"/>
            <w:vMerge w:val="restart"/>
            <w:tcBorders>
              <w:tl2br w:val="nil"/>
              <w:tr2bl w:val="nil"/>
            </w:tcBorders>
            <w:shd w:val="clear" w:color="auto" w:fill="auto"/>
            <w:textDirection w:val="tbRlV"/>
            <w:vAlign w:val="center"/>
          </w:tcPr>
          <w:p w14:paraId="7BE543A7">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污染物排放管理</w:t>
            </w:r>
          </w:p>
        </w:tc>
        <w:tc>
          <w:tcPr>
            <w:tcW w:w="2761" w:type="pct"/>
            <w:tcBorders>
              <w:tl2br w:val="nil"/>
              <w:tr2bl w:val="nil"/>
            </w:tcBorders>
            <w:shd w:val="clear" w:color="auto" w:fill="auto"/>
            <w:vAlign w:val="center"/>
          </w:tcPr>
          <w:p w14:paraId="27552EE9">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2.1)推进钢铁、水泥、焦化行业企业超低排放改造</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重点区域钢铁、燃煤机组、燃煤锅炉实现超低排放</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开展涉气产业集群排查及分类治理</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推进企业升级改造和区域环境综合整治</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2.2)新建燃煤锅炉效率不低于85%</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燃气锅炉效率不低于95%</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“乌昌-石”和“奎一独一乌”区域内师市淘汰每小时35蒸吨及以下燃煤锅炉</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每小时65蒸吨及以上燃煤锅炉完成节能和超低排放改造</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燃气锅炉完成低氮燃烧改造</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2.3)各师市城市建成区原则上不再新建每小时35蒸吨以下的燃煤锅炉</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其他地区原则上不再新建每小时10蒸吨以下的燃煤锅炉</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各师市城市建成区基本淘汰每小时10蒸吨及以下燃煤锅炉及茶水炉、经营性炉灶、储粮烘干设备等燃煤设施</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66D32392">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不涉及燃煤锅炉</w:t>
            </w:r>
          </w:p>
        </w:tc>
        <w:tc>
          <w:tcPr>
            <w:tcW w:w="194" w:type="pct"/>
            <w:tcBorders>
              <w:tl2br w:val="nil"/>
              <w:tr2bl w:val="nil"/>
            </w:tcBorders>
            <w:shd w:val="clear" w:color="auto" w:fill="auto"/>
            <w:vAlign w:val="center"/>
          </w:tcPr>
          <w:p w14:paraId="746891E0">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05B58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5" w:hRule="atLeast"/>
        </w:trPr>
        <w:tc>
          <w:tcPr>
            <w:tcW w:w="189" w:type="pct"/>
            <w:vMerge w:val="continue"/>
            <w:tcBorders>
              <w:tl2br w:val="nil"/>
              <w:tr2bl w:val="nil"/>
            </w:tcBorders>
            <w:shd w:val="clear" w:color="auto" w:fill="auto"/>
            <w:vAlign w:val="center"/>
          </w:tcPr>
          <w:p w14:paraId="0AC9C391">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vAlign w:val="center"/>
          </w:tcPr>
          <w:p w14:paraId="1B0678BE">
            <w:pPr>
              <w:spacing w:line="240" w:lineRule="auto"/>
              <w:ind w:firstLine="0" w:firstLineChars="0"/>
              <w:rPr>
                <w:rFonts w:hint="default" w:ascii="Times New Roman" w:hAnsi="Times New Roman" w:eastAsia="Arial" w:cs="Times New Roman"/>
                <w:color w:val="auto"/>
                <w:sz w:val="21"/>
                <w:szCs w:val="21"/>
              </w:rPr>
            </w:pPr>
          </w:p>
        </w:tc>
        <w:tc>
          <w:tcPr>
            <w:tcW w:w="2761" w:type="pct"/>
            <w:tcBorders>
              <w:tl2br w:val="nil"/>
              <w:tr2bl w:val="nil"/>
            </w:tcBorders>
            <w:shd w:val="clear" w:color="auto" w:fill="auto"/>
            <w:vAlign w:val="center"/>
          </w:tcPr>
          <w:p w14:paraId="5C2E8108">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2.4)全面整治尾矿、煤矸石、工业副产石膏、粉煤灰、赤泥、冶炼渣、电石渣、铬渣、砷渣以及脱硫、脱硝、除尘产生固体废物的堆存场所</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完善防扬散、防流失、防渗漏等设施</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7205AE2E">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rPr>
              <w:t>本项目</w:t>
            </w:r>
            <w:r>
              <w:rPr>
                <w:rFonts w:hint="default" w:ascii="Times New Roman" w:hAnsi="Times New Roman" w:cs="Times New Roman"/>
                <w:color w:val="auto"/>
                <w:sz w:val="21"/>
                <w:szCs w:val="21"/>
                <w:lang w:eastAsia="zh-CN"/>
              </w:rPr>
              <w:t>不涉及。</w:t>
            </w:r>
          </w:p>
        </w:tc>
        <w:tc>
          <w:tcPr>
            <w:tcW w:w="194" w:type="pct"/>
            <w:tcBorders>
              <w:tl2br w:val="nil"/>
              <w:tr2bl w:val="nil"/>
            </w:tcBorders>
            <w:shd w:val="clear" w:color="auto" w:fill="auto"/>
            <w:vAlign w:val="center"/>
          </w:tcPr>
          <w:p w14:paraId="273C4ADB">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21890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8" w:hRule="atLeast"/>
        </w:trPr>
        <w:tc>
          <w:tcPr>
            <w:tcW w:w="189" w:type="pct"/>
            <w:vMerge w:val="continue"/>
            <w:tcBorders>
              <w:tl2br w:val="nil"/>
              <w:tr2bl w:val="nil"/>
            </w:tcBorders>
            <w:shd w:val="clear" w:color="auto" w:fill="auto"/>
            <w:vAlign w:val="center"/>
          </w:tcPr>
          <w:p w14:paraId="608754C6">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vAlign w:val="center"/>
          </w:tcPr>
          <w:p w14:paraId="303B5422">
            <w:pPr>
              <w:spacing w:line="240" w:lineRule="auto"/>
              <w:ind w:firstLine="0" w:firstLineChars="0"/>
              <w:rPr>
                <w:rFonts w:hint="default" w:ascii="Times New Roman" w:hAnsi="Times New Roman" w:eastAsia="Arial" w:cs="Times New Roman"/>
                <w:color w:val="auto"/>
                <w:sz w:val="21"/>
                <w:szCs w:val="21"/>
              </w:rPr>
            </w:pPr>
          </w:p>
        </w:tc>
        <w:tc>
          <w:tcPr>
            <w:tcW w:w="2761" w:type="pct"/>
            <w:tcBorders>
              <w:tl2br w:val="nil"/>
              <w:tr2bl w:val="nil"/>
            </w:tcBorders>
            <w:shd w:val="clear" w:color="auto" w:fill="auto"/>
            <w:vAlign w:val="center"/>
          </w:tcPr>
          <w:p w14:paraId="6C8ED5DC">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2.5)重点控制区主要大气污染物排放须进行“倍量替代”</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执行大气污染物特别排放限值</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新增大气污染物排放量须在项目所在区域内实施总量替代</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不得接受其他区域主要大气污染物可替代总量指标</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一般控制区域内主要大气污染物排放须进行“等量替代”</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执行</w:t>
            </w:r>
            <w:r>
              <w:rPr>
                <w:rFonts w:hint="default" w:ascii="Times New Roman" w:hAnsi="Times New Roman" w:cs="Times New Roman"/>
                <w:color w:val="auto"/>
                <w:sz w:val="21"/>
                <w:szCs w:val="21"/>
                <w:lang w:eastAsia="zh-CN"/>
              </w:rPr>
              <w:t>大气</w:t>
            </w:r>
            <w:r>
              <w:rPr>
                <w:rFonts w:hint="default" w:ascii="Times New Roman" w:hAnsi="Times New Roman" w:eastAsia="Arial" w:cs="Times New Roman"/>
                <w:color w:val="auto"/>
                <w:sz w:val="21"/>
                <w:szCs w:val="21"/>
                <w:lang w:eastAsia="zh-CN"/>
              </w:rPr>
              <w:t>污染物特别排放限值</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深入推进“乌昌-石奎一独一乌”和伊宁市及周边区域</w:t>
            </w:r>
            <w:r>
              <w:rPr>
                <w:rFonts w:hint="default" w:ascii="Times New Roman" w:hAnsi="Times New Roman" w:cs="Times New Roman"/>
                <w:color w:val="auto"/>
                <w:sz w:val="21"/>
                <w:szCs w:val="21"/>
                <w:lang w:eastAsia="zh-CN"/>
              </w:rPr>
              <w:t>大气污染</w:t>
            </w:r>
            <w:r>
              <w:rPr>
                <w:rFonts w:hint="default" w:ascii="Times New Roman" w:hAnsi="Times New Roman" w:eastAsia="Arial" w:cs="Times New Roman"/>
                <w:color w:val="auto"/>
                <w:sz w:val="21"/>
                <w:szCs w:val="21"/>
                <w:lang w:eastAsia="zh-CN"/>
              </w:rPr>
              <w:t>治理</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加快推进</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乌昌石区域城市细颗粒物和臭氧协同防控一市一策驻点跟踪研究工作</w:t>
            </w:r>
            <w:r>
              <w:rPr>
                <w:rFonts w:hint="eastAsia" w:ascii="Times New Roman" w:hAnsi="Times New Roman" w:eastAsia="Arial" w:cs="Times New Roman"/>
                <w:color w:val="auto"/>
                <w:sz w:val="21"/>
                <w:szCs w:val="21"/>
                <w:lang w:eastAsia="zh-CN"/>
              </w:rPr>
              <w:t>”</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2.6)PM.年平均浓度不达标城市禁止新</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改、扩)建未落实SO:NOx、烟粉尘、挥发性有机物</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VOCs)等四项大气污染物总量指标倍量替代的项目</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2.7)推进运输结构调整</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促进公铁联运发展</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加快运输结构调整</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提升铁路运力</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鼓励发展公铁联运、甩挂运输等高效运输组织方式</w:t>
            </w:r>
            <w:r>
              <w:rPr>
                <w:rFonts w:hint="default" w:ascii="Times New Roman" w:hAnsi="Times New Roman" w:cs="Times New Roman"/>
                <w:color w:val="auto"/>
                <w:sz w:val="21"/>
                <w:szCs w:val="21"/>
                <w:lang w:eastAsia="zh-CN"/>
              </w:rPr>
              <w:t>。优化</w:t>
            </w:r>
            <w:r>
              <w:rPr>
                <w:rFonts w:hint="default" w:ascii="Times New Roman" w:hAnsi="Times New Roman" w:eastAsia="Arial" w:cs="Times New Roman"/>
                <w:color w:val="auto"/>
                <w:sz w:val="21"/>
                <w:szCs w:val="21"/>
                <w:lang w:eastAsia="zh-CN"/>
              </w:rPr>
              <w:t>公共交通网络</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探索绿色出行</w:t>
            </w:r>
            <w:r>
              <w:rPr>
                <w:rFonts w:hint="default" w:ascii="Times New Roman" w:hAnsi="Times New Roman" w:cs="Times New Roman"/>
                <w:color w:val="auto"/>
                <w:sz w:val="21"/>
                <w:szCs w:val="21"/>
                <w:lang w:eastAsia="zh-CN"/>
              </w:rPr>
              <w:t>模式</w:t>
            </w:r>
            <w:r>
              <w:rPr>
                <w:rFonts w:hint="default" w:ascii="Times New Roman" w:hAnsi="Times New Roman" w:eastAsia="Arial" w:cs="Times New Roman"/>
                <w:color w:val="auto"/>
                <w:sz w:val="21"/>
                <w:szCs w:val="21"/>
                <w:lang w:eastAsia="zh-CN"/>
              </w:rPr>
              <w:t>加快城市与团场城镇之间的快速交通网络建设</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26F21A81">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本项目养殖场将严格执行生产与环保设施同时设计、同时施工、同时利用的环保制度，项目区拥有与养殖规模相匹配的农田消纳畜禽粪污，养殖场畜禽粪便尽量就地消纳。符合污染物排放管控要求。</w:t>
            </w:r>
            <w:r>
              <w:rPr>
                <w:rFonts w:hint="default" w:ascii="Times New Roman" w:hAnsi="Times New Roman" w:eastAsia="Arial" w:cs="Times New Roman"/>
                <w:color w:val="auto"/>
                <w:sz w:val="21"/>
                <w:szCs w:val="21"/>
                <w:lang w:eastAsia="zh-CN"/>
              </w:rPr>
              <w:t>汽车运输采用新能源或国六排放标准车辆</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优先采用新能源)</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厂内非道路移动机械优先采用新能源</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无对应产品的满足国四及以上排放标准</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rPr>
              <w:t>降低交通运输污染物排放</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4DC990DA">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284DF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8" w:hRule="atLeast"/>
        </w:trPr>
        <w:tc>
          <w:tcPr>
            <w:tcW w:w="189" w:type="pct"/>
            <w:vMerge w:val="continue"/>
            <w:tcBorders>
              <w:tl2br w:val="nil"/>
              <w:tr2bl w:val="nil"/>
            </w:tcBorders>
            <w:shd w:val="clear" w:color="auto" w:fill="auto"/>
            <w:vAlign w:val="center"/>
          </w:tcPr>
          <w:p w14:paraId="2B180A61">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vAlign w:val="center"/>
          </w:tcPr>
          <w:p w14:paraId="05303692">
            <w:pPr>
              <w:spacing w:line="240" w:lineRule="auto"/>
              <w:ind w:firstLine="0" w:firstLineChars="0"/>
              <w:rPr>
                <w:rFonts w:hint="default" w:ascii="Times New Roman" w:hAnsi="Times New Roman" w:eastAsia="Arial" w:cs="Times New Roman"/>
                <w:color w:val="auto"/>
                <w:sz w:val="21"/>
                <w:szCs w:val="21"/>
              </w:rPr>
            </w:pPr>
          </w:p>
        </w:tc>
        <w:tc>
          <w:tcPr>
            <w:tcW w:w="2761" w:type="pct"/>
            <w:tcBorders>
              <w:tl2br w:val="nil"/>
              <w:tr2bl w:val="nil"/>
            </w:tcBorders>
            <w:shd w:val="clear" w:color="auto" w:fill="auto"/>
            <w:vAlign w:val="center"/>
          </w:tcPr>
          <w:p w14:paraId="79902A7A">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2.9)伊犁河流域、额尔齐斯河流域、博斯腾湖流域、额敏河流域等敏感区域城镇污水处理设施全面提高至一级A排放标准</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乌鲁木齐市、喀什市、博乐市、石河子市、五家渠市等建成区水体水质达不到地表水Ⅳ类标准的城市</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新改扩建城镇污水处理设施要执行一级A排放标准</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城镇污水</w:t>
            </w:r>
            <w:r>
              <w:rPr>
                <w:rFonts w:hint="default" w:ascii="Times New Roman" w:hAnsi="Times New Roman" w:cs="Times New Roman"/>
                <w:color w:val="auto"/>
                <w:sz w:val="21"/>
                <w:szCs w:val="21"/>
                <w:lang w:eastAsia="zh-CN"/>
              </w:rPr>
              <w:t>处理厂</w:t>
            </w:r>
            <w:r>
              <w:rPr>
                <w:rFonts w:hint="default" w:ascii="Times New Roman" w:hAnsi="Times New Roman" w:eastAsia="Arial" w:cs="Times New Roman"/>
                <w:color w:val="auto"/>
                <w:sz w:val="21"/>
                <w:szCs w:val="21"/>
                <w:lang w:eastAsia="zh-CN"/>
              </w:rPr>
              <w:t>运行负荷率达到75%以上</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所有县级以上城市以及重点独立建制镇均应建成污水处理设施</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2.10)严格实施污染物总量控制制度</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根据区域环境质量改善目标</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削减污染物排放</w:t>
            </w:r>
            <w:r>
              <w:rPr>
                <w:rFonts w:hint="default" w:ascii="Times New Roman" w:hAnsi="Times New Roman" w:cs="Times New Roman"/>
                <w:color w:val="auto"/>
                <w:sz w:val="21"/>
                <w:szCs w:val="21"/>
                <w:lang w:eastAsia="zh-CN"/>
              </w:rPr>
              <w:t>总量。</w:t>
            </w:r>
            <w:r>
              <w:rPr>
                <w:rFonts w:hint="default" w:ascii="Times New Roman" w:hAnsi="Times New Roman" w:eastAsia="Arial" w:cs="Times New Roman"/>
                <w:color w:val="auto"/>
                <w:sz w:val="21"/>
                <w:szCs w:val="21"/>
                <w:lang w:eastAsia="zh-CN"/>
              </w:rPr>
              <w:t>新建工业</w:t>
            </w:r>
            <w:r>
              <w:rPr>
                <w:rFonts w:hint="default" w:ascii="Times New Roman" w:hAnsi="Times New Roman" w:cs="Times New Roman"/>
                <w:color w:val="auto"/>
                <w:sz w:val="21"/>
                <w:szCs w:val="21"/>
                <w:lang w:eastAsia="zh-CN"/>
              </w:rPr>
              <w:t>项目</w:t>
            </w:r>
            <w:r>
              <w:rPr>
                <w:rFonts w:hint="default" w:ascii="Times New Roman" w:hAnsi="Times New Roman" w:eastAsia="Arial" w:cs="Times New Roman"/>
                <w:color w:val="auto"/>
                <w:sz w:val="21"/>
                <w:szCs w:val="21"/>
                <w:lang w:eastAsia="zh-CN"/>
              </w:rPr>
              <w:t>污染物排放水平要达到同行业国内先进</w:t>
            </w:r>
            <w:r>
              <w:rPr>
                <w:rFonts w:hint="default" w:ascii="Times New Roman" w:hAnsi="Times New Roman" w:cs="Times New Roman"/>
                <w:color w:val="auto"/>
                <w:sz w:val="21"/>
                <w:szCs w:val="21"/>
                <w:lang w:eastAsia="zh-CN"/>
              </w:rPr>
              <w:t>水平</w:t>
            </w:r>
            <w:r>
              <w:rPr>
                <w:rFonts w:hint="default" w:ascii="Times New Roman" w:hAnsi="Times New Roman" w:eastAsia="Arial" w:cs="Times New Roman"/>
                <w:color w:val="auto"/>
                <w:sz w:val="21"/>
                <w:szCs w:val="21"/>
                <w:lang w:eastAsia="zh-CN"/>
              </w:rPr>
              <w:t>加快落实污水处理厂建设及提升改造</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推进工业园区</w:t>
            </w:r>
            <w:r>
              <w:rPr>
                <w:rFonts w:hint="eastAsia" w:ascii="Times New Roman" w:hAnsi="Times New Roman" w:eastAsia="Arial" w:cs="Times New Roman"/>
                <w:color w:val="auto"/>
                <w:sz w:val="21"/>
                <w:szCs w:val="21"/>
                <w:lang w:eastAsia="zh-CN"/>
              </w:rPr>
              <w:t>（</w:t>
            </w:r>
            <w:r>
              <w:rPr>
                <w:rFonts w:hint="default" w:ascii="Times New Roman" w:hAnsi="Times New Roman" w:cs="Times New Roman"/>
                <w:color w:val="auto"/>
                <w:sz w:val="21"/>
                <w:szCs w:val="21"/>
                <w:lang w:eastAsia="zh-CN"/>
              </w:rPr>
              <w:t>工业</w:t>
            </w:r>
            <w:r>
              <w:rPr>
                <w:rFonts w:hint="default" w:ascii="Times New Roman" w:hAnsi="Times New Roman" w:eastAsia="Arial" w:cs="Times New Roman"/>
                <w:color w:val="auto"/>
                <w:sz w:val="21"/>
                <w:szCs w:val="21"/>
                <w:lang w:eastAsia="zh-CN"/>
              </w:rPr>
              <w:t>企业)污水处理综合利用设施建设</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所有企业实现稳定达标排放</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rPr>
              <w:t>加强土壤和地下水污染防治与修复</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2EB8218C">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本项目鸡舍不进行冲洗，不产生圈舍冲洗废水；消毒方式采用喷洒消毒，全部蒸发损耗，不产生废水；本项目运营期废水主要是生活污水和鸡舍粪便收集设施（</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lang w:eastAsia="zh-CN"/>
              </w:rPr>
              <w:t>和清粪机）冲洗废水、锅炉排污水。生活污水和鸡舍粪便收集设施（</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lang w:eastAsia="zh-CN"/>
              </w:rPr>
              <w:t>和清粪机）冲洗废水排入废水收集池发酵处理后用于农田灌溉，锅炉排污水用于鸡舍</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lang w:eastAsia="zh-CN"/>
              </w:rPr>
              <w:t>清洗。</w:t>
            </w:r>
          </w:p>
        </w:tc>
        <w:tc>
          <w:tcPr>
            <w:tcW w:w="194" w:type="pct"/>
            <w:tcBorders>
              <w:tl2br w:val="nil"/>
              <w:tr2bl w:val="nil"/>
            </w:tcBorders>
            <w:shd w:val="clear" w:color="auto" w:fill="auto"/>
            <w:vAlign w:val="center"/>
          </w:tcPr>
          <w:p w14:paraId="69E934D6">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418BD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189" w:type="pct"/>
            <w:vMerge w:val="continue"/>
            <w:tcBorders>
              <w:tl2br w:val="nil"/>
              <w:tr2bl w:val="nil"/>
            </w:tcBorders>
            <w:shd w:val="clear" w:color="auto" w:fill="auto"/>
            <w:vAlign w:val="center"/>
          </w:tcPr>
          <w:p w14:paraId="71DE4307">
            <w:pPr>
              <w:spacing w:line="240" w:lineRule="auto"/>
              <w:ind w:firstLine="0" w:firstLineChars="0"/>
              <w:rPr>
                <w:rFonts w:hint="default" w:ascii="Times New Roman" w:hAnsi="Times New Roman" w:eastAsia="Arial" w:cs="Times New Roman"/>
                <w:color w:val="auto"/>
                <w:sz w:val="21"/>
                <w:szCs w:val="21"/>
              </w:rPr>
            </w:pPr>
          </w:p>
        </w:tc>
        <w:tc>
          <w:tcPr>
            <w:tcW w:w="252" w:type="pct"/>
            <w:vMerge w:val="restart"/>
            <w:tcBorders>
              <w:tl2br w:val="nil"/>
              <w:tr2bl w:val="nil"/>
            </w:tcBorders>
            <w:shd w:val="clear" w:color="auto" w:fill="auto"/>
            <w:textDirection w:val="tbRlV"/>
            <w:vAlign w:val="center"/>
          </w:tcPr>
          <w:p w14:paraId="272FE1D9">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环境风险防控</w:t>
            </w:r>
          </w:p>
        </w:tc>
        <w:tc>
          <w:tcPr>
            <w:tcW w:w="2761" w:type="pct"/>
            <w:tcBorders>
              <w:tl2br w:val="nil"/>
              <w:tr2bl w:val="nil"/>
            </w:tcBorders>
            <w:shd w:val="clear" w:color="auto" w:fill="auto"/>
            <w:vAlign w:val="center"/>
          </w:tcPr>
          <w:p w14:paraId="4BDB929B">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3.1)严格危险化学品废弃处置</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对城镇人口密集区现有不符合安全和卫生防护距离要求的危险化学品生产企业</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进行定量风险评估</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就地改造达标、搬迁进入规范化工园区或关闭退出</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6BC74029">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本项目产生的危险废物暂存在厂内的危废暂存库内</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定期交由有危废资质的单位进行处置</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385C9306">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399A5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9" w:hRule="atLeast"/>
        </w:trPr>
        <w:tc>
          <w:tcPr>
            <w:tcW w:w="189" w:type="pct"/>
            <w:vMerge w:val="continue"/>
            <w:tcBorders>
              <w:tl2br w:val="nil"/>
              <w:tr2bl w:val="nil"/>
            </w:tcBorders>
            <w:shd w:val="clear" w:color="auto" w:fill="auto"/>
            <w:vAlign w:val="center"/>
          </w:tcPr>
          <w:p w14:paraId="68F11BE8">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textDirection w:val="tbRlV"/>
            <w:vAlign w:val="center"/>
          </w:tcPr>
          <w:p w14:paraId="5A7F254B">
            <w:pPr>
              <w:spacing w:line="240" w:lineRule="auto"/>
              <w:ind w:firstLine="0" w:firstLineChars="0"/>
              <w:rPr>
                <w:rFonts w:hint="default" w:ascii="Times New Roman" w:hAnsi="Times New Roman" w:eastAsia="Arial" w:cs="Times New Roman"/>
                <w:color w:val="auto"/>
                <w:sz w:val="21"/>
                <w:szCs w:val="21"/>
              </w:rPr>
            </w:pPr>
          </w:p>
        </w:tc>
        <w:tc>
          <w:tcPr>
            <w:tcW w:w="2761" w:type="pct"/>
            <w:tcBorders>
              <w:tl2br w:val="nil"/>
              <w:tr2bl w:val="nil"/>
            </w:tcBorders>
            <w:shd w:val="clear" w:color="auto" w:fill="auto"/>
            <w:vAlign w:val="center"/>
          </w:tcPr>
          <w:p w14:paraId="025F1671">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3.2)加强重污染天气应急联动</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完善重污染天气空气质量兵地会商机制</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编制重污染天气兵地联合应急预案</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完善PM</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和O污染天气预警应急的启动、响应、解除机制</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逐步扩大重污染天气重点行业绩效分级和应急减排的实施范围·推进天山北坡城市群冬季大气污染防控</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加强</w:t>
            </w:r>
            <w:r>
              <w:rPr>
                <w:rFonts w:hint="default" w:ascii="Times New Roman" w:hAnsi="Times New Roman" w:cs="Times New Roman"/>
                <w:color w:val="auto"/>
                <w:sz w:val="21"/>
                <w:szCs w:val="21"/>
                <w:lang w:eastAsia="zh-CN"/>
              </w:rPr>
              <w:t>采暖</w:t>
            </w:r>
            <w:r>
              <w:rPr>
                <w:rFonts w:hint="default" w:ascii="Times New Roman" w:hAnsi="Times New Roman" w:eastAsia="Arial" w:cs="Times New Roman"/>
                <w:color w:val="auto"/>
                <w:sz w:val="21"/>
                <w:szCs w:val="21"/>
                <w:lang w:eastAsia="zh-CN"/>
              </w:rPr>
              <w:t>季燃煤污染控制</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推进实施清洁取暖改造工程</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实施电解铝、钢铁、水泥、</w:t>
            </w:r>
            <w:r>
              <w:rPr>
                <w:rFonts w:hint="default" w:ascii="Times New Roman" w:hAnsi="Times New Roman" w:cs="Times New Roman"/>
                <w:color w:val="auto"/>
                <w:sz w:val="21"/>
                <w:szCs w:val="21"/>
                <w:lang w:eastAsia="zh-CN"/>
              </w:rPr>
              <w:t>焦化</w:t>
            </w:r>
            <w:r>
              <w:rPr>
                <w:rFonts w:hint="default" w:ascii="Times New Roman" w:hAnsi="Times New Roman" w:eastAsia="Arial" w:cs="Times New Roman"/>
                <w:color w:val="auto"/>
                <w:sz w:val="21"/>
                <w:szCs w:val="21"/>
                <w:lang w:eastAsia="zh-CN"/>
              </w:rPr>
              <w:t>等行业季节性生产调控措施</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7DBC41BB">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本项目在国家要求的超低排放标准基础上</w:t>
            </w:r>
            <w:r>
              <w:rPr>
                <w:rFonts w:hint="default" w:ascii="Times New Roman" w:hAnsi="Times New Roman" w:cs="Times New Roman"/>
                <w:color w:val="auto"/>
                <w:sz w:val="21"/>
                <w:szCs w:val="21"/>
                <w:lang w:eastAsia="zh-CN"/>
              </w:rPr>
              <w:t>进一步</w:t>
            </w:r>
            <w:r>
              <w:rPr>
                <w:rFonts w:hint="default" w:ascii="Times New Roman" w:hAnsi="Times New Roman" w:eastAsia="Arial" w:cs="Times New Roman"/>
                <w:color w:val="auto"/>
                <w:sz w:val="21"/>
                <w:szCs w:val="21"/>
                <w:lang w:eastAsia="zh-CN"/>
              </w:rPr>
              <w:t>优化污染防治措施</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满足大气污染防治要求</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2CEA9C62">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2B213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9" w:hRule="atLeast"/>
        </w:trPr>
        <w:tc>
          <w:tcPr>
            <w:tcW w:w="189" w:type="pct"/>
            <w:vMerge w:val="continue"/>
            <w:tcBorders>
              <w:tl2br w:val="nil"/>
              <w:tr2bl w:val="nil"/>
            </w:tcBorders>
            <w:shd w:val="clear" w:color="auto" w:fill="auto"/>
            <w:vAlign w:val="center"/>
          </w:tcPr>
          <w:p w14:paraId="7BC8DA9C">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textDirection w:val="tbRlV"/>
            <w:vAlign w:val="center"/>
          </w:tcPr>
          <w:p w14:paraId="3F7BC5B6">
            <w:pPr>
              <w:spacing w:line="240" w:lineRule="auto"/>
              <w:ind w:firstLine="0" w:firstLineChars="0"/>
              <w:rPr>
                <w:rFonts w:hint="default" w:ascii="Times New Roman" w:hAnsi="Times New Roman" w:eastAsia="Arial" w:cs="Times New Roman"/>
                <w:color w:val="auto"/>
                <w:sz w:val="21"/>
                <w:szCs w:val="21"/>
              </w:rPr>
            </w:pPr>
          </w:p>
        </w:tc>
        <w:tc>
          <w:tcPr>
            <w:tcW w:w="2761" w:type="pct"/>
            <w:tcBorders>
              <w:tl2br w:val="nil"/>
              <w:tr2bl w:val="nil"/>
            </w:tcBorders>
            <w:shd w:val="clear" w:color="auto" w:fill="auto"/>
            <w:vAlign w:val="center"/>
          </w:tcPr>
          <w:p w14:paraId="7A687648">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3.3)到2030年</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全兵团土壤环境质量稳中向好</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农用地和建设用地土壤环境安全得到有效保障</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土壤环境风险得到全面管控</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受污染耕地安全利用率达到95%以上</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污染地块安全利用率达到95%以上</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到本世纪中叶</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土壤环境质量全面改善</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生态系统实现良性循环</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32CE7107">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本项</w:t>
            </w:r>
            <w:r>
              <w:rPr>
                <w:rFonts w:hint="default" w:ascii="Times New Roman" w:hAnsi="Times New Roman" w:cs="Times New Roman"/>
                <w:color w:val="auto"/>
                <w:sz w:val="21"/>
                <w:szCs w:val="21"/>
                <w:lang w:eastAsia="zh-CN"/>
              </w:rPr>
              <w:t>目</w:t>
            </w:r>
            <w:r>
              <w:rPr>
                <w:rFonts w:hint="default" w:ascii="Times New Roman" w:hAnsi="Times New Roman" w:eastAsia="Arial" w:cs="Times New Roman"/>
                <w:color w:val="auto"/>
                <w:sz w:val="21"/>
                <w:szCs w:val="21"/>
                <w:lang w:eastAsia="zh-CN"/>
              </w:rPr>
              <w:t>土壤监测点的各项指标监测值满足《土壤环境</w:t>
            </w:r>
            <w:r>
              <w:rPr>
                <w:rFonts w:hint="default" w:ascii="Times New Roman" w:hAnsi="Times New Roman" w:cs="Times New Roman"/>
                <w:color w:val="auto"/>
                <w:sz w:val="21"/>
                <w:szCs w:val="21"/>
                <w:lang w:eastAsia="zh-CN"/>
              </w:rPr>
              <w:t>质量</w:t>
            </w:r>
            <w:r>
              <w:rPr>
                <w:rFonts w:hint="default" w:ascii="Times New Roman" w:hAnsi="Times New Roman" w:eastAsia="Arial" w:cs="Times New Roman"/>
                <w:color w:val="auto"/>
                <w:sz w:val="21"/>
                <w:szCs w:val="21"/>
                <w:lang w:eastAsia="zh-CN"/>
              </w:rPr>
              <w:t>建设用地土壤污染风险管控标准</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试行)》</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GB36600-2018)表1建设用地土壤污染风险筛选值和管制值</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基本项目)里第二类用地的筛选值要求</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47BC2A30">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47A02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89" w:type="pct"/>
            <w:vMerge w:val="continue"/>
            <w:tcBorders>
              <w:tl2br w:val="nil"/>
              <w:tr2bl w:val="nil"/>
            </w:tcBorders>
            <w:shd w:val="clear" w:color="auto" w:fill="auto"/>
            <w:vAlign w:val="center"/>
          </w:tcPr>
          <w:p w14:paraId="2C513404">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textDirection w:val="tbRlV"/>
            <w:vAlign w:val="center"/>
          </w:tcPr>
          <w:p w14:paraId="233CF85C">
            <w:pPr>
              <w:spacing w:line="240" w:lineRule="auto"/>
              <w:ind w:firstLine="0" w:firstLineChars="0"/>
              <w:rPr>
                <w:rFonts w:hint="default" w:ascii="Times New Roman" w:hAnsi="Times New Roman" w:eastAsia="Arial" w:cs="Times New Roman"/>
                <w:color w:val="auto"/>
                <w:sz w:val="21"/>
                <w:szCs w:val="21"/>
              </w:rPr>
            </w:pPr>
          </w:p>
        </w:tc>
        <w:tc>
          <w:tcPr>
            <w:tcW w:w="2761" w:type="pct"/>
            <w:tcBorders>
              <w:tl2br w:val="nil"/>
              <w:tr2bl w:val="nil"/>
            </w:tcBorders>
            <w:shd w:val="clear" w:color="auto" w:fill="auto"/>
            <w:vAlign w:val="center"/>
          </w:tcPr>
          <w:p w14:paraId="387EBEFF">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3.7)加快建设师市城区生活垃圾处理设施</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到2025年</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兵团城市生活垃圾无害化处理率达到99%以上</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72C2CB39">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本项目生活垃圾无害化处置率100%</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6B93956C">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66E9C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9" w:hRule="atLeast"/>
        </w:trPr>
        <w:tc>
          <w:tcPr>
            <w:tcW w:w="189" w:type="pct"/>
            <w:vMerge w:val="continue"/>
            <w:tcBorders>
              <w:tl2br w:val="nil"/>
              <w:tr2bl w:val="nil"/>
            </w:tcBorders>
            <w:shd w:val="clear" w:color="auto" w:fill="auto"/>
            <w:vAlign w:val="center"/>
          </w:tcPr>
          <w:p w14:paraId="5D121268">
            <w:pPr>
              <w:spacing w:line="240" w:lineRule="auto"/>
              <w:ind w:firstLine="0" w:firstLineChars="0"/>
              <w:rPr>
                <w:rFonts w:hint="default" w:ascii="Times New Roman" w:hAnsi="Times New Roman" w:eastAsia="Arial" w:cs="Times New Roman"/>
                <w:color w:val="auto"/>
                <w:sz w:val="21"/>
                <w:szCs w:val="21"/>
              </w:rPr>
            </w:pPr>
          </w:p>
        </w:tc>
        <w:tc>
          <w:tcPr>
            <w:tcW w:w="252" w:type="pct"/>
            <w:vMerge w:val="restart"/>
            <w:tcBorders>
              <w:tl2br w:val="nil"/>
              <w:tr2bl w:val="nil"/>
            </w:tcBorders>
            <w:shd w:val="clear" w:color="auto" w:fill="auto"/>
            <w:textDirection w:val="tbRlV"/>
            <w:vAlign w:val="center"/>
          </w:tcPr>
          <w:p w14:paraId="1E1FDF9C">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资源利用效率</w:t>
            </w:r>
          </w:p>
        </w:tc>
        <w:tc>
          <w:tcPr>
            <w:tcW w:w="2761" w:type="pct"/>
            <w:tcBorders>
              <w:tl2br w:val="nil"/>
              <w:tr2bl w:val="nil"/>
            </w:tcBorders>
            <w:shd w:val="clear" w:color="auto" w:fill="auto"/>
            <w:vAlign w:val="center"/>
          </w:tcPr>
          <w:p w14:paraId="6D9E70D0">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4.1)扩大高污染燃料禁燃区范围</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逐步由城市建成区扩展到近郊</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逐步推行以天然气或电替代煤炭</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ab/>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4.2)在禁燃区内</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禁止销售、燃用高污染燃料</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禁止新建、扩建燃用高污染燃料的设施</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已建成的</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应当在规定期限内改用清洁能源</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2E266336">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rPr>
              <w:t>项目</w:t>
            </w:r>
            <w:r>
              <w:rPr>
                <w:rFonts w:hint="default" w:ascii="Times New Roman" w:hAnsi="Times New Roman" w:cs="Times New Roman"/>
                <w:color w:val="auto"/>
                <w:sz w:val="21"/>
                <w:szCs w:val="21"/>
                <w:lang w:eastAsia="zh-CN"/>
              </w:rPr>
              <w:t>不涉及燃煤。</w:t>
            </w:r>
          </w:p>
        </w:tc>
        <w:tc>
          <w:tcPr>
            <w:tcW w:w="194" w:type="pct"/>
            <w:tcBorders>
              <w:tl2br w:val="nil"/>
              <w:tr2bl w:val="nil"/>
            </w:tcBorders>
            <w:shd w:val="clear" w:color="auto" w:fill="auto"/>
            <w:vAlign w:val="center"/>
          </w:tcPr>
          <w:p w14:paraId="029CE059">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4D26F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89" w:type="pct"/>
            <w:vMerge w:val="continue"/>
            <w:tcBorders>
              <w:tl2br w:val="nil"/>
              <w:tr2bl w:val="nil"/>
            </w:tcBorders>
            <w:shd w:val="clear" w:color="auto" w:fill="auto"/>
            <w:vAlign w:val="center"/>
          </w:tcPr>
          <w:p w14:paraId="6F9B06C6">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vAlign w:val="center"/>
          </w:tcPr>
          <w:p w14:paraId="70322272">
            <w:pPr>
              <w:spacing w:line="240" w:lineRule="auto"/>
              <w:ind w:firstLine="0" w:firstLineChars="0"/>
              <w:rPr>
                <w:rFonts w:hint="default" w:ascii="Times New Roman" w:hAnsi="Times New Roman" w:eastAsia="Arial" w:cs="Times New Roman"/>
                <w:color w:val="auto"/>
                <w:sz w:val="21"/>
                <w:szCs w:val="21"/>
              </w:rPr>
            </w:pPr>
          </w:p>
        </w:tc>
        <w:tc>
          <w:tcPr>
            <w:tcW w:w="2761" w:type="pct"/>
            <w:vMerge w:val="restart"/>
            <w:tcBorders>
              <w:tl2br w:val="nil"/>
              <w:tr2bl w:val="nil"/>
            </w:tcBorders>
            <w:shd w:val="clear" w:color="auto" w:fill="auto"/>
            <w:vAlign w:val="center"/>
          </w:tcPr>
          <w:p w14:paraId="114D5171">
            <w:pPr>
              <w:spacing w:line="240" w:lineRule="auto"/>
              <w:ind w:firstLine="0" w:firstLineChars="0"/>
              <w:rPr>
                <w:rFonts w:hint="default" w:ascii="Times New Roman" w:hAnsi="Times New Roman" w:cs="Times New Roman"/>
                <w:color w:val="auto"/>
                <w:sz w:val="21"/>
                <w:szCs w:val="21"/>
                <w:lang w:eastAsia="zh-CN"/>
              </w:rPr>
            </w:pP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4.4)推进工业集聚区生态化改造</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强化企业清洁生产改造</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推进节水型企业、节水型工业园区建设</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提高资源能源利用效率</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结合兵团以及各师市相关要求</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以水定城、以水定地、以水定人、以水定产</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把水资源作为最大的刚性约束</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推进农业节水</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提高农业用水效率</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4.5)落实最严格的水资源管理制度</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科学确定水资源承载能力</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严格实行区域用水总量和强度控制</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强化节水约束性指标管理</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强化地下水超采治理</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4.6)加大城镇污水再生利用工程建设力度</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推进区域再生水循环利用</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到2025年</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城市生活污水再生利用率力争达到25%</w:t>
            </w:r>
            <w:r>
              <w:rPr>
                <w:rFonts w:hint="default" w:ascii="Times New Roman" w:hAnsi="Times New Roman" w:cs="Times New Roman"/>
                <w:color w:val="auto"/>
                <w:sz w:val="21"/>
                <w:szCs w:val="21"/>
                <w:lang w:eastAsia="zh-CN"/>
              </w:rPr>
              <w:t>。</w:t>
            </w:r>
            <w:r>
              <w:rPr>
                <w:rFonts w:hint="eastAsia" w:ascii="Times New Roman" w:hAnsi="Times New Roman" w:eastAsia="Arial" w:cs="Times New Roman"/>
                <w:color w:val="auto"/>
                <w:sz w:val="21"/>
                <w:szCs w:val="21"/>
                <w:lang w:eastAsia="zh-CN"/>
              </w:rPr>
              <w:t>（</w:t>
            </w:r>
            <w:r>
              <w:rPr>
                <w:rFonts w:hint="default" w:ascii="Times New Roman" w:hAnsi="Times New Roman" w:eastAsia="Arial" w:cs="Times New Roman"/>
                <w:color w:val="auto"/>
                <w:sz w:val="21"/>
                <w:szCs w:val="21"/>
                <w:lang w:eastAsia="zh-CN"/>
              </w:rPr>
              <w:t>4.11)发展新型绿色环保建筑材料</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开展农业、工业、生活、消费等废弃物资源化利用</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提高固废综合利用能力</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支持大型骨干企业开展余热余压利用、中水回用、废渣资源化利用等活动</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积极推广应用循环生产工艺和设备</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提高资源循环利用水平</w:t>
            </w:r>
            <w:r>
              <w:rPr>
                <w:rFonts w:hint="default" w:ascii="Times New Roman" w:hAnsi="Times New Roman" w:cs="Times New Roman"/>
                <w:color w:val="auto"/>
                <w:sz w:val="21"/>
                <w:szCs w:val="21"/>
                <w:lang w:eastAsia="zh-CN"/>
              </w:rPr>
              <w:t>。</w:t>
            </w:r>
          </w:p>
        </w:tc>
        <w:tc>
          <w:tcPr>
            <w:tcW w:w="1602" w:type="pct"/>
            <w:tcBorders>
              <w:tl2br w:val="nil"/>
              <w:tr2bl w:val="nil"/>
            </w:tcBorders>
            <w:shd w:val="clear" w:color="auto" w:fill="auto"/>
            <w:vAlign w:val="center"/>
          </w:tcPr>
          <w:p w14:paraId="118D37D1">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本项目生产主水源为</w:t>
            </w:r>
            <w:r>
              <w:rPr>
                <w:rFonts w:hint="default" w:ascii="Times New Roman" w:hAnsi="Times New Roman" w:eastAsia="Arial" w:cs="Times New Roman"/>
                <w:color w:val="auto"/>
                <w:sz w:val="21"/>
                <w:szCs w:val="21"/>
                <w:lang w:val="en-US" w:eastAsia="zh-CN"/>
              </w:rPr>
              <w:t>市政</w:t>
            </w:r>
            <w:r>
              <w:rPr>
                <w:rFonts w:hint="default" w:ascii="Times New Roman" w:hAnsi="Times New Roman" w:eastAsia="Arial" w:cs="Times New Roman"/>
                <w:color w:val="auto"/>
                <w:sz w:val="21"/>
                <w:szCs w:val="21"/>
                <w:lang w:eastAsia="zh-CN"/>
              </w:rPr>
              <w:t>供水</w:t>
            </w:r>
            <w:r>
              <w:rPr>
                <w:rFonts w:hint="default" w:ascii="Times New Roman" w:hAnsi="Times New Roman" w:cs="Times New Roman"/>
                <w:color w:val="auto"/>
                <w:sz w:val="21"/>
                <w:szCs w:val="21"/>
                <w:lang w:eastAsia="zh-CN"/>
              </w:rPr>
              <w:t>，</w:t>
            </w:r>
            <w:r>
              <w:rPr>
                <w:rFonts w:hint="default" w:ascii="Times New Roman" w:hAnsi="Times New Roman" w:eastAsia="Arial" w:cs="Times New Roman"/>
                <w:color w:val="auto"/>
                <w:sz w:val="21"/>
                <w:szCs w:val="21"/>
                <w:lang w:eastAsia="zh-CN"/>
              </w:rPr>
              <w:t>强化节水约束性指标</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0B8A8CFF">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r w14:paraId="2683A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189" w:type="pct"/>
            <w:vMerge w:val="continue"/>
            <w:tcBorders>
              <w:tl2br w:val="nil"/>
              <w:tr2bl w:val="nil"/>
            </w:tcBorders>
            <w:shd w:val="clear" w:color="auto" w:fill="auto"/>
            <w:vAlign w:val="center"/>
          </w:tcPr>
          <w:p w14:paraId="0E07C60A">
            <w:pPr>
              <w:spacing w:line="240" w:lineRule="auto"/>
              <w:ind w:firstLine="0" w:firstLineChars="0"/>
              <w:rPr>
                <w:rFonts w:hint="default" w:ascii="Times New Roman" w:hAnsi="Times New Roman" w:eastAsia="Arial" w:cs="Times New Roman"/>
                <w:color w:val="auto"/>
                <w:sz w:val="21"/>
                <w:szCs w:val="21"/>
              </w:rPr>
            </w:pPr>
          </w:p>
        </w:tc>
        <w:tc>
          <w:tcPr>
            <w:tcW w:w="252" w:type="pct"/>
            <w:vMerge w:val="continue"/>
            <w:tcBorders>
              <w:tl2br w:val="nil"/>
              <w:tr2bl w:val="nil"/>
            </w:tcBorders>
            <w:shd w:val="clear" w:color="auto" w:fill="auto"/>
            <w:vAlign w:val="center"/>
          </w:tcPr>
          <w:p w14:paraId="26CCEFFB">
            <w:pPr>
              <w:spacing w:line="240" w:lineRule="auto"/>
              <w:ind w:firstLine="0" w:firstLineChars="0"/>
              <w:rPr>
                <w:rFonts w:hint="default" w:ascii="Times New Roman" w:hAnsi="Times New Roman" w:eastAsia="Arial" w:cs="Times New Roman"/>
                <w:color w:val="auto"/>
                <w:sz w:val="21"/>
                <w:szCs w:val="21"/>
              </w:rPr>
            </w:pPr>
          </w:p>
        </w:tc>
        <w:tc>
          <w:tcPr>
            <w:tcW w:w="2761" w:type="pct"/>
            <w:vMerge w:val="continue"/>
            <w:tcBorders>
              <w:tl2br w:val="nil"/>
              <w:tr2bl w:val="nil"/>
            </w:tcBorders>
            <w:shd w:val="clear" w:color="auto" w:fill="auto"/>
            <w:vAlign w:val="center"/>
          </w:tcPr>
          <w:p w14:paraId="5EF722B8">
            <w:pPr>
              <w:spacing w:line="240" w:lineRule="auto"/>
              <w:ind w:firstLine="0" w:firstLineChars="0"/>
              <w:rPr>
                <w:rFonts w:hint="default" w:ascii="Times New Roman" w:hAnsi="Times New Roman" w:eastAsia="Arial" w:cs="Times New Roman"/>
                <w:color w:val="auto"/>
                <w:sz w:val="21"/>
                <w:szCs w:val="21"/>
              </w:rPr>
            </w:pPr>
          </w:p>
        </w:tc>
        <w:tc>
          <w:tcPr>
            <w:tcW w:w="1602" w:type="pct"/>
            <w:tcBorders>
              <w:tl2br w:val="nil"/>
              <w:tr2bl w:val="nil"/>
            </w:tcBorders>
            <w:shd w:val="clear" w:color="auto" w:fill="auto"/>
            <w:vAlign w:val="center"/>
          </w:tcPr>
          <w:p w14:paraId="6002A2FC">
            <w:pPr>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eastAsia="Arial" w:cs="Times New Roman"/>
                <w:color w:val="auto"/>
                <w:sz w:val="21"/>
                <w:szCs w:val="21"/>
                <w:lang w:eastAsia="zh-CN"/>
              </w:rPr>
              <w:t>本项目不使用地下水</w:t>
            </w:r>
            <w:r>
              <w:rPr>
                <w:rFonts w:hint="default" w:ascii="Times New Roman" w:hAnsi="Times New Roman" w:cs="Times New Roman"/>
                <w:color w:val="auto"/>
                <w:sz w:val="21"/>
                <w:szCs w:val="21"/>
                <w:lang w:eastAsia="zh-CN"/>
              </w:rPr>
              <w:t>。</w:t>
            </w:r>
          </w:p>
        </w:tc>
        <w:tc>
          <w:tcPr>
            <w:tcW w:w="194" w:type="pct"/>
            <w:tcBorders>
              <w:tl2br w:val="nil"/>
              <w:tr2bl w:val="nil"/>
            </w:tcBorders>
            <w:shd w:val="clear" w:color="auto" w:fill="auto"/>
            <w:vAlign w:val="center"/>
          </w:tcPr>
          <w:p w14:paraId="5214B3EA">
            <w:pPr>
              <w:spacing w:line="240" w:lineRule="auto"/>
              <w:ind w:firstLine="0" w:firstLineChars="0"/>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符合</w:t>
            </w:r>
          </w:p>
        </w:tc>
      </w:tr>
    </w:tbl>
    <w:p w14:paraId="4379F5EA">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与生态环境准入清单符合性</w:t>
      </w:r>
    </w:p>
    <w:p w14:paraId="10CFB2A8">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本项目为</w:t>
      </w:r>
      <w:r>
        <w:rPr>
          <w:rFonts w:hint="default" w:ascii="Times New Roman" w:hAnsi="Times New Roman" w:cs="Times New Roman"/>
          <w:color w:val="FF0000"/>
          <w:lang w:val="en-US"/>
        </w:rPr>
        <w:t>规模化畜禽养殖项目</w:t>
      </w:r>
      <w:r>
        <w:rPr>
          <w:rFonts w:hint="default" w:ascii="Times New Roman" w:hAnsi="Times New Roman" w:cs="Times New Roman"/>
          <w:color w:val="FF0000"/>
          <w:lang w:val="en-US" w:eastAsia="zh-CN"/>
        </w:rPr>
        <w:t>，不属于环境污染大、环境风险高的淘汰落后产能企业，不属于“三高”项目，根据《</w:t>
      </w:r>
      <w:r>
        <w:rPr>
          <w:rFonts w:hint="default" w:ascii="Times New Roman" w:hAnsi="Times New Roman" w:cs="Times New Roman"/>
          <w:color w:val="FF0000"/>
          <w:sz w:val="24"/>
          <w:szCs w:val="24"/>
          <w:vertAlign w:val="baseline"/>
        </w:rPr>
        <w:t>第十师北屯市生态环境分区管控更新成果（2023年版）</w:t>
      </w:r>
      <w:r>
        <w:rPr>
          <w:rFonts w:hint="default" w:ascii="Times New Roman" w:hAnsi="Times New Roman" w:cs="Times New Roman"/>
          <w:color w:val="FF0000"/>
          <w:lang w:val="en-US" w:eastAsia="zh-CN"/>
        </w:rPr>
        <w:t>》表1.1-1环境管控单元生态环境准入清单可知，本项目养殖场位于188团重点管控单元，编码Z</w:t>
      </w:r>
      <w:r>
        <w:rPr>
          <w:rFonts w:hint="default" w:ascii="Times New Roman" w:hAnsi="Times New Roman" w:eastAsia="宋体" w:cs="Times New Roman"/>
          <w:color w:val="FF0000"/>
          <w:lang w:val="en-US" w:eastAsia="zh-CN"/>
        </w:rPr>
        <w:t>H65800820004</w:t>
      </w:r>
      <w:r>
        <w:rPr>
          <w:rFonts w:hint="default" w:ascii="Times New Roman" w:hAnsi="Times New Roman" w:cs="Times New Roman"/>
          <w:color w:val="FF0000"/>
          <w:lang w:val="en-US" w:eastAsia="zh-CN"/>
        </w:rPr>
        <w:t>，项目与十师环境管控单元位置关系图详见附图1-1，项目与第十师北屯市环境管控单元生态环境准入清单符合性分析详见表1.4-3。</w:t>
      </w:r>
    </w:p>
    <w:p w14:paraId="6541C12C">
      <w:pPr>
        <w:pStyle w:val="14"/>
        <w:bidi w:val="0"/>
        <w:rPr>
          <w:rFonts w:hint="default" w:ascii="Times New Roman" w:hAnsi="Times New Roman" w:cs="Times New Roman"/>
          <w:color w:val="FF0000"/>
          <w:lang w:val="en-US"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1.4</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7</w:t>
      </w:r>
      <w:r>
        <w:rPr>
          <w:rFonts w:hint="default" w:ascii="Times New Roman" w:hAnsi="Times New Roman" w:cs="Times New Roman"/>
          <w:color w:val="FF0000"/>
        </w:rPr>
        <w:fldChar w:fldCharType="end"/>
      </w:r>
      <w:r>
        <w:rPr>
          <w:rFonts w:hint="default" w:ascii="Times New Roman" w:hAnsi="Times New Roman" w:cs="Times New Roman"/>
          <w:color w:val="FF0000"/>
          <w:lang w:val="en-US" w:eastAsia="zh-CN"/>
        </w:rPr>
        <w:t>《第十师北屯市生态环境分区管控更新成果（2023年版）》符合性分析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4595"/>
        <w:gridCol w:w="2267"/>
        <w:gridCol w:w="833"/>
      </w:tblGrid>
      <w:tr w14:paraId="0D3E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2" w:type="dxa"/>
            <w:gridSpan w:val="2"/>
            <w:noWrap w:val="0"/>
            <w:vAlign w:val="center"/>
          </w:tcPr>
          <w:p w14:paraId="28DFC2DE">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管控要求</w:t>
            </w:r>
          </w:p>
        </w:tc>
        <w:tc>
          <w:tcPr>
            <w:tcW w:w="2267" w:type="dxa"/>
            <w:noWrap w:val="0"/>
            <w:vAlign w:val="center"/>
          </w:tcPr>
          <w:p w14:paraId="545A89C2">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本项目情况</w:t>
            </w:r>
          </w:p>
        </w:tc>
        <w:tc>
          <w:tcPr>
            <w:tcW w:w="833" w:type="dxa"/>
            <w:noWrap w:val="0"/>
            <w:vAlign w:val="center"/>
          </w:tcPr>
          <w:p w14:paraId="58C0BF79">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结论</w:t>
            </w:r>
          </w:p>
        </w:tc>
      </w:tr>
      <w:tr w14:paraId="12D6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4" w:hRule="atLeast"/>
          <w:jc w:val="center"/>
        </w:trPr>
        <w:tc>
          <w:tcPr>
            <w:tcW w:w="837" w:type="dxa"/>
            <w:noWrap w:val="0"/>
            <w:vAlign w:val="center"/>
          </w:tcPr>
          <w:p w14:paraId="526DB9C3">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空间约</w:t>
            </w:r>
          </w:p>
          <w:p w14:paraId="64803E22">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束布局</w:t>
            </w:r>
          </w:p>
        </w:tc>
        <w:tc>
          <w:tcPr>
            <w:tcW w:w="4595" w:type="dxa"/>
            <w:noWrap w:val="0"/>
            <w:vAlign w:val="center"/>
          </w:tcPr>
          <w:p w14:paraId="19FBE3D9">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（2）执行大气环境布局敏感区空间布局约束要求。严格控制涉及大气污染物排放的工业项目准入应避免大规模排放大气污染物的项目布局建设。</w:t>
            </w:r>
          </w:p>
        </w:tc>
        <w:tc>
          <w:tcPr>
            <w:tcW w:w="2267" w:type="dxa"/>
            <w:noWrap w:val="0"/>
            <w:vAlign w:val="center"/>
          </w:tcPr>
          <w:p w14:paraId="6E3F2032">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养殖场将严格执行生产与环保设施同时设计、同时施工、同时利用的环保制度，项目区拥有与养殖规模相匹配的农田消纳畜禽粪污，养殖场畜禽粪便尽量就地消纳。项目属于管控要求中鼓励类的生态畜牧业，符合大气环境布局敏感区空间布局约束准入要求。</w:t>
            </w:r>
          </w:p>
        </w:tc>
        <w:tc>
          <w:tcPr>
            <w:tcW w:w="833" w:type="dxa"/>
            <w:noWrap w:val="0"/>
            <w:vAlign w:val="center"/>
          </w:tcPr>
          <w:p w14:paraId="743585F1">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符合</w:t>
            </w:r>
          </w:p>
        </w:tc>
      </w:tr>
      <w:tr w14:paraId="22C6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noWrap w:val="0"/>
            <w:vAlign w:val="center"/>
          </w:tcPr>
          <w:p w14:paraId="4744C5EE">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污染物</w:t>
            </w:r>
          </w:p>
          <w:p w14:paraId="4E0275C5">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排放管</w:t>
            </w:r>
          </w:p>
          <w:p w14:paraId="68B69BB6">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控</w:t>
            </w:r>
          </w:p>
        </w:tc>
        <w:tc>
          <w:tcPr>
            <w:tcW w:w="4595" w:type="dxa"/>
            <w:noWrap w:val="0"/>
            <w:vAlign w:val="center"/>
          </w:tcPr>
          <w:p w14:paraId="7FBC8793">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执行大气环境布局敏感区污染物排放管控要求。（2）已有改扩建项目要提高节能环保准入门槛，实行大气污染物排放减量置换，实施区域内最严格的大气污染物排放标准。（3）已达到大气环境质量标准的地区，应当严格控制新增排放大气污染物项目的大气污染物排放量。</w:t>
            </w:r>
          </w:p>
        </w:tc>
        <w:tc>
          <w:tcPr>
            <w:tcW w:w="2267" w:type="dxa"/>
            <w:noWrap w:val="0"/>
            <w:vAlign w:val="center"/>
          </w:tcPr>
          <w:p w14:paraId="1DAC6980">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本项目养殖场将严格执行生产与环保设施同时设计、同时施工、同时利用的环保制度，项目区拥有与养殖规模相匹配的农田消纳畜禽粪污，养殖场畜禽粪便尽量就地消纳。符合污染物排放管控要求。</w:t>
            </w:r>
          </w:p>
        </w:tc>
        <w:tc>
          <w:tcPr>
            <w:tcW w:w="833" w:type="dxa"/>
            <w:noWrap w:val="0"/>
            <w:vAlign w:val="center"/>
          </w:tcPr>
          <w:p w14:paraId="0DF62A64">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符合</w:t>
            </w:r>
          </w:p>
        </w:tc>
      </w:tr>
      <w:tr w14:paraId="5D9C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noWrap w:val="0"/>
            <w:vAlign w:val="center"/>
          </w:tcPr>
          <w:p w14:paraId="5FD9DF63">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环境风险防控</w:t>
            </w:r>
          </w:p>
        </w:tc>
        <w:tc>
          <w:tcPr>
            <w:tcW w:w="4595" w:type="dxa"/>
            <w:noWrap w:val="0"/>
            <w:vAlign w:val="center"/>
          </w:tcPr>
          <w:p w14:paraId="5400D1A7">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（1）执行大气环境布局敏感区环境风险防控要求。</w:t>
            </w:r>
          </w:p>
        </w:tc>
        <w:tc>
          <w:tcPr>
            <w:tcW w:w="2267" w:type="dxa"/>
            <w:noWrap w:val="0"/>
            <w:vAlign w:val="center"/>
          </w:tcPr>
          <w:p w14:paraId="7E9E0A9A">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环评提出相应的环境风险防范措施。</w:t>
            </w:r>
          </w:p>
        </w:tc>
        <w:tc>
          <w:tcPr>
            <w:tcW w:w="833" w:type="dxa"/>
            <w:noWrap w:val="0"/>
            <w:vAlign w:val="center"/>
          </w:tcPr>
          <w:p w14:paraId="14A9201A">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符合</w:t>
            </w:r>
          </w:p>
          <w:p w14:paraId="53920C16">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p>
        </w:tc>
      </w:tr>
      <w:tr w14:paraId="759B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noWrap w:val="0"/>
            <w:vAlign w:val="center"/>
          </w:tcPr>
          <w:p w14:paraId="15089B58">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资源利</w:t>
            </w:r>
          </w:p>
          <w:p w14:paraId="1E683B89">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用率</w:t>
            </w:r>
          </w:p>
        </w:tc>
        <w:tc>
          <w:tcPr>
            <w:tcW w:w="4595" w:type="dxa"/>
            <w:noWrap w:val="0"/>
            <w:vAlign w:val="center"/>
          </w:tcPr>
          <w:p w14:paraId="4BC24AD0">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2）执行大气环境布局敏感区资源利用效率管控要求。完善高标准农田建设、土地开发整理等标准规范，明确环保要求。推广渠道防渗、管道输水、喷灌、微灌等节水灌溉技术，完善灌溉用水计量设施。大力推进规模化高效节水灌溉，推广农作物节水抗旱技术。规划实施要提高土地集约利用程度，切实加强耕地和基本农田保护，严格非农建设用地占用基本农田。</w:t>
            </w:r>
          </w:p>
        </w:tc>
        <w:tc>
          <w:tcPr>
            <w:tcW w:w="2267" w:type="dxa"/>
            <w:noWrap w:val="0"/>
            <w:vAlign w:val="center"/>
          </w:tcPr>
          <w:p w14:paraId="1C3B3116">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项目不属于高耗水项目，不会突破区域的水资源利用和土地资源利用上限。</w:t>
            </w:r>
          </w:p>
        </w:tc>
        <w:tc>
          <w:tcPr>
            <w:tcW w:w="833" w:type="dxa"/>
            <w:noWrap w:val="0"/>
            <w:vAlign w:val="center"/>
          </w:tcPr>
          <w:p w14:paraId="056226BD">
            <w:pPr>
              <w:keepNext w:val="0"/>
              <w:keepLines w:val="0"/>
              <w:pageBreakBefore w:val="0"/>
              <w:widowControl w:val="0"/>
              <w:kinsoku/>
              <w:wordWrap/>
              <w:overflowPunct/>
              <w:topLinePunct w:val="0"/>
              <w:autoSpaceDE/>
              <w:autoSpaceDN/>
              <w:bidi w:val="0"/>
              <w:adjustRightInd w:val="0"/>
              <w:snapToGrid w:val="0"/>
              <w:ind w:left="0" w:leftChars="0" w:right="-10" w:rightChars="0" w:firstLine="0" w:firstLineChars="0"/>
              <w:jc w:val="both"/>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符合</w:t>
            </w:r>
          </w:p>
        </w:tc>
      </w:tr>
    </w:tbl>
    <w:p w14:paraId="7CAB8DE6">
      <w:pPr>
        <w:pStyle w:val="16"/>
        <w:bidi w:val="0"/>
        <w:rPr>
          <w:rFonts w:hint="default" w:ascii="Times New Roman" w:hAnsi="Times New Roman" w:cs="Times New Roman"/>
          <w:color w:val="FF0000"/>
          <w:lang w:val="en-US"/>
        </w:rPr>
      </w:pPr>
      <w:r>
        <w:rPr>
          <w:rFonts w:hint="default" w:ascii="Times New Roman" w:hAnsi="Times New Roman" w:cs="Times New Roman"/>
          <w:color w:val="FF0000"/>
          <w:lang w:val="en-US"/>
        </w:rPr>
        <w:t>综上所述，本项目建设符合相关规划及“</w:t>
      </w:r>
      <w:r>
        <w:rPr>
          <w:rFonts w:hint="default" w:ascii="Times New Roman" w:hAnsi="Times New Roman" w:cs="Times New Roman"/>
          <w:color w:val="FF0000"/>
          <w:lang w:val="en-US" w:eastAsia="zh-CN"/>
        </w:rPr>
        <w:t>分区管控方案</w:t>
      </w:r>
      <w:r>
        <w:rPr>
          <w:rFonts w:hint="default" w:ascii="Times New Roman" w:hAnsi="Times New Roman" w:cs="Times New Roman"/>
          <w:color w:val="FF0000"/>
          <w:lang w:val="en-US"/>
        </w:rPr>
        <w:t>”控制条件要求。</w:t>
      </w:r>
    </w:p>
    <w:p w14:paraId="291F1838">
      <w:pPr>
        <w:pStyle w:val="3"/>
        <w:bidi w:val="0"/>
        <w:rPr>
          <w:rFonts w:hint="default" w:ascii="Times New Roman" w:hAnsi="Times New Roman" w:cs="Times New Roman"/>
          <w:color w:val="auto"/>
        </w:rPr>
      </w:pPr>
      <w:bookmarkStart w:id="11" w:name="_Toc17674"/>
      <w:bookmarkStart w:id="12" w:name="_Toc12212"/>
      <w:r>
        <w:rPr>
          <w:rFonts w:hint="default" w:ascii="Times New Roman" w:hAnsi="Times New Roman" w:cs="Times New Roman"/>
          <w:color w:val="auto"/>
        </w:rPr>
        <w:t>环境影响报告书的主要结论</w:t>
      </w:r>
      <w:bookmarkEnd w:id="11"/>
      <w:bookmarkEnd w:id="12"/>
    </w:p>
    <w:p w14:paraId="0391880D">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rPr>
        <w:t>本项目作为规模化畜禽养殖项目，符合</w:t>
      </w:r>
      <w:r>
        <w:rPr>
          <w:rFonts w:hint="default" w:ascii="Times New Roman" w:hAnsi="Times New Roman" w:cs="Times New Roman"/>
          <w:color w:val="auto"/>
        </w:rPr>
        <w:t>《产业结构调整指导目录（2</w:t>
      </w:r>
      <w:r>
        <w:rPr>
          <w:rFonts w:hint="default" w:ascii="Times New Roman" w:hAnsi="Times New Roman" w:cs="Times New Roman"/>
          <w:color w:val="auto"/>
          <w:lang w:val="en-US" w:eastAsia="zh-CN"/>
        </w:rPr>
        <w:t>024</w:t>
      </w:r>
      <w:r>
        <w:rPr>
          <w:rFonts w:hint="default" w:ascii="Times New Roman" w:hAnsi="Times New Roman" w:cs="Times New Roman"/>
          <w:color w:val="auto"/>
        </w:rPr>
        <w:t>年本）》</w:t>
      </w:r>
      <w:r>
        <w:rPr>
          <w:rFonts w:hint="default" w:ascii="Times New Roman" w:hAnsi="Times New Roman" w:cs="Times New Roman"/>
          <w:color w:val="auto"/>
          <w:lang w:val="en-US"/>
        </w:rPr>
        <w:t>中相关产业政策；符合《新疆生产建设兵团“十四五”生态环境保护规划》</w:t>
      </w:r>
      <w:r>
        <w:rPr>
          <w:rFonts w:hint="default" w:ascii="Times New Roman" w:hAnsi="Times New Roman" w:cs="Times New Roman"/>
          <w:color w:val="auto"/>
          <w:highlight w:val="none"/>
          <w:lang w:val="en-US" w:eastAsia="zh-CN"/>
        </w:rPr>
        <w:t>《第十师北屯市“十四五”生态环境保护规划</w:t>
      </w:r>
      <w:r>
        <w:rPr>
          <w:rFonts w:hint="default" w:ascii="Times New Roman" w:hAnsi="Times New Roman" w:cs="Times New Roman"/>
          <w:color w:val="auto"/>
          <w:highlight w:val="none"/>
          <w:lang w:val="en-US"/>
        </w:rPr>
        <w:t>》《兵团</w:t>
      </w:r>
      <w:r>
        <w:rPr>
          <w:rFonts w:hint="default" w:ascii="Times New Roman" w:hAnsi="Times New Roman" w:cs="Times New Roman"/>
          <w:color w:val="auto"/>
          <w:highlight w:val="none"/>
          <w:lang w:val="en-US" w:eastAsia="zh-CN"/>
        </w:rPr>
        <w:t>第十师北屯市</w:t>
      </w:r>
      <w:r>
        <w:rPr>
          <w:rFonts w:hint="default" w:ascii="Times New Roman" w:hAnsi="Times New Roman" w:cs="Times New Roman"/>
          <w:color w:val="auto"/>
          <w:highlight w:val="none"/>
          <w:lang w:val="en-US"/>
        </w:rPr>
        <w:t>畜禽养殖禁养区和限养区划定工作实施方案》</w:t>
      </w:r>
      <w:r>
        <w:rPr>
          <w:rFonts w:hint="default" w:ascii="Times New Roman" w:hAnsi="Times New Roman" w:cs="Times New Roman"/>
          <w:color w:val="auto"/>
          <w:lang w:val="en-US" w:eastAsia="zh-CN"/>
        </w:rPr>
        <w:t>等的相关要求。项目</w:t>
      </w:r>
      <w:r>
        <w:rPr>
          <w:rFonts w:hint="default" w:ascii="Times New Roman" w:hAnsi="Times New Roman" w:cs="Times New Roman"/>
          <w:color w:val="auto"/>
          <w:lang w:val="en-US"/>
        </w:rPr>
        <w:t>选址合理，项目的生产也符合清洁生产基本要求。</w:t>
      </w:r>
    </w:p>
    <w:p w14:paraId="59DB2406">
      <w:pPr>
        <w:pStyle w:val="16"/>
        <w:bidi w:val="0"/>
        <w:rPr>
          <w:rFonts w:hint="default" w:ascii="Times New Roman" w:hAnsi="Times New Roman" w:cs="Times New Roman"/>
          <w:color w:val="auto"/>
          <w:sz w:val="24"/>
        </w:rPr>
      </w:pPr>
      <w:r>
        <w:rPr>
          <w:rFonts w:hint="default" w:ascii="Times New Roman" w:hAnsi="Times New Roman" w:cs="Times New Roman"/>
          <w:color w:val="auto"/>
          <w:sz w:val="24"/>
          <w:lang w:val="en-US"/>
        </w:rPr>
        <w:t>根据国家现行的畜禽养殖业相关规范要求，对粪便处理设施、粪污池及</w:t>
      </w:r>
      <w:r>
        <w:rPr>
          <w:rFonts w:hint="default" w:ascii="Times New Roman" w:hAnsi="Times New Roman" w:cs="Times New Roman"/>
          <w:color w:val="auto"/>
          <w:sz w:val="24"/>
          <w:lang w:val="en-US" w:eastAsia="zh-CN"/>
        </w:rPr>
        <w:t>鸡舍</w:t>
      </w:r>
      <w:r>
        <w:rPr>
          <w:rFonts w:hint="default" w:ascii="Times New Roman" w:hAnsi="Times New Roman" w:cs="Times New Roman"/>
          <w:color w:val="auto"/>
          <w:sz w:val="24"/>
          <w:lang w:val="en-US"/>
        </w:rPr>
        <w:t>内投放生物除臭剂减少臭气的散发；</w:t>
      </w:r>
      <w:r>
        <w:rPr>
          <w:rFonts w:hint="default" w:ascii="Times New Roman" w:hAnsi="Times New Roman" w:cs="Times New Roman"/>
          <w:color w:val="auto"/>
          <w:sz w:val="24"/>
          <w:lang w:val="en-US" w:eastAsia="zh-CN"/>
        </w:rPr>
        <w:t>鸡粪堆肥无害化处置后</w:t>
      </w:r>
      <w:r>
        <w:rPr>
          <w:rFonts w:hint="default" w:ascii="Times New Roman" w:hAnsi="Times New Roman" w:cs="Times New Roman"/>
          <w:color w:val="auto"/>
          <w:sz w:val="24"/>
          <w:lang w:val="en-US"/>
        </w:rPr>
        <w:t>处理后用作肥料；兽用医疗废物</w:t>
      </w:r>
      <w:r>
        <w:rPr>
          <w:rFonts w:hint="default" w:ascii="Times New Roman" w:hAnsi="Times New Roman" w:cs="Times New Roman"/>
          <w:color w:val="auto"/>
          <w:sz w:val="24"/>
        </w:rPr>
        <w:t>暂时贮存在规范的</w:t>
      </w:r>
      <w:r>
        <w:rPr>
          <w:rFonts w:hint="default" w:ascii="Times New Roman" w:hAnsi="Times New Roman" w:cs="Times New Roman"/>
          <w:color w:val="auto"/>
          <w:sz w:val="24"/>
          <w:lang w:eastAsia="zh-CN"/>
        </w:rPr>
        <w:t>医疗废物暂存间</w:t>
      </w:r>
      <w:r>
        <w:rPr>
          <w:rFonts w:hint="default" w:ascii="Times New Roman" w:hAnsi="Times New Roman" w:cs="Times New Roman"/>
          <w:color w:val="auto"/>
          <w:sz w:val="24"/>
        </w:rPr>
        <w:t>，最终交由有资质单位处置。</w:t>
      </w:r>
    </w:p>
    <w:p w14:paraId="163937F6">
      <w:pPr>
        <w:pStyle w:val="16"/>
        <w:bidi w:val="0"/>
        <w:rPr>
          <w:rFonts w:hint="default" w:ascii="Times New Roman" w:hAnsi="Times New Roman" w:cs="Times New Roman"/>
          <w:color w:val="auto"/>
        </w:rPr>
      </w:pPr>
      <w:r>
        <w:rPr>
          <w:rFonts w:hint="default" w:ascii="Times New Roman" w:hAnsi="Times New Roman" w:cs="Times New Roman"/>
          <w:color w:val="auto"/>
          <w:sz w:val="24"/>
        </w:rPr>
        <w:t>本项目符合《畜禽养殖业污染治理工程技术规范》（HJ497-2009）及《畜禽养殖业污染防治技术规范》（HJ/T81-2001）的有关要求</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严格落实设计和环评报告提出的污染防治措施和环境保护措施，并加强环保设施的运行维护和管理，保证各种环保设施的正常运行和污染物长期稳定达标排放，严格实施风险防范措施的前提下，从环境保护的角度出发，项目建设是可行的</w:t>
      </w:r>
      <w:r>
        <w:rPr>
          <w:rFonts w:hint="default" w:ascii="Times New Roman" w:hAnsi="Times New Roman" w:cs="Times New Roman"/>
          <w:color w:val="auto"/>
        </w:rPr>
        <w:t>。</w:t>
      </w:r>
    </w:p>
    <w:p w14:paraId="30A4E7F3">
      <w:pPr>
        <w:pStyle w:val="16"/>
        <w:bidi w:val="0"/>
        <w:rPr>
          <w:rFonts w:hint="default" w:ascii="Times New Roman" w:hAnsi="Times New Roman" w:cs="Times New Roman"/>
          <w:color w:val="auto"/>
        </w:rPr>
      </w:pPr>
    </w:p>
    <w:p w14:paraId="30D59393">
      <w:pPr>
        <w:pStyle w:val="2"/>
        <w:bidi w:val="0"/>
        <w:rPr>
          <w:rFonts w:hint="default" w:ascii="Times New Roman" w:hAnsi="Times New Roman" w:cs="Times New Roman"/>
          <w:color w:val="auto"/>
        </w:rPr>
      </w:pPr>
      <w:r>
        <w:rPr>
          <w:rFonts w:hint="default" w:ascii="Times New Roman" w:hAnsi="Times New Roman" w:cs="Times New Roman"/>
          <w:color w:val="auto"/>
          <w:lang w:val="en-US"/>
        </w:rPr>
        <w:br w:type="page"/>
      </w:r>
      <w:bookmarkStart w:id="13" w:name="_Toc14673"/>
      <w:bookmarkStart w:id="14" w:name="_Toc27016"/>
      <w:r>
        <w:rPr>
          <w:rFonts w:hint="default" w:ascii="Times New Roman" w:hAnsi="Times New Roman" w:cs="Times New Roman"/>
          <w:color w:val="auto"/>
        </w:rPr>
        <w:t>总论</w:t>
      </w:r>
      <w:bookmarkEnd w:id="13"/>
      <w:bookmarkEnd w:id="14"/>
    </w:p>
    <w:p w14:paraId="4DC4CC34">
      <w:pPr>
        <w:pStyle w:val="3"/>
        <w:bidi w:val="0"/>
        <w:rPr>
          <w:rFonts w:hint="default" w:ascii="Times New Roman" w:hAnsi="Times New Roman" w:cs="Times New Roman"/>
          <w:color w:val="auto"/>
        </w:rPr>
      </w:pPr>
      <w:bookmarkStart w:id="15" w:name="_Toc8514"/>
      <w:bookmarkStart w:id="16" w:name="_Toc4770"/>
      <w:r>
        <w:rPr>
          <w:rFonts w:hint="default" w:ascii="Times New Roman" w:hAnsi="Times New Roman" w:cs="Times New Roman"/>
          <w:color w:val="auto"/>
        </w:rPr>
        <w:t>编制依据</w:t>
      </w:r>
      <w:bookmarkEnd w:id="15"/>
      <w:bookmarkEnd w:id="16"/>
    </w:p>
    <w:p w14:paraId="3A4193F6">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法律法规</w:t>
      </w:r>
      <w:r>
        <w:rPr>
          <w:rFonts w:hint="default" w:ascii="Times New Roman" w:hAnsi="Times New Roman" w:cs="Times New Roman"/>
          <w:color w:val="auto"/>
          <w:lang w:val="en-US"/>
        </w:rPr>
        <w:t>及条例</w:t>
      </w:r>
    </w:p>
    <w:p w14:paraId="2948CB2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（1）《中华人民共和国环境保护法》（2015年1月1日）；</w:t>
      </w:r>
    </w:p>
    <w:p w14:paraId="63430DE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（2）《中华人民共和国环境影响评价法》（2018年12月29日修正）；</w:t>
      </w:r>
    </w:p>
    <w:p w14:paraId="3A76AF6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（3）《中华人民共和国大气污染防治法》（2018年10月26日修正）；</w:t>
      </w:r>
    </w:p>
    <w:p w14:paraId="5DD5745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（4）《中华人民共和国水污染防治法》（2018年1月1日）；</w:t>
      </w:r>
    </w:p>
    <w:p w14:paraId="641664D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（5）《中华人民共和国噪声污染防治法》（20</w:t>
      </w:r>
      <w:r>
        <w:rPr>
          <w:rFonts w:hint="default" w:ascii="Times New Roman" w:hAnsi="Times New Roman" w:cs="Times New Roman"/>
          <w:color w:val="auto"/>
          <w:lang w:val="en-US" w:eastAsia="zh-CN"/>
        </w:rPr>
        <w:t>22年6月5日</w:t>
      </w:r>
      <w:r>
        <w:rPr>
          <w:rFonts w:hint="default" w:ascii="Times New Roman" w:hAnsi="Times New Roman" w:cs="Times New Roman"/>
          <w:color w:val="auto"/>
          <w:lang w:val="en-US"/>
        </w:rPr>
        <w:t>）；</w:t>
      </w:r>
    </w:p>
    <w:p w14:paraId="290AAAE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（6）《中华人民共和国固体废物污染环境防治法》（2020年9月1日）；</w:t>
      </w:r>
    </w:p>
    <w:p w14:paraId="333CB33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（7）《中华人民共和国土壤污染防治法》（2019年1月1日）；</w:t>
      </w:r>
    </w:p>
    <w:p w14:paraId="3002704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（8）《中华人民共和国动物防疫法》（</w:t>
      </w:r>
      <w:r>
        <w:rPr>
          <w:rFonts w:hint="default" w:ascii="Times New Roman" w:hAnsi="Times New Roman" w:cs="Times New Roman"/>
          <w:color w:val="auto"/>
        </w:rPr>
        <w:t>2021年5月1日</w:t>
      </w:r>
      <w:r>
        <w:rPr>
          <w:rFonts w:hint="default" w:ascii="Times New Roman" w:hAnsi="Times New Roman" w:cs="Times New Roman"/>
          <w:color w:val="auto"/>
          <w:lang w:val="en-US"/>
        </w:rPr>
        <w:t>）；</w:t>
      </w:r>
    </w:p>
    <w:p w14:paraId="693BDC0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（9）《中华人民共和国畜牧法》（2015年4月24日修正）；</w:t>
      </w:r>
    </w:p>
    <w:p w14:paraId="4516608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（10）《中华人民共和国清洁生产促进法》（2012年7月1日）；</w:t>
      </w:r>
    </w:p>
    <w:p w14:paraId="60D9745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（11）《中华人民共和国循环经济促进法》（2018年10月26日修正）；</w:t>
      </w:r>
    </w:p>
    <w:p w14:paraId="3E429D3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（12）《中华人民共和国土地管理法》（</w:t>
      </w:r>
      <w:r>
        <w:rPr>
          <w:rFonts w:hint="default" w:ascii="Times New Roman" w:hAnsi="Times New Roman" w:cs="Times New Roman"/>
          <w:color w:val="auto"/>
        </w:rPr>
        <w:t>2020年1月1日</w:t>
      </w:r>
      <w:r>
        <w:rPr>
          <w:rFonts w:hint="default" w:ascii="Times New Roman" w:hAnsi="Times New Roman" w:cs="Times New Roman"/>
          <w:color w:val="auto"/>
          <w:lang w:val="en-US"/>
        </w:rPr>
        <w:t>）；</w:t>
      </w:r>
    </w:p>
    <w:p w14:paraId="720ECCD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（13）《中华人民共和国水土保持法》（2011年3月1</w:t>
      </w:r>
      <w:r>
        <w:rPr>
          <w:rFonts w:hint="default" w:ascii="Times New Roman" w:hAnsi="Times New Roman" w:cs="Times New Roman"/>
          <w:color w:val="auto"/>
        </w:rPr>
        <w:t>日</w:t>
      </w:r>
      <w:r>
        <w:rPr>
          <w:rFonts w:hint="default" w:ascii="Times New Roman" w:hAnsi="Times New Roman" w:cs="Times New Roman"/>
          <w:color w:val="auto"/>
          <w:lang w:val="en-US"/>
        </w:rPr>
        <w:t>）；</w:t>
      </w:r>
    </w:p>
    <w:p w14:paraId="1426288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rPr>
        <w:t>（14）《建设项目竣工环境保护验收暂行办法》（国环规环评</w:t>
      </w:r>
      <w:r>
        <w:rPr>
          <w:rFonts w:hint="default" w:ascii="Times New Roman" w:hAnsi="Times New Roman" w:cs="Times New Roman"/>
          <w:color w:val="auto"/>
          <w:lang w:val="en-US" w:eastAsia="zh-CN"/>
        </w:rPr>
        <w:t>〔2017〕4号</w:t>
      </w:r>
      <w:r>
        <w:rPr>
          <w:rFonts w:hint="default" w:ascii="Times New Roman" w:hAnsi="Times New Roman" w:cs="Times New Roman"/>
          <w:color w:val="auto"/>
          <w:lang w:val="en-US"/>
        </w:rPr>
        <w:t>，2017年11月22日）</w:t>
      </w:r>
      <w:r>
        <w:rPr>
          <w:rFonts w:hint="default" w:ascii="Times New Roman" w:hAnsi="Times New Roman" w:cs="Times New Roman"/>
          <w:color w:val="auto"/>
          <w:lang w:val="en-US" w:eastAsia="zh-CN"/>
        </w:rPr>
        <w:t>。</w:t>
      </w:r>
    </w:p>
    <w:p w14:paraId="708B0D6D">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相关部门规章</w:t>
      </w:r>
    </w:p>
    <w:p w14:paraId="160D24D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（1）《建设项目环境保护管理条例》（2017年10月1日）；</w:t>
      </w:r>
    </w:p>
    <w:p w14:paraId="18E9DDF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（2）《建设项目环境影响评价分类管理名录》（生态环境部令第16号）（2021年1月1日施行）；</w:t>
      </w:r>
    </w:p>
    <w:p w14:paraId="3C99A2B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（3）《产业结构调整指导目录（20</w:t>
      </w:r>
      <w:r>
        <w:rPr>
          <w:rFonts w:hint="default" w:ascii="Times New Roman" w:hAnsi="Times New Roman" w:cs="Times New Roman"/>
          <w:color w:val="auto"/>
          <w:lang w:val="en-US" w:eastAsia="zh-CN"/>
        </w:rPr>
        <w:t>24修订版</w:t>
      </w:r>
      <w:r>
        <w:rPr>
          <w:rFonts w:hint="default" w:ascii="Times New Roman" w:hAnsi="Times New Roman" w:cs="Times New Roman"/>
          <w:color w:val="auto"/>
          <w:lang w:val="en-US"/>
        </w:rPr>
        <w:t>）》（2024年2月1日）；</w:t>
      </w:r>
    </w:p>
    <w:p w14:paraId="179EF95D">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（4）《环境影响评价公众参与办法》（2019年1月1日）；</w:t>
      </w:r>
    </w:p>
    <w:p w14:paraId="5863139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（5）《关于印发《建设项目环境影响评价信息公开机制方案》的通知》（环发</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2015</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162号，2015年12月1</w:t>
      </w:r>
      <w:r>
        <w:rPr>
          <w:rFonts w:hint="default" w:ascii="Times New Roman" w:hAnsi="Times New Roman" w:cs="Times New Roman"/>
          <w:color w:val="auto"/>
          <w:lang w:val="en-US" w:eastAsia="zh-CN"/>
        </w:rPr>
        <w:t>0</w:t>
      </w:r>
      <w:r>
        <w:rPr>
          <w:rFonts w:hint="default" w:ascii="Times New Roman" w:hAnsi="Times New Roman" w:cs="Times New Roman"/>
          <w:color w:val="auto"/>
          <w:lang w:val="en-US"/>
        </w:rPr>
        <w:t>日）；</w:t>
      </w:r>
    </w:p>
    <w:p w14:paraId="124C8C1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（6）《畜禽规模养殖污染防治条例》（国务院第643号令，2014年1月1日）；</w:t>
      </w:r>
    </w:p>
    <w:p w14:paraId="23A6595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（7）《</w:t>
      </w:r>
      <w:r>
        <w:rPr>
          <w:rFonts w:hint="default" w:ascii="Times New Roman" w:hAnsi="Times New Roman" w:cs="Times New Roman"/>
          <w:color w:val="auto"/>
          <w:lang w:val="en-US" w:eastAsia="zh-CN"/>
        </w:rPr>
        <w:t>生态环境部农业农村部</w:t>
      </w:r>
      <w:r>
        <w:rPr>
          <w:rFonts w:hint="default" w:ascii="Times New Roman" w:hAnsi="Times New Roman" w:cs="Times New Roman"/>
          <w:color w:val="auto"/>
          <w:lang w:val="en-US"/>
        </w:rPr>
        <w:t>关于进一步加强畜禽养殖污染防治工作的通知》（环水体</w:t>
      </w:r>
      <w:r>
        <w:rPr>
          <w:rFonts w:hint="default" w:ascii="Times New Roman" w:hAnsi="Times New Roman" w:cs="Times New Roman"/>
          <w:color w:val="auto"/>
          <w:lang w:val="en-US" w:eastAsia="zh-CN"/>
        </w:rPr>
        <w:t>〔2016〕</w:t>
      </w:r>
      <w:r>
        <w:rPr>
          <w:rFonts w:hint="default" w:ascii="Times New Roman" w:hAnsi="Times New Roman" w:cs="Times New Roman"/>
          <w:color w:val="auto"/>
          <w:lang w:val="en-US"/>
        </w:rPr>
        <w:t>144号，2016年10月25日）；</w:t>
      </w:r>
    </w:p>
    <w:p w14:paraId="0C6142A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（8）《排污许可管理条例》（中华人民共和国国务院令第736号，2021年3月1日）；</w:t>
      </w:r>
    </w:p>
    <w:p w14:paraId="6979558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（9）《关于进一步加强环境影响评价管理防范环境风险的通知》（环发</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2012</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77号，2012年7月3日）；</w:t>
      </w:r>
    </w:p>
    <w:p w14:paraId="3756C05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（10）《建设项目危险废物环境影响评价指南》（</w:t>
      </w:r>
      <w:r>
        <w:rPr>
          <w:rFonts w:hint="default" w:ascii="Times New Roman" w:hAnsi="Times New Roman" w:cs="Times New Roman"/>
          <w:color w:val="auto"/>
          <w:lang w:val="en-US" w:eastAsia="zh-CN"/>
        </w:rPr>
        <w:t>生态环境部公告2017年第43号，</w:t>
      </w:r>
      <w:r>
        <w:rPr>
          <w:rFonts w:hint="default" w:ascii="Times New Roman" w:hAnsi="Times New Roman" w:cs="Times New Roman"/>
          <w:color w:val="auto"/>
          <w:lang w:val="en-US"/>
        </w:rPr>
        <w:t>2017年9月1日）；</w:t>
      </w:r>
    </w:p>
    <w:p w14:paraId="777D2A9D">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（11）《危险废物转移管理办法》（生态环境部、公安部、交通运输部令第23号，2022年1月1日））</w:t>
      </w:r>
    </w:p>
    <w:p w14:paraId="4059C71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（12）《国家危险废物名录（2025年版）》（2025年1月1日起实施）；</w:t>
      </w:r>
    </w:p>
    <w:p w14:paraId="41B4921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（13）《关于推进大气污染联防联控工作改善区域空气质量指导意见》，（国办发〔2010〕33号，2010年5月11日）；</w:t>
      </w:r>
    </w:p>
    <w:p w14:paraId="03EDE5F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（14）《关于印发大气污染防治行动计划的通知》（国发〔2013〕37号，2013年9月10日）；</w:t>
      </w:r>
    </w:p>
    <w:p w14:paraId="4051C7ED">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（15）《关于印发水污染防治行动计划的通知》（国发〔2015〕17号，2015年4月2日）；</w:t>
      </w:r>
    </w:p>
    <w:p w14:paraId="6F03D72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（16）《关于印发土壤污染防治行动计划的通知》（国发〔2016〕31号，2016年5月28日）；</w:t>
      </w:r>
    </w:p>
    <w:p w14:paraId="54CFD51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（17）《危险废物污染防治技术政策》（环发〔2001〕199号，2001年12月17日）；</w:t>
      </w:r>
    </w:p>
    <w:p w14:paraId="5C65E18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（18）《关于印发“十四五”土壤、地下水和农村生态环境保护规划的通知》（环土壤〔2021〕120号，2021年12月29日）；</w:t>
      </w:r>
    </w:p>
    <w:p w14:paraId="37A0DEB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（19）《关于划定并严守生态保护红线的若干意见》（厅字〔2017〕2号，2017年2月7日）；</w:t>
      </w:r>
    </w:p>
    <w:p w14:paraId="7B53C77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（20）关于印发《关于加强资源环境生态红线管控的指导意见》的通知（发改环资〔2016〕1162号，2016年5月30日）；</w:t>
      </w:r>
    </w:p>
    <w:p w14:paraId="4D54FCC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（21）《关于做好畜禽规模养殖项目环境影响评价管理工作的通知》（环办环评〔2018〕31号，2018年10月15日）；</w:t>
      </w:r>
    </w:p>
    <w:p w14:paraId="5819A36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（22）《国务院办公厅关于加快推进畜禽养殖废弃物资源化利用的意见》（国办发〔2017〕48号，2017年5月31日）；</w:t>
      </w:r>
    </w:p>
    <w:p w14:paraId="32B6FFD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（23）《国务院办公厅关于促进畜牧业高质量发展的意见》（国办发〔2020〕31号，2020年9月14日）；</w:t>
      </w:r>
    </w:p>
    <w:p w14:paraId="376EAAF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（24）关于印发《畜禽养殖场（小区）环境守法导则》的通知（环办〔2011〕89号，2011年7月12日）；</w:t>
      </w:r>
    </w:p>
    <w:p w14:paraId="3E224FB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（25）《关于印发农业农村污染治理攻坚战行动计划的通知》（环土壤〔2018〕143号，2018年11月6日）；</w:t>
      </w:r>
    </w:p>
    <w:p w14:paraId="1D26C5A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bookmarkStart w:id="17" w:name="2.2.3地方法规_、规章"/>
      <w:bookmarkEnd w:id="17"/>
      <w:r>
        <w:rPr>
          <w:rFonts w:hint="default" w:ascii="Times New Roman" w:hAnsi="Times New Roman" w:cs="Times New Roman"/>
          <w:color w:val="auto"/>
          <w:lang w:val="en-US" w:eastAsia="zh-CN"/>
        </w:rPr>
        <w:t>（26）关于印发《畜禽养殖场（户）粪污处理设施建设技术指南的通知</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（农办牧〔2022〕19号，2022年6月24日）。</w:t>
      </w:r>
    </w:p>
    <w:p w14:paraId="12B96E8B">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地方性法规、规章</w:t>
      </w:r>
    </w:p>
    <w:p w14:paraId="6676841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（1）《新疆维吾尔自治区环境保护条例》（2018年9月21日修正）；</w:t>
      </w:r>
    </w:p>
    <w:p w14:paraId="444A379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（2）《新疆维吾尔自治区大气污染防治条例》（新疆维吾尔自治区第十三届人民代表大会常务委员会公告（第15号），2019年1月1日）；</w:t>
      </w:r>
    </w:p>
    <w:p w14:paraId="56F5B59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（3）《新疆生产建设兵团关于进一步加强大气污染防治工作的实施意见》（新兵发〔2017〕8号，2017年3月1日）；</w:t>
      </w:r>
    </w:p>
    <w:p w14:paraId="1931390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（4）《关于印发新疆生产建设兵团水污染防治工作方案的通知》（新兵发〔2016〕39号，2016年8月3日）；</w:t>
      </w:r>
    </w:p>
    <w:p w14:paraId="30DCDDC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（5）《关于印发新疆生产建设兵团土壤污染防治工作方案的通知》（新兵发〔2017〕9号，2017年3月1日）；</w:t>
      </w:r>
    </w:p>
    <w:p w14:paraId="156AA94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（6）《新疆维吾尔自治区危险废物污染环境防治办法》（新疆维吾尔自治区人民政府令第163号公布，2010年5月1日）；</w:t>
      </w:r>
    </w:p>
    <w:p w14:paraId="5FEAF4E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（7）《关于进一步加强我区危险废物和医疗废物监督管理工作的意见》（新政办发〔2014〕38号，2014年3月31日）；</w:t>
      </w:r>
    </w:p>
    <w:p w14:paraId="55D1AFD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（8）《新疆水环境功能区划》（新疆维吾尔自治区环保局，2003年12月10日）；</w:t>
      </w:r>
    </w:p>
    <w:p w14:paraId="65AD884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（9）《新疆生态功能区划》（自治区人民政府，2005年8月）；</w:t>
      </w:r>
    </w:p>
    <w:p w14:paraId="489B7F8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（10）《关于重点区域执行大气污染物特别排放限值的公告》（环保厅2016年第45号公告，2016年8月25日）；</w:t>
      </w:r>
    </w:p>
    <w:p w14:paraId="67A2EE3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（11）《新疆维吾尔自治区国民经济和社会发展第十四个五年规划和2035年远景目标纲要》（2021年2月5日）；</w:t>
      </w:r>
    </w:p>
    <w:p w14:paraId="483D07A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（12）《新疆生产建设兵团国民经济和社会发展第十四个五年规划和二〇三五年远景目标纲要》（2021年1月8日）；</w:t>
      </w:r>
    </w:p>
    <w:p w14:paraId="407103A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（13）《新疆生态环境保护“十四五”规划》（2021年12月24日）；</w:t>
      </w:r>
    </w:p>
    <w:p w14:paraId="3C5EF6A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（14）《新疆生产建设兵团“十四五”生态环境保护规划》；</w:t>
      </w:r>
    </w:p>
    <w:p w14:paraId="32763CC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（15）《十师北屯市生态环境保护“十四五”发展规划》（师市办发〔2021〕42号）；</w:t>
      </w:r>
    </w:p>
    <w:p w14:paraId="7869178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（16）《关于加强乌鲁木齐、昌吉、石河子、五家渠区域环境同防同治的意见》（新政发〔2016〕140号）；</w:t>
      </w:r>
    </w:p>
    <w:p w14:paraId="6176412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（17）《关于做好危险废物安全处置工作的通知》（新环防发〔2011〕389号，2011年7月29日）；</w:t>
      </w:r>
    </w:p>
    <w:p w14:paraId="244FC2C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（18）《新疆维吾尔自治区加快推进畜禽养殖废弃物资源化利用实施方案》（新政办发〔2018〕29号）；</w:t>
      </w:r>
    </w:p>
    <w:p w14:paraId="05047BF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（19）《关于促进新疆畜牧业高质量发展的意见》（新党办发〔2020〕7号）；</w:t>
      </w:r>
    </w:p>
    <w:p w14:paraId="6A753E2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（20）《新疆维吾尔自治区地下水资源管理条例》（新疆维吾尔自治区第十二届人大九次会议，2014.7.25）；</w:t>
      </w:r>
    </w:p>
    <w:p w14:paraId="33C7757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（21）《新疆维吾尔自治区畜牧业“十四五”发展规划》。</w:t>
      </w:r>
    </w:p>
    <w:p w14:paraId="33283EAD">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相关技术规范和技术导则</w:t>
      </w:r>
    </w:p>
    <w:p w14:paraId="7D6E2CF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（1）《建设项目环境影响评价技术导则总纲》（HJ2.1-2016）；</w:t>
      </w:r>
    </w:p>
    <w:p w14:paraId="7E195B0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（2）《环境影响评价技术导则大气环境》（HJ2.2-2018）；</w:t>
      </w:r>
    </w:p>
    <w:p w14:paraId="0852622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（3）《环境影响评价技术导则地下水环境》（HJ610-2016）；</w:t>
      </w:r>
    </w:p>
    <w:p w14:paraId="1C7B084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（4）《环境影响评价技术导则地表水环境》（HJ2.3-2018）；</w:t>
      </w:r>
    </w:p>
    <w:p w14:paraId="06C893A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（5）《环境影响评价技术导则声环境》（HJ2.4-2021）；</w:t>
      </w:r>
    </w:p>
    <w:p w14:paraId="0193D35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（6）《环境影响评价技术导则生态影响》（HJ19-2022）；</w:t>
      </w:r>
    </w:p>
    <w:p w14:paraId="5D5337D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（7）《环境影响评价技术导则土壤环境（试行）》（HJ964-2018）；</w:t>
      </w:r>
    </w:p>
    <w:p w14:paraId="2B7F1B6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（8）《建设项目环境风险评价技术导则》（HJ169-2018）；</w:t>
      </w:r>
    </w:p>
    <w:p w14:paraId="4223852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（9）《土壤环境质量农用地土壤污染风险管控标准（试行）》（GB15618-2018）；</w:t>
      </w:r>
    </w:p>
    <w:p w14:paraId="7DCAFD1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（10）《畜禽养殖业污染防治技术规范》（HJ/T81-2001）；</w:t>
      </w:r>
    </w:p>
    <w:p w14:paraId="6B24896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（11）《畜禽养殖业污染治理工程技术规范》（HJ497-2009）；</w:t>
      </w:r>
    </w:p>
    <w:p w14:paraId="401711A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（12）《畜禽粪便无害化处理技术规范》（GB/T36195-2018）；</w:t>
      </w:r>
    </w:p>
    <w:p w14:paraId="5F251EC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（13）《排污许可证申请与核发技术规范总则》（HJ942-2018）；</w:t>
      </w:r>
    </w:p>
    <w:p w14:paraId="5739771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（14）《排污许可证申请与核发技术规范畜禽养殖行业》（HJ1029-2019）；</w:t>
      </w:r>
    </w:p>
    <w:p w14:paraId="4A46116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（15）关于印发《畜禽养殖场（小区）环境守法导则》的通知（环办〔2011〕89号）；</w:t>
      </w:r>
    </w:p>
    <w:p w14:paraId="7969174D">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（16）《畜禽养殖污水贮存设施设计要求》（GB/T26624-2011）；</w:t>
      </w:r>
    </w:p>
    <w:p w14:paraId="3A363C9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（17）《畜禽粪便贮存设施设计要求》（GB/T27622-2011）；</w:t>
      </w:r>
    </w:p>
    <w:p w14:paraId="3209C4F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（18）《新疆维吾尔自治区危险废物转移管理暂行规定》（2007年10月1日）；</w:t>
      </w:r>
    </w:p>
    <w:p w14:paraId="58818D7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（19）《病死及病害动物无害化处理技术规范》（农医发〔2017〕25号）；</w:t>
      </w:r>
    </w:p>
    <w:p w14:paraId="47ED992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（20）《畜禽粪便安全使用准则》（NY/T1334-2007）；</w:t>
      </w:r>
    </w:p>
    <w:p w14:paraId="74776BE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（21）《畜禽粪便贮存设施设计要求》（GB/T27622-2011）；</w:t>
      </w:r>
    </w:p>
    <w:p w14:paraId="1ABA6DAD">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（22）《畜禽粪便还田技术规范》（GB/T25246-2010）；</w:t>
      </w:r>
    </w:p>
    <w:p w14:paraId="2622A93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（23）《粪便无害化卫生要求》（GB7959-2012）；</w:t>
      </w:r>
    </w:p>
    <w:p w14:paraId="738E70E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（24）《规模化畜禽养殖场沼气工程设计规范》（NY/T1222-2006)；</w:t>
      </w:r>
    </w:p>
    <w:p w14:paraId="088C9ED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（25）《畜禽养殖产地环境评价规范》（HJ568-2010）；</w:t>
      </w:r>
    </w:p>
    <w:p w14:paraId="451AF28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（26）关于印发《畜禽规模养殖场粪污资源化利用设施建设规范（试行）》的通知（农办牧〔2018〕2号）；</w:t>
      </w:r>
    </w:p>
    <w:p w14:paraId="3E052A4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（27）《危险废物收集贮存运输技术规范》（HJ2025-2012）。</w:t>
      </w:r>
    </w:p>
    <w:p w14:paraId="6F3EA939">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有关技术文件</w:t>
      </w:r>
    </w:p>
    <w:p w14:paraId="5EA49F4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（1）《全智能数字化蛋鸡养殖科技园区实施方案》；</w:t>
      </w:r>
    </w:p>
    <w:p w14:paraId="58DB153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（2）《全智能数字化蛋鸡养殖科技园区备案证》；</w:t>
      </w:r>
    </w:p>
    <w:p w14:paraId="148140F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（3）现场收集的相关资料；</w:t>
      </w:r>
    </w:p>
    <w:p w14:paraId="085294B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（4）项目委托书。</w:t>
      </w:r>
    </w:p>
    <w:p w14:paraId="7134545F">
      <w:pPr>
        <w:pStyle w:val="3"/>
        <w:bidi w:val="0"/>
        <w:rPr>
          <w:rFonts w:hint="default" w:ascii="Times New Roman" w:hAnsi="Times New Roman" w:cs="Times New Roman"/>
          <w:color w:val="auto"/>
        </w:rPr>
      </w:pPr>
      <w:bookmarkStart w:id="18" w:name="_Toc26449"/>
      <w:bookmarkStart w:id="19" w:name="_Toc5445"/>
      <w:r>
        <w:rPr>
          <w:rFonts w:hint="default" w:ascii="Times New Roman" w:hAnsi="Times New Roman" w:cs="Times New Roman"/>
          <w:color w:val="auto"/>
        </w:rPr>
        <w:t>评价目的与原则</w:t>
      </w:r>
      <w:bookmarkEnd w:id="18"/>
      <w:bookmarkEnd w:id="19"/>
    </w:p>
    <w:p w14:paraId="794ED6E8">
      <w:pPr>
        <w:pStyle w:val="4"/>
        <w:bidi w:val="0"/>
        <w:rPr>
          <w:rFonts w:hint="default" w:ascii="Times New Roman" w:hAnsi="Times New Roman" w:cs="Times New Roman"/>
          <w:color w:val="auto"/>
        </w:rPr>
      </w:pPr>
      <w:r>
        <w:rPr>
          <w:rFonts w:hint="default" w:ascii="Times New Roman" w:hAnsi="Times New Roman" w:cs="Times New Roman"/>
          <w:color w:val="auto"/>
        </w:rPr>
        <w:t>评价目的</w:t>
      </w:r>
    </w:p>
    <w:p w14:paraId="4F81364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（1）通过现状调查、资料收集及环境监测，评价建设项目所在区域的环境质量背景状况和现有工程主要环境问题。</w:t>
      </w:r>
    </w:p>
    <w:p w14:paraId="2075B03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2）通过详细的工程分析，明确建设项目的主要环境影响，筛选对环境造成影响的因子，尤其关注建设项目产生的特征污染因子。并通过类比调查、污染源监测等，核算污染源源强，预测项目建设对环境影响的程度与范围。从工艺着手，分析生产工艺及产排污环节，掌握主要污染源及排放状况。通过分析和计算，预测污染物排放对周围环境的影响程度，判断其是否满足环境质量标准和总量控制要求。</w:t>
      </w:r>
    </w:p>
    <w:p w14:paraId="7759D1D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val="en-US"/>
        </w:rPr>
        <w:t>（3）根据建设项目的排污特点，通过类比调查与分析，从技术、经济角度分析采取的环保措施的可行性，为工程环保措施的设计和环境管理提供依据。</w:t>
      </w:r>
    </w:p>
    <w:p w14:paraId="5CB210A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（4）从环保法规、产业政策、环境特点、污染防治等方面进行综合分析，对项目的环境可行性做出明确结论。</w:t>
      </w:r>
    </w:p>
    <w:p w14:paraId="7C0683C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val="en-US"/>
        </w:rPr>
        <w:t>（5）</w:t>
      </w:r>
      <w:r>
        <w:rPr>
          <w:rFonts w:hint="default" w:ascii="Times New Roman" w:hAnsi="Times New Roman" w:cs="Times New Roman"/>
          <w:color w:val="auto"/>
        </w:rPr>
        <w:t>通过对建设项目环境影响的评价，使项目建设及运行所产生的经济和社会效益得到充分</w:t>
      </w:r>
      <w:r>
        <w:rPr>
          <w:rFonts w:hint="default" w:ascii="Times New Roman" w:hAnsi="Times New Roman" w:cs="Times New Roman"/>
          <w:color w:val="auto"/>
          <w:lang w:eastAsia="zh-CN"/>
        </w:rPr>
        <w:t>地</w:t>
      </w:r>
      <w:r>
        <w:rPr>
          <w:rFonts w:hint="default" w:ascii="Times New Roman" w:hAnsi="Times New Roman" w:cs="Times New Roman"/>
          <w:color w:val="auto"/>
        </w:rPr>
        <w:t>发挥，对环境产生的负面影响减至最小，实现环境、社会和经济协调发展的目的。</w:t>
      </w:r>
    </w:p>
    <w:p w14:paraId="200EF334">
      <w:pPr>
        <w:pStyle w:val="4"/>
        <w:bidi w:val="0"/>
        <w:rPr>
          <w:rFonts w:hint="default" w:ascii="Times New Roman" w:hAnsi="Times New Roman" w:cs="Times New Roman"/>
          <w:color w:val="auto"/>
        </w:rPr>
      </w:pPr>
      <w:r>
        <w:rPr>
          <w:rFonts w:hint="default" w:ascii="Times New Roman" w:hAnsi="Times New Roman" w:cs="Times New Roman"/>
          <w:color w:val="auto"/>
        </w:rPr>
        <w:t>评价原则</w:t>
      </w:r>
    </w:p>
    <w:p w14:paraId="2E9280FA">
      <w:pPr>
        <w:pStyle w:val="16"/>
        <w:bidi w:val="0"/>
        <w:rPr>
          <w:rFonts w:hint="default" w:ascii="Times New Roman" w:hAnsi="Times New Roman" w:cs="Times New Roman"/>
          <w:color w:val="auto"/>
        </w:rPr>
      </w:pPr>
      <w:r>
        <w:rPr>
          <w:rFonts w:hint="default" w:ascii="Times New Roman" w:hAnsi="Times New Roman" w:cs="Times New Roman"/>
          <w:color w:val="auto"/>
        </w:rPr>
        <w:t>突出环境影响评价的源头预防作用，坚持保护和改善环境质量。</w:t>
      </w:r>
    </w:p>
    <w:p w14:paraId="452E659C">
      <w:pPr>
        <w:pStyle w:val="73"/>
        <w:keepNext w:val="0"/>
        <w:keepLines w:val="0"/>
        <w:pageBreakBefore w:val="0"/>
        <w:widowControl w:val="0"/>
        <w:numPr>
          <w:ilvl w:val="0"/>
          <w:numId w:val="0"/>
        </w:numPr>
        <w:tabs>
          <w:tab w:val="left" w:pos="1382"/>
        </w:tabs>
        <w:kinsoku/>
        <w:wordWrap/>
        <w:overflowPunct/>
        <w:topLinePunct w:val="0"/>
        <w:autoSpaceDE w:val="0"/>
        <w:autoSpaceDN w:val="0"/>
        <w:bidi w:val="0"/>
        <w:adjustRightInd/>
        <w:snapToGrid/>
        <w:spacing w:line="360" w:lineRule="auto"/>
        <w:ind w:leftChars="200" w:right="-11" w:right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依法评价</w:t>
      </w:r>
    </w:p>
    <w:p w14:paraId="7B5D8DAA">
      <w:pPr>
        <w:pStyle w:val="16"/>
        <w:bidi w:val="0"/>
        <w:rPr>
          <w:rFonts w:hint="default" w:ascii="Times New Roman" w:hAnsi="Times New Roman" w:cs="Times New Roman"/>
          <w:color w:val="auto"/>
        </w:rPr>
      </w:pPr>
      <w:r>
        <w:rPr>
          <w:rFonts w:hint="default" w:ascii="Times New Roman" w:hAnsi="Times New Roman" w:cs="Times New Roman"/>
          <w:color w:val="auto"/>
        </w:rPr>
        <w:t>贯彻执行我国环境保护相关法律法规、标准、政策和规划等，优化项目建设，服务环境管理。</w:t>
      </w:r>
    </w:p>
    <w:p w14:paraId="72CE8D93">
      <w:pPr>
        <w:pStyle w:val="73"/>
        <w:keepNext w:val="0"/>
        <w:keepLines w:val="0"/>
        <w:pageBreakBefore w:val="0"/>
        <w:widowControl w:val="0"/>
        <w:numPr>
          <w:ilvl w:val="0"/>
          <w:numId w:val="0"/>
        </w:numPr>
        <w:tabs>
          <w:tab w:val="left" w:pos="1382"/>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科学评价</w:t>
      </w:r>
    </w:p>
    <w:p w14:paraId="4D331C5D">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Chars="0" w:right="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依据</w:t>
      </w:r>
      <w:r>
        <w:rPr>
          <w:rFonts w:hint="default" w:ascii="Times New Roman" w:hAnsi="Times New Roman" w:cs="Times New Roman"/>
          <w:color w:val="auto"/>
        </w:rPr>
        <w:t>环境影响评价方法，科学分析项目建设对环境质量的影响。</w:t>
      </w:r>
    </w:p>
    <w:p w14:paraId="4FA9A6FA">
      <w:pPr>
        <w:pStyle w:val="73"/>
        <w:keepNext w:val="0"/>
        <w:keepLines w:val="0"/>
        <w:pageBreakBefore w:val="0"/>
        <w:widowControl w:val="0"/>
        <w:numPr>
          <w:ilvl w:val="0"/>
          <w:numId w:val="0"/>
        </w:numPr>
        <w:tabs>
          <w:tab w:val="left" w:pos="1382"/>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突出重点</w:t>
      </w:r>
    </w:p>
    <w:p w14:paraId="275D92D7">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Chars="0" w:right="0"/>
        <w:textAlignment w:val="auto"/>
        <w:rPr>
          <w:rFonts w:hint="default" w:ascii="Times New Roman" w:hAnsi="Times New Roman" w:cs="Times New Roman"/>
          <w:color w:val="auto"/>
        </w:rPr>
      </w:pPr>
      <w:r>
        <w:rPr>
          <w:rFonts w:hint="default" w:ascii="Times New Roman" w:hAnsi="Times New Roman" w:cs="Times New Roman"/>
          <w:color w:val="auto"/>
        </w:rPr>
        <w:t>根据建设项目的工程内容及其特点，明确与环境要素间的作用效应关系，充分利用符合时效的数据资料及成果，对建设项目主要环境影响予以重点分析和评价。</w:t>
      </w:r>
    </w:p>
    <w:p w14:paraId="02C5297B">
      <w:pPr>
        <w:pStyle w:val="3"/>
        <w:bidi w:val="0"/>
        <w:rPr>
          <w:rFonts w:hint="default" w:ascii="Times New Roman" w:hAnsi="Times New Roman" w:cs="Times New Roman"/>
          <w:color w:val="auto"/>
        </w:rPr>
      </w:pPr>
      <w:bookmarkStart w:id="20" w:name="_Toc30451"/>
      <w:bookmarkStart w:id="21" w:name="_Toc20087"/>
      <w:r>
        <w:rPr>
          <w:rFonts w:hint="default" w:ascii="Times New Roman" w:hAnsi="Times New Roman" w:cs="Times New Roman"/>
          <w:color w:val="auto"/>
        </w:rPr>
        <w:t>环境影响因素识别与评价因子筛选</w:t>
      </w:r>
      <w:bookmarkEnd w:id="20"/>
      <w:bookmarkEnd w:id="21"/>
    </w:p>
    <w:p w14:paraId="0AE9DEAC">
      <w:pPr>
        <w:pStyle w:val="4"/>
        <w:bidi w:val="0"/>
        <w:rPr>
          <w:rFonts w:hint="default" w:ascii="Times New Roman" w:hAnsi="Times New Roman" w:cs="Times New Roman"/>
          <w:color w:val="auto"/>
        </w:rPr>
      </w:pPr>
      <w:r>
        <w:rPr>
          <w:rFonts w:hint="default" w:ascii="Times New Roman" w:hAnsi="Times New Roman" w:cs="Times New Roman"/>
          <w:color w:val="auto"/>
        </w:rPr>
        <w:t>环境影响识别</w:t>
      </w:r>
    </w:p>
    <w:p w14:paraId="0339F63D">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本项目施工期环境影响因素识别见表</w:t>
      </w:r>
      <w:r>
        <w:rPr>
          <w:rFonts w:hint="default" w:ascii="Times New Roman" w:hAnsi="Times New Roman" w:cs="Times New Roman"/>
          <w:color w:val="auto"/>
          <w:lang w:val="en-US"/>
        </w:rPr>
        <w:t>2.</w:t>
      </w:r>
      <w:r>
        <w:rPr>
          <w:rFonts w:hint="default" w:ascii="Times New Roman" w:hAnsi="Times New Roman" w:cs="Times New Roman"/>
          <w:color w:val="auto"/>
        </w:rPr>
        <w:t>3-1。项目运营期的主要污染源及污染物包括废水、废气、固废、噪声以及在发生风险事故的情况下，将会对场区及周围环境产生不同程度的影响。根据本项目的排污特点及所处自然、社会环境特征，确定运营期过程中环境影响因素见表</w:t>
      </w:r>
      <w:r>
        <w:rPr>
          <w:rFonts w:hint="default" w:ascii="Times New Roman" w:hAnsi="Times New Roman" w:cs="Times New Roman"/>
          <w:color w:val="auto"/>
          <w:lang w:val="en-US"/>
        </w:rPr>
        <w:t>2.3</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p w14:paraId="70B58896">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施工期环境影响因素识别表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9"/>
        <w:gridCol w:w="4380"/>
        <w:gridCol w:w="2825"/>
      </w:tblGrid>
      <w:tr w14:paraId="390E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672" w:type="pct"/>
            <w:noWrap w:val="0"/>
            <w:vAlign w:val="top"/>
          </w:tcPr>
          <w:p w14:paraId="54F3FB45">
            <w:pPr>
              <w:pStyle w:val="69"/>
              <w:spacing w:before="2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环境要素</w:t>
            </w:r>
          </w:p>
        </w:tc>
        <w:tc>
          <w:tcPr>
            <w:tcW w:w="2630" w:type="pct"/>
            <w:noWrap w:val="0"/>
            <w:vAlign w:val="top"/>
          </w:tcPr>
          <w:p w14:paraId="229EF4F5">
            <w:pPr>
              <w:pStyle w:val="69"/>
              <w:spacing w:before="2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主要污染源</w:t>
            </w:r>
          </w:p>
        </w:tc>
        <w:tc>
          <w:tcPr>
            <w:tcW w:w="1696" w:type="pct"/>
            <w:noWrap w:val="0"/>
            <w:vAlign w:val="top"/>
          </w:tcPr>
          <w:p w14:paraId="40EC68D7">
            <w:pPr>
              <w:pStyle w:val="69"/>
              <w:spacing w:before="2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主要影响因子</w:t>
            </w:r>
          </w:p>
        </w:tc>
      </w:tr>
      <w:tr w14:paraId="77D7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672" w:type="pct"/>
            <w:noWrap w:val="0"/>
            <w:vAlign w:val="top"/>
          </w:tcPr>
          <w:p w14:paraId="39A378B1">
            <w:pPr>
              <w:pStyle w:val="69"/>
              <w:spacing w:before="2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环境空气</w:t>
            </w:r>
          </w:p>
        </w:tc>
        <w:tc>
          <w:tcPr>
            <w:tcW w:w="2630" w:type="pct"/>
            <w:noWrap w:val="0"/>
            <w:vAlign w:val="top"/>
          </w:tcPr>
          <w:p w14:paraId="128CB2B2">
            <w:pPr>
              <w:pStyle w:val="69"/>
              <w:spacing w:before="2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土地平整、土石方挖掘、存放等</w:t>
            </w:r>
          </w:p>
        </w:tc>
        <w:tc>
          <w:tcPr>
            <w:tcW w:w="1696" w:type="pct"/>
            <w:noWrap w:val="0"/>
            <w:vAlign w:val="top"/>
          </w:tcPr>
          <w:p w14:paraId="6A9B5548">
            <w:pPr>
              <w:pStyle w:val="69"/>
              <w:spacing w:before="2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扬尘、施工机械尾气</w:t>
            </w:r>
          </w:p>
        </w:tc>
      </w:tr>
      <w:tr w14:paraId="4672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672" w:type="pct"/>
            <w:noWrap w:val="0"/>
            <w:vAlign w:val="top"/>
          </w:tcPr>
          <w:p w14:paraId="1A74FF3F">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水环境</w:t>
            </w:r>
          </w:p>
        </w:tc>
        <w:tc>
          <w:tcPr>
            <w:tcW w:w="2630" w:type="pct"/>
            <w:noWrap w:val="0"/>
            <w:vAlign w:val="top"/>
          </w:tcPr>
          <w:p w14:paraId="44CE8292">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施工过程中生产废水和施工人员生活污水等</w:t>
            </w:r>
          </w:p>
        </w:tc>
        <w:tc>
          <w:tcPr>
            <w:tcW w:w="1696" w:type="pct"/>
            <w:noWrap w:val="0"/>
            <w:vAlign w:val="top"/>
          </w:tcPr>
          <w:p w14:paraId="3790059B">
            <w:pPr>
              <w:pStyle w:val="69"/>
              <w:spacing w:before="39"/>
              <w:ind w:left="0" w:leftChars="0" w:right="-10" w:rightChars="0" w:firstLine="0" w:firstLineChars="0"/>
              <w:rPr>
                <w:rFonts w:hint="default" w:ascii="Times New Roman" w:hAnsi="Times New Roman" w:eastAsia="Times New Roman" w:cs="Times New Roman"/>
                <w:color w:val="auto"/>
                <w:sz w:val="21"/>
                <w:highlight w:val="none"/>
                <w:lang w:val="en-US"/>
              </w:rPr>
            </w:pPr>
            <w:r>
              <w:rPr>
                <w:rFonts w:hint="default" w:ascii="Times New Roman" w:hAnsi="Times New Roman" w:eastAsia="Times New Roman" w:cs="Times New Roman"/>
                <w:color w:val="auto"/>
                <w:sz w:val="21"/>
                <w:highlight w:val="none"/>
                <w:lang w:val="en-US"/>
              </w:rPr>
              <w:t>COD</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lang w:val="en-US"/>
              </w:rPr>
              <w:t>BOD</w:t>
            </w:r>
            <w:r>
              <w:rPr>
                <w:rFonts w:hint="default" w:ascii="Times New Roman" w:hAnsi="Times New Roman" w:eastAsia="Times New Roman" w:cs="Times New Roman"/>
                <w:color w:val="auto"/>
                <w:sz w:val="21"/>
                <w:highlight w:val="none"/>
                <w:vertAlign w:val="subscript"/>
                <w:lang w:val="en-US"/>
              </w:rPr>
              <w:t>5</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lang w:val="en-US"/>
              </w:rPr>
              <w:t>SS</w:t>
            </w:r>
          </w:p>
        </w:tc>
      </w:tr>
      <w:tr w14:paraId="64B5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672" w:type="pct"/>
            <w:noWrap w:val="0"/>
            <w:vAlign w:val="top"/>
          </w:tcPr>
          <w:p w14:paraId="72E2B656">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声环境</w:t>
            </w:r>
          </w:p>
        </w:tc>
        <w:tc>
          <w:tcPr>
            <w:tcW w:w="2630" w:type="pct"/>
            <w:noWrap w:val="0"/>
            <w:vAlign w:val="top"/>
          </w:tcPr>
          <w:p w14:paraId="130E6BC7">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施工机械作业、车辆运输、设备安装</w:t>
            </w:r>
          </w:p>
        </w:tc>
        <w:tc>
          <w:tcPr>
            <w:tcW w:w="1696" w:type="pct"/>
            <w:noWrap w:val="0"/>
            <w:vAlign w:val="top"/>
          </w:tcPr>
          <w:p w14:paraId="017156C5">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噪声</w:t>
            </w:r>
          </w:p>
        </w:tc>
      </w:tr>
      <w:tr w14:paraId="1D12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672" w:type="pct"/>
            <w:noWrap w:val="0"/>
            <w:vAlign w:val="top"/>
          </w:tcPr>
          <w:p w14:paraId="400C7FDB">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固体废物</w:t>
            </w:r>
          </w:p>
        </w:tc>
        <w:tc>
          <w:tcPr>
            <w:tcW w:w="2630" w:type="pct"/>
            <w:noWrap w:val="0"/>
            <w:vAlign w:val="top"/>
          </w:tcPr>
          <w:p w14:paraId="520E0225">
            <w:pPr>
              <w:pStyle w:val="69"/>
              <w:spacing w:before="3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土地平整、开挖、建筑施工</w:t>
            </w:r>
          </w:p>
        </w:tc>
        <w:tc>
          <w:tcPr>
            <w:tcW w:w="1696" w:type="pct"/>
            <w:noWrap w:val="0"/>
            <w:vAlign w:val="top"/>
          </w:tcPr>
          <w:p w14:paraId="46310E5E">
            <w:pPr>
              <w:pStyle w:val="69"/>
              <w:spacing w:before="3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弃土石方、建筑垃圾</w:t>
            </w:r>
          </w:p>
        </w:tc>
      </w:tr>
      <w:tr w14:paraId="146F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672" w:type="pct"/>
            <w:noWrap w:val="0"/>
            <w:vAlign w:val="top"/>
          </w:tcPr>
          <w:p w14:paraId="2C53E4A0">
            <w:pPr>
              <w:pStyle w:val="69"/>
              <w:spacing w:before="3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生态环境</w:t>
            </w:r>
          </w:p>
        </w:tc>
        <w:tc>
          <w:tcPr>
            <w:tcW w:w="2630" w:type="pct"/>
            <w:noWrap w:val="0"/>
            <w:vAlign w:val="top"/>
          </w:tcPr>
          <w:p w14:paraId="3F9D762A">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土地平整、挖掘机工程占地</w:t>
            </w:r>
          </w:p>
        </w:tc>
        <w:tc>
          <w:tcPr>
            <w:tcW w:w="1696" w:type="pct"/>
            <w:noWrap w:val="0"/>
            <w:vAlign w:val="top"/>
          </w:tcPr>
          <w:p w14:paraId="221DF81F">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水土流失、植被破坏</w:t>
            </w:r>
          </w:p>
        </w:tc>
      </w:tr>
    </w:tbl>
    <w:p w14:paraId="51C24E7E">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运营期环境影响因素识别</w:t>
      </w:r>
    </w:p>
    <w:tbl>
      <w:tblPr>
        <w:tblStyle w:val="33"/>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1"/>
        <w:gridCol w:w="2896"/>
        <w:gridCol w:w="4346"/>
      </w:tblGrid>
      <w:tr w14:paraId="5A11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665" w:type="pct"/>
            <w:noWrap w:val="0"/>
            <w:vAlign w:val="center"/>
          </w:tcPr>
          <w:p w14:paraId="64DC51BC">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环境要素</w:t>
            </w:r>
          </w:p>
        </w:tc>
        <w:tc>
          <w:tcPr>
            <w:tcW w:w="1733" w:type="pct"/>
            <w:noWrap w:val="0"/>
            <w:vAlign w:val="center"/>
          </w:tcPr>
          <w:p w14:paraId="437D8008">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主要污染源</w:t>
            </w:r>
          </w:p>
        </w:tc>
        <w:tc>
          <w:tcPr>
            <w:tcW w:w="2600" w:type="pct"/>
            <w:noWrap w:val="0"/>
            <w:vAlign w:val="center"/>
          </w:tcPr>
          <w:p w14:paraId="7FB625E0">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主要影响因子</w:t>
            </w:r>
          </w:p>
        </w:tc>
      </w:tr>
      <w:tr w14:paraId="4446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5" w:type="pct"/>
            <w:noWrap w:val="0"/>
            <w:vAlign w:val="center"/>
          </w:tcPr>
          <w:p w14:paraId="5AC76B42">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环境空气</w:t>
            </w:r>
          </w:p>
        </w:tc>
        <w:tc>
          <w:tcPr>
            <w:tcW w:w="1733" w:type="pct"/>
            <w:noWrap w:val="0"/>
            <w:vAlign w:val="center"/>
          </w:tcPr>
          <w:p w14:paraId="772543E4">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饲料混合、</w:t>
            </w:r>
            <w:r>
              <w:rPr>
                <w:rFonts w:hint="default" w:ascii="Times New Roman" w:hAnsi="Times New Roman" w:cs="Times New Roman"/>
                <w:color w:val="auto"/>
                <w:sz w:val="21"/>
                <w:highlight w:val="none"/>
                <w:lang w:eastAsia="zh-CN"/>
              </w:rPr>
              <w:t>鸡舍</w:t>
            </w:r>
            <w:r>
              <w:rPr>
                <w:rFonts w:hint="default" w:ascii="Times New Roman" w:hAnsi="Times New Roman" w:cs="Times New Roman"/>
                <w:color w:val="auto"/>
                <w:sz w:val="21"/>
                <w:highlight w:val="none"/>
              </w:rPr>
              <w:t>、粪便处理设施、污水处理设施</w:t>
            </w:r>
          </w:p>
        </w:tc>
        <w:tc>
          <w:tcPr>
            <w:tcW w:w="2600" w:type="pct"/>
            <w:noWrap w:val="0"/>
            <w:vAlign w:val="center"/>
          </w:tcPr>
          <w:p w14:paraId="14EC3003">
            <w:pPr>
              <w:pStyle w:val="69"/>
              <w:ind w:left="0" w:leftChars="0" w:right="-10" w:rightChars="0" w:firstLine="0" w:firstLineChars="0"/>
              <w:rPr>
                <w:rFonts w:hint="default" w:ascii="Times New Roman" w:hAnsi="Times New Roman" w:eastAsia="宋体" w:cs="Times New Roman"/>
                <w:color w:val="auto"/>
                <w:sz w:val="21"/>
                <w:highlight w:val="none"/>
                <w:vertAlign w:val="subscript"/>
                <w:lang w:val="en-US" w:eastAsia="zh-CN"/>
              </w:rPr>
            </w:pPr>
            <w:r>
              <w:rPr>
                <w:rFonts w:hint="default" w:ascii="Times New Roman" w:hAnsi="Times New Roman" w:cs="Times New Roman"/>
                <w:color w:val="auto"/>
                <w:sz w:val="21"/>
                <w:highlight w:val="none"/>
                <w:lang w:val="en-US" w:eastAsia="zh-CN"/>
              </w:rPr>
              <w:t>TSP、</w:t>
            </w:r>
            <w:r>
              <w:rPr>
                <w:rFonts w:hint="default" w:ascii="Times New Roman" w:hAnsi="Times New Roman" w:eastAsia="Times New Roman" w:cs="Times New Roman"/>
                <w:color w:val="auto"/>
                <w:sz w:val="21"/>
                <w:highlight w:val="none"/>
              </w:rPr>
              <w:t>NH</w:t>
            </w:r>
            <w:r>
              <w:rPr>
                <w:rFonts w:hint="default" w:ascii="Times New Roman" w:hAnsi="Times New Roman" w:eastAsia="Times New Roman" w:cs="Times New Roman"/>
                <w:color w:val="auto"/>
                <w:sz w:val="21"/>
                <w:highlight w:val="none"/>
                <w:vertAlign w:val="subscript"/>
              </w:rPr>
              <w:t>3</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H</w:t>
            </w:r>
            <w:r>
              <w:rPr>
                <w:rFonts w:hint="default" w:ascii="Times New Roman" w:hAnsi="Times New Roman" w:eastAsia="Times New Roman" w:cs="Times New Roman"/>
                <w:color w:val="auto"/>
                <w:sz w:val="21"/>
                <w:highlight w:val="none"/>
                <w:vertAlign w:val="subscript"/>
              </w:rPr>
              <w:t>2</w:t>
            </w:r>
            <w:r>
              <w:rPr>
                <w:rFonts w:hint="default" w:ascii="Times New Roman" w:hAnsi="Times New Roman" w:eastAsia="Times New Roman" w:cs="Times New Roman"/>
                <w:color w:val="auto"/>
                <w:sz w:val="21"/>
                <w:highlight w:val="none"/>
              </w:rPr>
              <w:t>S</w:t>
            </w:r>
            <w:r>
              <w:rPr>
                <w:rFonts w:hint="default" w:ascii="Times New Roman" w:hAnsi="Times New Roman" w:cs="Times New Roman"/>
                <w:color w:val="auto"/>
                <w:sz w:val="21"/>
                <w:highlight w:val="none"/>
              </w:rPr>
              <w:t>、臭气浓度</w:t>
            </w:r>
            <w:r>
              <w:rPr>
                <w:rFonts w:hint="default" w:ascii="Times New Roman" w:hAnsi="Times New Roman" w:cs="Times New Roman"/>
                <w:color w:val="auto"/>
                <w:sz w:val="21"/>
                <w:highlight w:val="none"/>
                <w:lang w:eastAsia="zh-CN"/>
              </w:rPr>
              <w:t>、</w:t>
            </w:r>
            <w:r>
              <w:rPr>
                <w:rFonts w:hint="default" w:ascii="Times New Roman" w:hAnsi="Times New Roman" w:cs="Times New Roman"/>
                <w:lang w:val="en-US" w:eastAsia="zh-CN"/>
              </w:rPr>
              <w:t>颗粒物</w:t>
            </w:r>
          </w:p>
        </w:tc>
      </w:tr>
      <w:tr w14:paraId="4D17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65" w:type="pct"/>
            <w:noWrap w:val="0"/>
            <w:vAlign w:val="center"/>
          </w:tcPr>
          <w:p w14:paraId="273A198E">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水环境</w:t>
            </w:r>
          </w:p>
        </w:tc>
        <w:tc>
          <w:tcPr>
            <w:tcW w:w="1733" w:type="pct"/>
            <w:noWrap w:val="0"/>
            <w:vAlign w:val="center"/>
          </w:tcPr>
          <w:p w14:paraId="1DF2B239">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蛋鸡</w:t>
            </w:r>
            <w:r>
              <w:rPr>
                <w:rFonts w:hint="default" w:ascii="Times New Roman" w:hAnsi="Times New Roman" w:cs="Times New Roman"/>
                <w:color w:val="auto"/>
                <w:sz w:val="21"/>
                <w:highlight w:val="none"/>
              </w:rPr>
              <w:t>饲养、办公生活</w:t>
            </w:r>
          </w:p>
        </w:tc>
        <w:tc>
          <w:tcPr>
            <w:tcW w:w="2600" w:type="pct"/>
            <w:noWrap w:val="0"/>
            <w:vAlign w:val="center"/>
          </w:tcPr>
          <w:p w14:paraId="3317DE46">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21"/>
                <w:highlight w:val="none"/>
              </w:rPr>
              <w:t>COD</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BOD</w:t>
            </w:r>
            <w:r>
              <w:rPr>
                <w:rFonts w:hint="default" w:ascii="Times New Roman" w:hAnsi="Times New Roman" w:eastAsia="Times New Roman" w:cs="Times New Roman"/>
                <w:color w:val="auto"/>
                <w:sz w:val="21"/>
                <w:highlight w:val="none"/>
                <w:vertAlign w:val="subscript"/>
              </w:rPr>
              <w:t>5</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SS</w:t>
            </w:r>
            <w:r>
              <w:rPr>
                <w:rFonts w:hint="default" w:ascii="Times New Roman" w:hAnsi="Times New Roman" w:cs="Times New Roman"/>
                <w:color w:val="auto"/>
                <w:sz w:val="21"/>
                <w:highlight w:val="none"/>
              </w:rPr>
              <w:t>、氨氮、</w:t>
            </w:r>
            <w:r>
              <w:rPr>
                <w:rFonts w:hint="default" w:ascii="Times New Roman" w:hAnsi="Times New Roman" w:eastAsia="Times New Roman" w:cs="Times New Roman"/>
                <w:color w:val="auto"/>
                <w:sz w:val="21"/>
                <w:highlight w:val="none"/>
              </w:rPr>
              <w:t>TP</w:t>
            </w:r>
            <w:r>
              <w:rPr>
                <w:rFonts w:hint="default" w:ascii="Times New Roman" w:hAnsi="Times New Roman" w:cs="Times New Roman"/>
                <w:color w:val="auto"/>
                <w:sz w:val="21"/>
                <w:highlight w:val="none"/>
              </w:rPr>
              <w:t>、粪大</w:t>
            </w:r>
          </w:p>
          <w:p w14:paraId="30298525">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肠菌群、蛔虫卵等</w:t>
            </w:r>
          </w:p>
        </w:tc>
      </w:tr>
      <w:tr w14:paraId="24B8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665" w:type="pct"/>
            <w:noWrap w:val="0"/>
            <w:vAlign w:val="center"/>
          </w:tcPr>
          <w:p w14:paraId="034DBE9B">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声环境</w:t>
            </w:r>
          </w:p>
        </w:tc>
        <w:tc>
          <w:tcPr>
            <w:tcW w:w="1733" w:type="pct"/>
            <w:noWrap w:val="0"/>
            <w:vAlign w:val="center"/>
          </w:tcPr>
          <w:p w14:paraId="1E7776C6">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宋体" w:cs="Times New Roman"/>
                <w:color w:val="auto"/>
                <w:sz w:val="21"/>
                <w:highlight w:val="none"/>
                <w:lang w:val="en-US" w:eastAsia="zh-CN"/>
              </w:rPr>
              <w:t>鸡叫声、</w:t>
            </w:r>
            <w:r>
              <w:rPr>
                <w:rFonts w:hint="default" w:ascii="Times New Roman" w:hAnsi="Times New Roman" w:cs="Times New Roman"/>
                <w:color w:val="auto"/>
                <w:sz w:val="21"/>
                <w:highlight w:val="none"/>
              </w:rPr>
              <w:t>各类泵、搅拌机等</w:t>
            </w:r>
          </w:p>
        </w:tc>
        <w:tc>
          <w:tcPr>
            <w:tcW w:w="2600" w:type="pct"/>
            <w:noWrap w:val="0"/>
            <w:vAlign w:val="center"/>
          </w:tcPr>
          <w:p w14:paraId="54DA3F64">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连续等效</w:t>
            </w:r>
            <w:r>
              <w:rPr>
                <w:rFonts w:hint="default" w:ascii="Times New Roman" w:hAnsi="Times New Roman" w:eastAsia="Times New Roman" w:cs="Times New Roman"/>
                <w:color w:val="auto"/>
                <w:sz w:val="21"/>
                <w:highlight w:val="none"/>
              </w:rPr>
              <w:t>A</w:t>
            </w:r>
            <w:r>
              <w:rPr>
                <w:rFonts w:hint="default" w:ascii="Times New Roman" w:hAnsi="Times New Roman" w:cs="Times New Roman"/>
                <w:color w:val="auto"/>
                <w:sz w:val="21"/>
                <w:highlight w:val="none"/>
              </w:rPr>
              <w:t>声级</w:t>
            </w:r>
          </w:p>
        </w:tc>
      </w:tr>
      <w:tr w14:paraId="26DE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665" w:type="pct"/>
            <w:noWrap w:val="0"/>
            <w:vAlign w:val="center"/>
          </w:tcPr>
          <w:p w14:paraId="54E9C0E8">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固体废物</w:t>
            </w:r>
          </w:p>
        </w:tc>
        <w:tc>
          <w:tcPr>
            <w:tcW w:w="1733" w:type="pct"/>
            <w:noWrap w:val="0"/>
            <w:vAlign w:val="center"/>
          </w:tcPr>
          <w:p w14:paraId="2728D0DF">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生产固废、办公生活垃圾</w:t>
            </w:r>
          </w:p>
        </w:tc>
        <w:tc>
          <w:tcPr>
            <w:tcW w:w="2600" w:type="pct"/>
            <w:noWrap w:val="0"/>
            <w:vAlign w:val="center"/>
          </w:tcPr>
          <w:p w14:paraId="67B34322">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鸡粪</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eastAsia="zh-CN"/>
              </w:rPr>
              <w:t>病死鸡</w:t>
            </w:r>
            <w:r>
              <w:rPr>
                <w:rFonts w:hint="default" w:ascii="Times New Roman" w:hAnsi="Times New Roman" w:cs="Times New Roman"/>
                <w:color w:val="auto"/>
                <w:sz w:val="21"/>
                <w:highlight w:val="none"/>
              </w:rPr>
              <w:t>、兽用医疗废物、办公生活垃圾</w:t>
            </w:r>
          </w:p>
        </w:tc>
      </w:tr>
      <w:tr w14:paraId="4C68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665" w:type="pct"/>
            <w:noWrap w:val="0"/>
            <w:vAlign w:val="center"/>
          </w:tcPr>
          <w:p w14:paraId="1D4675A7">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风险</w:t>
            </w:r>
          </w:p>
        </w:tc>
        <w:tc>
          <w:tcPr>
            <w:tcW w:w="1733" w:type="pct"/>
            <w:noWrap w:val="0"/>
            <w:vAlign w:val="center"/>
          </w:tcPr>
          <w:p w14:paraId="655152B3">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干草场、养殖区</w:t>
            </w:r>
          </w:p>
        </w:tc>
        <w:tc>
          <w:tcPr>
            <w:tcW w:w="2600" w:type="pct"/>
            <w:noWrap w:val="0"/>
            <w:vAlign w:val="center"/>
          </w:tcPr>
          <w:p w14:paraId="0D047B1C">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干草火灾、高致病疫情</w:t>
            </w:r>
          </w:p>
        </w:tc>
      </w:tr>
    </w:tbl>
    <w:p w14:paraId="2D353B06">
      <w:pPr>
        <w:pStyle w:val="4"/>
        <w:bidi w:val="0"/>
        <w:rPr>
          <w:rFonts w:hint="default" w:ascii="Times New Roman" w:hAnsi="Times New Roman" w:cs="Times New Roman"/>
          <w:color w:val="auto"/>
        </w:rPr>
      </w:pPr>
      <w:r>
        <w:rPr>
          <w:rFonts w:hint="default" w:ascii="Times New Roman" w:hAnsi="Times New Roman" w:cs="Times New Roman"/>
          <w:color w:val="auto"/>
        </w:rPr>
        <w:t>评价因子</w:t>
      </w:r>
    </w:p>
    <w:p w14:paraId="3D779B4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根据项目所在地环境特征和项目特点，本项目评价因子见表</w:t>
      </w:r>
      <w:r>
        <w:rPr>
          <w:rFonts w:hint="default" w:ascii="Times New Roman" w:hAnsi="Times New Roman" w:cs="Times New Roman"/>
          <w:color w:val="auto"/>
          <w:lang w:val="en-US"/>
        </w:rPr>
        <w:t>2</w:t>
      </w:r>
      <w:r>
        <w:rPr>
          <w:rFonts w:hint="default" w:ascii="Times New Roman" w:hAnsi="Times New Roman" w:cs="Times New Roman"/>
          <w:color w:val="auto"/>
        </w:rPr>
        <w:t>.3-3。</w:t>
      </w:r>
    </w:p>
    <w:p w14:paraId="247572F5">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本项目评价因子一览表</w:t>
      </w:r>
    </w:p>
    <w:tbl>
      <w:tblPr>
        <w:tblStyle w:val="33"/>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2"/>
        <w:gridCol w:w="1872"/>
        <w:gridCol w:w="5489"/>
      </w:tblGrid>
      <w:tr w14:paraId="22B9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625" w:type="pct"/>
            <w:noWrap w:val="0"/>
            <w:vAlign w:val="center"/>
          </w:tcPr>
          <w:p w14:paraId="1DBA2419">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环境要素</w:t>
            </w:r>
          </w:p>
        </w:tc>
        <w:tc>
          <w:tcPr>
            <w:tcW w:w="1112" w:type="pct"/>
            <w:noWrap w:val="0"/>
            <w:vAlign w:val="center"/>
          </w:tcPr>
          <w:p w14:paraId="0DF9F2BC">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评价类别</w:t>
            </w:r>
          </w:p>
        </w:tc>
        <w:tc>
          <w:tcPr>
            <w:tcW w:w="3261" w:type="pct"/>
            <w:noWrap w:val="0"/>
            <w:vAlign w:val="center"/>
          </w:tcPr>
          <w:p w14:paraId="3D0FC0AE">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r>
      <w:tr w14:paraId="6F1F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25" w:type="pct"/>
            <w:vMerge w:val="restart"/>
            <w:noWrap w:val="0"/>
            <w:vAlign w:val="center"/>
          </w:tcPr>
          <w:p w14:paraId="29F778D2">
            <w:pPr>
              <w:pStyle w:val="69"/>
              <w:spacing w:before="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w:t>
            </w:r>
          </w:p>
        </w:tc>
        <w:tc>
          <w:tcPr>
            <w:tcW w:w="1112" w:type="pct"/>
            <w:noWrap w:val="0"/>
            <w:vAlign w:val="center"/>
          </w:tcPr>
          <w:p w14:paraId="091FC3F6">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3261" w:type="pct"/>
            <w:noWrap w:val="0"/>
            <w:vAlign w:val="center"/>
          </w:tcPr>
          <w:p w14:paraId="49D5543F">
            <w:pPr>
              <w:pStyle w:val="69"/>
              <w:spacing w:before="27"/>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rPr>
              <w:t>SO</w:t>
            </w:r>
            <w:r>
              <w:rPr>
                <w:rFonts w:hint="default" w:ascii="Times New Roman" w:hAnsi="Times New Roman" w:eastAsia="Times New Roman" w:cs="Times New Roman"/>
                <w:color w:val="auto"/>
                <w:sz w:val="21"/>
                <w:szCs w:val="21"/>
                <w:highlight w:val="none"/>
                <w:vertAlign w:val="subscript"/>
                <w:lang w:val="en-US"/>
              </w:rPr>
              <w:t>2</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lang w:val="en-US"/>
              </w:rPr>
              <w:t>NO</w:t>
            </w:r>
            <w:r>
              <w:rPr>
                <w:rFonts w:hint="default" w:ascii="Times New Roman" w:hAnsi="Times New Roman" w:eastAsia="Times New Roman" w:cs="Times New Roman"/>
                <w:color w:val="auto"/>
                <w:sz w:val="21"/>
                <w:szCs w:val="21"/>
                <w:highlight w:val="none"/>
                <w:vertAlign w:val="subscript"/>
                <w:lang w:val="en-US"/>
              </w:rPr>
              <w:t>2</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lang w:val="en-US"/>
              </w:rPr>
              <w:t>PM</w:t>
            </w:r>
            <w:r>
              <w:rPr>
                <w:rFonts w:hint="default" w:ascii="Times New Roman" w:hAnsi="Times New Roman" w:eastAsia="Times New Roman" w:cs="Times New Roman"/>
                <w:color w:val="auto"/>
                <w:sz w:val="21"/>
                <w:szCs w:val="21"/>
                <w:highlight w:val="none"/>
                <w:vertAlign w:val="subscript"/>
                <w:lang w:val="en-US"/>
              </w:rPr>
              <w:t>10</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lang w:val="en-US"/>
              </w:rPr>
              <w:t>PM</w:t>
            </w:r>
            <w:r>
              <w:rPr>
                <w:rFonts w:hint="default" w:ascii="Times New Roman" w:hAnsi="Times New Roman" w:eastAsia="Times New Roman" w:cs="Times New Roman"/>
                <w:color w:val="auto"/>
                <w:sz w:val="21"/>
                <w:szCs w:val="21"/>
                <w:highlight w:val="none"/>
                <w:vertAlign w:val="subscript"/>
                <w:lang w:val="en-US"/>
              </w:rPr>
              <w:t>2.5</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lang w:val="en-US"/>
              </w:rPr>
              <w:t>CO</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lang w:val="en-US"/>
              </w:rPr>
              <w:t>O</w:t>
            </w:r>
            <w:r>
              <w:rPr>
                <w:rFonts w:hint="default" w:ascii="Times New Roman" w:hAnsi="Times New Roman" w:eastAsia="Times New Roman" w:cs="Times New Roman"/>
                <w:color w:val="auto"/>
                <w:sz w:val="21"/>
                <w:szCs w:val="21"/>
                <w:highlight w:val="none"/>
                <w:vertAlign w:val="subscript"/>
                <w:lang w:val="en-US"/>
              </w:rPr>
              <w:t>3</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lang w:val="en-US"/>
              </w:rPr>
              <w:t>NH</w:t>
            </w:r>
            <w:r>
              <w:rPr>
                <w:rFonts w:hint="default" w:ascii="Times New Roman" w:hAnsi="Times New Roman" w:eastAsia="Times New Roman" w:cs="Times New Roman"/>
                <w:color w:val="auto"/>
                <w:sz w:val="21"/>
                <w:szCs w:val="21"/>
                <w:highlight w:val="none"/>
                <w:vertAlign w:val="subscript"/>
                <w:lang w:val="en-US"/>
              </w:rPr>
              <w:t>3</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lang w:val="en-US"/>
              </w:rPr>
              <w:t>H</w:t>
            </w:r>
            <w:r>
              <w:rPr>
                <w:rFonts w:hint="default" w:ascii="Times New Roman" w:hAnsi="Times New Roman" w:eastAsia="Times New Roman" w:cs="Times New Roman"/>
                <w:color w:val="auto"/>
                <w:sz w:val="21"/>
                <w:szCs w:val="21"/>
                <w:highlight w:val="none"/>
                <w:vertAlign w:val="subscript"/>
                <w:lang w:val="en-US"/>
              </w:rPr>
              <w:t>2</w:t>
            </w:r>
            <w:r>
              <w:rPr>
                <w:rFonts w:hint="default" w:ascii="Times New Roman" w:hAnsi="Times New Roman" w:eastAsia="Times New Roman" w:cs="Times New Roman"/>
                <w:color w:val="auto"/>
                <w:sz w:val="21"/>
                <w:szCs w:val="21"/>
                <w:highlight w:val="none"/>
                <w:lang w:val="en-US"/>
              </w:rPr>
              <w:t>S</w:t>
            </w:r>
            <w:r>
              <w:rPr>
                <w:rFonts w:hint="default" w:ascii="Times New Roman" w:hAnsi="Times New Roman" w:cs="Times New Roman"/>
                <w:color w:val="auto"/>
                <w:sz w:val="21"/>
                <w:szCs w:val="21"/>
                <w:highlight w:val="none"/>
                <w:lang w:val="en-US" w:eastAsia="zh-CN"/>
              </w:rPr>
              <w:t>、TSP</w:t>
            </w:r>
          </w:p>
        </w:tc>
      </w:tr>
      <w:tr w14:paraId="5C61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25" w:type="pct"/>
            <w:vMerge w:val="continue"/>
            <w:noWrap w:val="0"/>
            <w:vAlign w:val="center"/>
          </w:tcPr>
          <w:p w14:paraId="57D969CB">
            <w:pPr>
              <w:ind w:left="0" w:leftChars="0" w:right="-10" w:rightChars="0" w:firstLine="0" w:firstLineChars="0"/>
              <w:jc w:val="center"/>
              <w:rPr>
                <w:rFonts w:hint="default" w:ascii="Times New Roman" w:hAnsi="Times New Roman" w:cs="Times New Roman"/>
                <w:color w:val="auto"/>
                <w:sz w:val="21"/>
                <w:szCs w:val="21"/>
                <w:highlight w:val="none"/>
                <w:lang w:val="en-US"/>
              </w:rPr>
            </w:pPr>
          </w:p>
        </w:tc>
        <w:tc>
          <w:tcPr>
            <w:tcW w:w="1112" w:type="pct"/>
            <w:noWrap w:val="0"/>
            <w:vAlign w:val="center"/>
          </w:tcPr>
          <w:p w14:paraId="467DFD1C">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施工期影响分析</w:t>
            </w:r>
          </w:p>
        </w:tc>
        <w:tc>
          <w:tcPr>
            <w:tcW w:w="3261" w:type="pct"/>
            <w:noWrap w:val="0"/>
            <w:vAlign w:val="center"/>
          </w:tcPr>
          <w:p w14:paraId="77C3FA3C">
            <w:pPr>
              <w:pStyle w:val="69"/>
              <w:spacing w:before="34"/>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TSP</w:t>
            </w:r>
          </w:p>
        </w:tc>
      </w:tr>
      <w:tr w14:paraId="1785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25" w:type="pct"/>
            <w:vMerge w:val="continue"/>
            <w:noWrap w:val="0"/>
            <w:vAlign w:val="center"/>
          </w:tcPr>
          <w:p w14:paraId="135DF1BE">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112" w:type="pct"/>
            <w:noWrap w:val="0"/>
            <w:vAlign w:val="center"/>
          </w:tcPr>
          <w:p w14:paraId="23C99C28">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运营期影响分析</w:t>
            </w:r>
          </w:p>
        </w:tc>
        <w:tc>
          <w:tcPr>
            <w:tcW w:w="3261" w:type="pct"/>
            <w:noWrap w:val="0"/>
            <w:vAlign w:val="center"/>
          </w:tcPr>
          <w:p w14:paraId="78C27FCC">
            <w:pPr>
              <w:pStyle w:val="69"/>
              <w:spacing w:before="27"/>
              <w:ind w:left="0" w:leftChars="0" w:right="-10" w:rightChars="0" w:firstLine="0" w:firstLineChars="0"/>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Times New Roman" w:cs="Times New Roman"/>
                <w:color w:val="FF0000"/>
                <w:sz w:val="21"/>
                <w:szCs w:val="21"/>
                <w:highlight w:val="none"/>
              </w:rPr>
              <w:t>NH</w:t>
            </w:r>
            <w:r>
              <w:rPr>
                <w:rFonts w:hint="default" w:ascii="Times New Roman" w:hAnsi="Times New Roman" w:eastAsia="Times New Roman" w:cs="Times New Roman"/>
                <w:color w:val="FF0000"/>
                <w:sz w:val="21"/>
                <w:szCs w:val="21"/>
                <w:highlight w:val="none"/>
                <w:vertAlign w:val="subscript"/>
              </w:rPr>
              <w:t>3</w:t>
            </w:r>
            <w:r>
              <w:rPr>
                <w:rFonts w:hint="default" w:ascii="Times New Roman" w:hAnsi="Times New Roman" w:cs="Times New Roman"/>
                <w:color w:val="FF0000"/>
                <w:sz w:val="21"/>
                <w:szCs w:val="21"/>
                <w:highlight w:val="none"/>
              </w:rPr>
              <w:t>、</w:t>
            </w:r>
            <w:r>
              <w:rPr>
                <w:rFonts w:hint="default" w:ascii="Times New Roman" w:hAnsi="Times New Roman" w:eastAsia="Times New Roman" w:cs="Times New Roman"/>
                <w:color w:val="FF0000"/>
                <w:sz w:val="21"/>
                <w:szCs w:val="21"/>
                <w:highlight w:val="none"/>
              </w:rPr>
              <w:t>H</w:t>
            </w:r>
            <w:r>
              <w:rPr>
                <w:rFonts w:hint="default" w:ascii="Times New Roman" w:hAnsi="Times New Roman" w:eastAsia="Times New Roman" w:cs="Times New Roman"/>
                <w:color w:val="FF0000"/>
                <w:sz w:val="21"/>
                <w:szCs w:val="21"/>
                <w:highlight w:val="none"/>
                <w:vertAlign w:val="subscript"/>
              </w:rPr>
              <w:t>2</w:t>
            </w:r>
            <w:r>
              <w:rPr>
                <w:rFonts w:hint="default" w:ascii="Times New Roman" w:hAnsi="Times New Roman" w:eastAsia="Times New Roman" w:cs="Times New Roman"/>
                <w:color w:val="FF0000"/>
                <w:sz w:val="21"/>
                <w:szCs w:val="21"/>
                <w:highlight w:val="none"/>
              </w:rPr>
              <w:t>S</w:t>
            </w:r>
            <w:r>
              <w:rPr>
                <w:rFonts w:hint="default" w:ascii="Times New Roman" w:hAnsi="Times New Roman" w:cs="Times New Roman"/>
                <w:color w:val="FF0000"/>
                <w:sz w:val="21"/>
                <w:szCs w:val="21"/>
                <w:highlight w:val="none"/>
              </w:rPr>
              <w:t>、臭气浓度</w:t>
            </w:r>
            <w:r>
              <w:rPr>
                <w:rFonts w:hint="default" w:ascii="Times New Roman" w:hAnsi="Times New Roman" w:cs="Times New Roman"/>
                <w:color w:val="FF0000"/>
                <w:sz w:val="21"/>
                <w:szCs w:val="21"/>
                <w:lang w:val="en-US" w:eastAsia="zh-CN"/>
              </w:rPr>
              <w:t>和PM</w:t>
            </w:r>
            <w:r>
              <w:rPr>
                <w:rFonts w:hint="default" w:ascii="Times New Roman" w:hAnsi="Times New Roman" w:cs="Times New Roman"/>
                <w:color w:val="FF0000"/>
                <w:sz w:val="21"/>
                <w:szCs w:val="21"/>
                <w:vertAlign w:val="subscript"/>
                <w:lang w:val="en-US" w:eastAsia="zh-CN"/>
              </w:rPr>
              <w:t>10</w:t>
            </w:r>
          </w:p>
        </w:tc>
      </w:tr>
      <w:tr w14:paraId="3739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25" w:type="pct"/>
            <w:vMerge w:val="restart"/>
            <w:noWrap w:val="0"/>
            <w:vAlign w:val="center"/>
          </w:tcPr>
          <w:p w14:paraId="61BEE577">
            <w:pPr>
              <w:ind w:left="0" w:leftChars="0" w:right="-1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1112" w:type="pct"/>
            <w:noWrap w:val="0"/>
            <w:vAlign w:val="center"/>
          </w:tcPr>
          <w:p w14:paraId="655B28F7">
            <w:pPr>
              <w:pStyle w:val="69"/>
              <w:spacing w:before="41"/>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地下水现状评价</w:t>
            </w:r>
          </w:p>
        </w:tc>
        <w:tc>
          <w:tcPr>
            <w:tcW w:w="3261" w:type="pct"/>
            <w:noWrap w:val="0"/>
            <w:vAlign w:val="center"/>
          </w:tcPr>
          <w:p w14:paraId="5D8C154E">
            <w:pPr>
              <w:pStyle w:val="69"/>
              <w:spacing w:before="41"/>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rPr>
              <w:t>pH</w:t>
            </w:r>
            <w:r>
              <w:rPr>
                <w:rFonts w:hint="default" w:ascii="Times New Roman" w:hAnsi="Times New Roman" w:cs="Times New Roman"/>
                <w:color w:val="auto"/>
                <w:sz w:val="21"/>
                <w:szCs w:val="21"/>
                <w:highlight w:val="none"/>
              </w:rPr>
              <w:t>值、氨氮、挥发酚、总硬度、氰化物、硝酸盐等</w:t>
            </w:r>
            <w:r>
              <w:rPr>
                <w:rFonts w:hint="default" w:ascii="Times New Roman" w:hAnsi="Times New Roman" w:cs="Times New Roman"/>
                <w:color w:val="auto"/>
                <w:sz w:val="21"/>
                <w:szCs w:val="21"/>
                <w:highlight w:val="none"/>
                <w:lang w:val="en-US" w:eastAsia="zh-CN"/>
              </w:rPr>
              <w:t>29</w:t>
            </w:r>
            <w:r>
              <w:rPr>
                <w:rFonts w:hint="default" w:ascii="Times New Roman" w:hAnsi="Times New Roman" w:cs="Times New Roman"/>
                <w:color w:val="auto"/>
                <w:sz w:val="21"/>
                <w:szCs w:val="21"/>
                <w:highlight w:val="none"/>
              </w:rPr>
              <w:t>项</w:t>
            </w:r>
          </w:p>
        </w:tc>
      </w:tr>
      <w:tr w14:paraId="05F9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25" w:type="pct"/>
            <w:vMerge w:val="continue"/>
            <w:noWrap w:val="0"/>
            <w:vAlign w:val="center"/>
          </w:tcPr>
          <w:p w14:paraId="11D4A7A4">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112" w:type="pct"/>
            <w:noWrap w:val="0"/>
            <w:vAlign w:val="center"/>
          </w:tcPr>
          <w:p w14:paraId="62A91AAC">
            <w:pPr>
              <w:pStyle w:val="69"/>
              <w:spacing w:before="27"/>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运营期影响分析</w:t>
            </w:r>
          </w:p>
        </w:tc>
        <w:tc>
          <w:tcPr>
            <w:tcW w:w="3261" w:type="pct"/>
            <w:noWrap w:val="0"/>
            <w:vAlign w:val="center"/>
          </w:tcPr>
          <w:p w14:paraId="188B888F">
            <w:pPr>
              <w:pStyle w:val="69"/>
              <w:spacing w:before="27"/>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rPr>
              <w:t>COD</w:t>
            </w:r>
            <w:r>
              <w:rPr>
                <w:rFonts w:hint="default" w:ascii="Times New Roman" w:hAnsi="Times New Roman" w:cs="Times New Roman"/>
                <w:color w:val="auto"/>
                <w:sz w:val="21"/>
                <w:szCs w:val="21"/>
                <w:highlight w:val="none"/>
              </w:rPr>
              <w:t>、氨氮、</w:t>
            </w:r>
            <w:r>
              <w:rPr>
                <w:rFonts w:hint="default" w:ascii="Times New Roman" w:hAnsi="Times New Roman" w:eastAsia="Times New Roman" w:cs="Times New Roman"/>
                <w:color w:val="auto"/>
                <w:sz w:val="21"/>
                <w:szCs w:val="21"/>
                <w:highlight w:val="none"/>
              </w:rPr>
              <w:t>SS</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rPr>
              <w:t>BOD</w:t>
            </w:r>
            <w:r>
              <w:rPr>
                <w:rFonts w:hint="default" w:ascii="Times New Roman" w:hAnsi="Times New Roman" w:eastAsia="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rPr>
              <w:t>TP</w:t>
            </w:r>
            <w:r>
              <w:rPr>
                <w:rFonts w:hint="default" w:ascii="Times New Roman" w:hAnsi="Times New Roman" w:cs="Times New Roman"/>
                <w:color w:val="auto"/>
                <w:sz w:val="21"/>
                <w:szCs w:val="21"/>
                <w:highlight w:val="none"/>
              </w:rPr>
              <w:t>、粪大肠菌群</w:t>
            </w:r>
          </w:p>
        </w:tc>
      </w:tr>
      <w:tr w14:paraId="35DE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625" w:type="pct"/>
            <w:vMerge w:val="restart"/>
            <w:noWrap w:val="0"/>
            <w:vAlign w:val="center"/>
          </w:tcPr>
          <w:p w14:paraId="67DD6D17">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112" w:type="pct"/>
            <w:noWrap w:val="0"/>
            <w:vAlign w:val="center"/>
          </w:tcPr>
          <w:p w14:paraId="60DFC680">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3261" w:type="pct"/>
            <w:vMerge w:val="restart"/>
            <w:noWrap w:val="0"/>
            <w:vAlign w:val="center"/>
          </w:tcPr>
          <w:p w14:paraId="47FA4ADB">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w:t>
            </w:r>
            <w:r>
              <w:rPr>
                <w:rFonts w:hint="default" w:ascii="Times New Roman" w:hAnsi="Times New Roman" w:eastAsia="Times New Roman" w:cs="Times New Roman"/>
                <w:color w:val="auto"/>
                <w:sz w:val="21"/>
                <w:szCs w:val="21"/>
                <w:highlight w:val="none"/>
              </w:rPr>
              <w:t>A</w:t>
            </w:r>
            <w:r>
              <w:rPr>
                <w:rFonts w:hint="default" w:ascii="Times New Roman" w:hAnsi="Times New Roman" w:cs="Times New Roman"/>
                <w:color w:val="auto"/>
                <w:sz w:val="21"/>
                <w:szCs w:val="21"/>
                <w:highlight w:val="none"/>
              </w:rPr>
              <w:t>声级</w:t>
            </w:r>
          </w:p>
        </w:tc>
      </w:tr>
      <w:tr w14:paraId="463B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25" w:type="pct"/>
            <w:vMerge w:val="continue"/>
            <w:noWrap w:val="0"/>
            <w:vAlign w:val="center"/>
          </w:tcPr>
          <w:p w14:paraId="7EEEAFC9">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112" w:type="pct"/>
            <w:noWrap w:val="0"/>
            <w:vAlign w:val="center"/>
          </w:tcPr>
          <w:p w14:paraId="0BCFA99F">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施工期影响评价</w:t>
            </w:r>
          </w:p>
        </w:tc>
        <w:tc>
          <w:tcPr>
            <w:tcW w:w="3261" w:type="pct"/>
            <w:vMerge w:val="continue"/>
            <w:noWrap w:val="0"/>
            <w:vAlign w:val="center"/>
          </w:tcPr>
          <w:p w14:paraId="4E7453DF">
            <w:pPr>
              <w:ind w:left="0" w:leftChars="0" w:right="-10" w:rightChars="0" w:firstLine="0" w:firstLineChars="0"/>
              <w:jc w:val="center"/>
              <w:rPr>
                <w:rFonts w:hint="default" w:ascii="Times New Roman" w:hAnsi="Times New Roman" w:cs="Times New Roman"/>
                <w:color w:val="auto"/>
                <w:sz w:val="21"/>
                <w:szCs w:val="21"/>
                <w:highlight w:val="none"/>
              </w:rPr>
            </w:pPr>
          </w:p>
        </w:tc>
      </w:tr>
      <w:tr w14:paraId="6AD6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625" w:type="pct"/>
            <w:vMerge w:val="continue"/>
            <w:noWrap w:val="0"/>
            <w:vAlign w:val="center"/>
          </w:tcPr>
          <w:p w14:paraId="3636E5A6">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112" w:type="pct"/>
            <w:noWrap w:val="0"/>
            <w:vAlign w:val="center"/>
          </w:tcPr>
          <w:p w14:paraId="203930A9">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运营期影响分析</w:t>
            </w:r>
          </w:p>
        </w:tc>
        <w:tc>
          <w:tcPr>
            <w:tcW w:w="3261" w:type="pct"/>
            <w:vMerge w:val="continue"/>
            <w:noWrap w:val="0"/>
            <w:vAlign w:val="center"/>
          </w:tcPr>
          <w:p w14:paraId="7EB7FC0A">
            <w:pPr>
              <w:ind w:left="0" w:leftChars="0" w:right="-10" w:rightChars="0" w:firstLine="0" w:firstLineChars="0"/>
              <w:jc w:val="center"/>
              <w:rPr>
                <w:rFonts w:hint="default" w:ascii="Times New Roman" w:hAnsi="Times New Roman" w:cs="Times New Roman"/>
                <w:color w:val="auto"/>
                <w:sz w:val="21"/>
                <w:szCs w:val="21"/>
                <w:highlight w:val="none"/>
              </w:rPr>
            </w:pPr>
          </w:p>
        </w:tc>
      </w:tr>
      <w:tr w14:paraId="1989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25" w:type="pct"/>
            <w:vMerge w:val="restart"/>
            <w:noWrap w:val="0"/>
            <w:vAlign w:val="center"/>
          </w:tcPr>
          <w:p w14:paraId="0A303E70">
            <w:pPr>
              <w:pStyle w:val="69"/>
              <w:spacing w:before="61" w:line="244"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1112" w:type="pct"/>
            <w:noWrap w:val="0"/>
            <w:vAlign w:val="center"/>
          </w:tcPr>
          <w:p w14:paraId="4C5595DA">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污染源评价</w:t>
            </w:r>
          </w:p>
        </w:tc>
        <w:tc>
          <w:tcPr>
            <w:tcW w:w="3261" w:type="pct"/>
            <w:vMerge w:val="restart"/>
            <w:noWrap w:val="0"/>
            <w:vAlign w:val="center"/>
          </w:tcPr>
          <w:p w14:paraId="716037A1">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鸡粪</w:t>
            </w:r>
            <w:r>
              <w:rPr>
                <w:rFonts w:hint="default" w:ascii="Times New Roman" w:hAnsi="Times New Roman" w:cs="Times New Roman"/>
                <w:color w:val="auto"/>
                <w:sz w:val="21"/>
                <w:szCs w:val="21"/>
                <w:highlight w:val="none"/>
              </w:rPr>
              <w:t>、兽用医疗废物、</w:t>
            </w:r>
            <w:r>
              <w:rPr>
                <w:rFonts w:hint="default" w:ascii="Times New Roman" w:hAnsi="Times New Roman" w:cs="Times New Roman"/>
                <w:color w:val="auto"/>
                <w:sz w:val="21"/>
                <w:szCs w:val="21"/>
                <w:highlight w:val="none"/>
                <w:lang w:eastAsia="zh-CN"/>
              </w:rPr>
              <w:t>病死鸡</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原辅料包装</w:t>
            </w:r>
          </w:p>
        </w:tc>
      </w:tr>
      <w:tr w14:paraId="488B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625" w:type="pct"/>
            <w:vMerge w:val="continue"/>
            <w:noWrap w:val="0"/>
            <w:vAlign w:val="center"/>
          </w:tcPr>
          <w:p w14:paraId="790EA21D">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112" w:type="pct"/>
            <w:noWrap w:val="0"/>
            <w:vAlign w:val="center"/>
          </w:tcPr>
          <w:p w14:paraId="1663B2FC">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运营期影响评价</w:t>
            </w:r>
          </w:p>
        </w:tc>
        <w:tc>
          <w:tcPr>
            <w:tcW w:w="3261" w:type="pct"/>
            <w:vMerge w:val="continue"/>
            <w:noWrap w:val="0"/>
            <w:vAlign w:val="center"/>
          </w:tcPr>
          <w:p w14:paraId="65C693A3">
            <w:pPr>
              <w:ind w:left="0" w:leftChars="0" w:right="-10" w:rightChars="0" w:firstLine="0" w:firstLineChars="0"/>
              <w:jc w:val="center"/>
              <w:rPr>
                <w:rFonts w:hint="default" w:ascii="Times New Roman" w:hAnsi="Times New Roman" w:cs="Times New Roman"/>
                <w:color w:val="auto"/>
                <w:sz w:val="21"/>
                <w:szCs w:val="21"/>
                <w:highlight w:val="none"/>
              </w:rPr>
            </w:pPr>
          </w:p>
        </w:tc>
      </w:tr>
      <w:tr w14:paraId="27E4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625" w:type="pct"/>
            <w:vMerge w:val="restart"/>
            <w:noWrap w:val="0"/>
            <w:vAlign w:val="center"/>
          </w:tcPr>
          <w:p w14:paraId="6A0A871F">
            <w:pPr>
              <w:ind w:left="0" w:leftChars="0" w:right="-1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w:t>
            </w:r>
          </w:p>
        </w:tc>
        <w:tc>
          <w:tcPr>
            <w:tcW w:w="1112" w:type="pct"/>
            <w:noWrap w:val="0"/>
            <w:vAlign w:val="center"/>
          </w:tcPr>
          <w:p w14:paraId="733BE2A1">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3261" w:type="pct"/>
            <w:noWrap w:val="0"/>
            <w:vAlign w:val="center"/>
          </w:tcPr>
          <w:p w14:paraId="4B228EE4">
            <w:pPr>
              <w:pStyle w:val="69"/>
              <w:spacing w:before="27"/>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pH</w:t>
            </w:r>
            <w:r>
              <w:rPr>
                <w:rFonts w:hint="default" w:ascii="Times New Roman" w:hAnsi="Times New Roman" w:cs="Times New Roman"/>
                <w:color w:val="auto"/>
                <w:sz w:val="21"/>
                <w:szCs w:val="21"/>
                <w:highlight w:val="none"/>
                <w:lang w:val="en-US" w:eastAsia="zh-CN"/>
              </w:rPr>
              <w:t>+45项基本因子</w:t>
            </w:r>
          </w:p>
        </w:tc>
      </w:tr>
      <w:tr w14:paraId="57B0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625" w:type="pct"/>
            <w:vMerge w:val="continue"/>
            <w:noWrap w:val="0"/>
            <w:vAlign w:val="center"/>
          </w:tcPr>
          <w:p w14:paraId="11F3B35E">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112" w:type="pct"/>
            <w:noWrap w:val="0"/>
            <w:vAlign w:val="center"/>
          </w:tcPr>
          <w:p w14:paraId="1998B97A">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运营期影响</w:t>
            </w:r>
            <w:r>
              <w:rPr>
                <w:rFonts w:hint="default" w:ascii="Times New Roman" w:hAnsi="Times New Roman" w:cs="Times New Roman"/>
                <w:color w:val="auto"/>
                <w:sz w:val="21"/>
                <w:szCs w:val="21"/>
                <w:highlight w:val="none"/>
                <w:lang w:eastAsia="zh-CN"/>
              </w:rPr>
              <w:t>分析</w:t>
            </w:r>
          </w:p>
        </w:tc>
        <w:tc>
          <w:tcPr>
            <w:tcW w:w="3261" w:type="pct"/>
            <w:noWrap w:val="0"/>
            <w:vAlign w:val="center"/>
          </w:tcPr>
          <w:p w14:paraId="1F250328">
            <w:pPr>
              <w:pStyle w:val="69"/>
              <w:spacing w:before="27"/>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rPr>
              <w:t>COD</w:t>
            </w:r>
            <w:r>
              <w:rPr>
                <w:rFonts w:hint="default" w:ascii="Times New Roman" w:hAnsi="Times New Roman" w:cs="Times New Roman"/>
                <w:color w:val="auto"/>
                <w:sz w:val="21"/>
                <w:szCs w:val="21"/>
                <w:highlight w:val="none"/>
              </w:rPr>
              <w:t>、氨氮</w:t>
            </w:r>
          </w:p>
        </w:tc>
      </w:tr>
      <w:tr w14:paraId="3641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25" w:type="pct"/>
            <w:vMerge w:val="restart"/>
            <w:noWrap w:val="0"/>
            <w:vAlign w:val="center"/>
          </w:tcPr>
          <w:p w14:paraId="6EB426F2">
            <w:pPr>
              <w:pStyle w:val="69"/>
              <w:spacing w:before="61" w:line="242"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1112" w:type="pct"/>
            <w:noWrap w:val="0"/>
            <w:vAlign w:val="center"/>
          </w:tcPr>
          <w:p w14:paraId="4CA28D5A">
            <w:pPr>
              <w:pStyle w:val="69"/>
              <w:keepNext w:val="0"/>
              <w:keepLines w:val="0"/>
              <w:pageBreakBefore w:val="0"/>
              <w:widowControl w:val="0"/>
              <w:kinsoku/>
              <w:wordWrap/>
              <w:overflowPunct/>
              <w:topLinePunct w:val="0"/>
              <w:autoSpaceDE w:val="0"/>
              <w:autoSpaceDN w:val="0"/>
              <w:bidi w:val="0"/>
              <w:adjustRightInd/>
              <w:snapToGrid/>
              <w:spacing w:before="27"/>
              <w:ind w:left="0" w:leftChars="0" w:right="-11"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施工期影响分析</w:t>
            </w:r>
          </w:p>
        </w:tc>
        <w:tc>
          <w:tcPr>
            <w:tcW w:w="3261" w:type="pct"/>
            <w:noWrap w:val="0"/>
            <w:vAlign w:val="center"/>
          </w:tcPr>
          <w:p w14:paraId="75999DC9">
            <w:pPr>
              <w:pStyle w:val="69"/>
              <w:keepNext w:val="0"/>
              <w:keepLines w:val="0"/>
              <w:pageBreakBefore w:val="0"/>
              <w:widowControl w:val="0"/>
              <w:kinsoku/>
              <w:wordWrap/>
              <w:overflowPunct/>
              <w:topLinePunct w:val="0"/>
              <w:autoSpaceDE w:val="0"/>
              <w:autoSpaceDN w:val="0"/>
              <w:bidi w:val="0"/>
              <w:adjustRightInd/>
              <w:snapToGrid/>
              <w:spacing w:before="27"/>
              <w:ind w:left="0" w:leftChars="0" w:right="-11"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植被、水土流失</w:t>
            </w:r>
          </w:p>
        </w:tc>
      </w:tr>
      <w:tr w14:paraId="0FDC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25" w:type="pct"/>
            <w:vMerge w:val="continue"/>
            <w:noWrap w:val="0"/>
            <w:vAlign w:val="center"/>
          </w:tcPr>
          <w:p w14:paraId="52FC4786">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112" w:type="pct"/>
            <w:noWrap w:val="0"/>
            <w:vAlign w:val="center"/>
          </w:tcPr>
          <w:p w14:paraId="7E0CEA8E">
            <w:pPr>
              <w:pStyle w:val="69"/>
              <w:keepNext w:val="0"/>
              <w:keepLines w:val="0"/>
              <w:pageBreakBefore w:val="0"/>
              <w:widowControl w:val="0"/>
              <w:kinsoku/>
              <w:wordWrap/>
              <w:overflowPunct/>
              <w:topLinePunct w:val="0"/>
              <w:autoSpaceDE w:val="0"/>
              <w:autoSpaceDN w:val="0"/>
              <w:bidi w:val="0"/>
              <w:adjustRightInd/>
              <w:snapToGrid/>
              <w:spacing w:before="27"/>
              <w:ind w:left="0" w:leftChars="0" w:right="-11"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运营期影响分析</w:t>
            </w:r>
          </w:p>
        </w:tc>
        <w:tc>
          <w:tcPr>
            <w:tcW w:w="3261" w:type="pct"/>
            <w:noWrap w:val="0"/>
            <w:vAlign w:val="center"/>
          </w:tcPr>
          <w:p w14:paraId="78924BEA">
            <w:pPr>
              <w:pStyle w:val="69"/>
              <w:keepNext w:val="0"/>
              <w:keepLines w:val="0"/>
              <w:pageBreakBefore w:val="0"/>
              <w:widowControl w:val="0"/>
              <w:kinsoku/>
              <w:wordWrap/>
              <w:overflowPunct/>
              <w:topLinePunct w:val="0"/>
              <w:autoSpaceDE w:val="0"/>
              <w:autoSpaceDN w:val="0"/>
              <w:bidi w:val="0"/>
              <w:adjustRightInd/>
              <w:snapToGrid/>
              <w:spacing w:before="27"/>
              <w:ind w:left="0" w:leftChars="0" w:right="-11" w:righ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绿化</w:t>
            </w:r>
            <w:r>
              <w:rPr>
                <w:rFonts w:hint="default" w:ascii="Times New Roman" w:hAnsi="Times New Roman" w:cs="Times New Roman"/>
                <w:color w:val="auto"/>
                <w:sz w:val="21"/>
                <w:szCs w:val="21"/>
                <w:highlight w:val="none"/>
                <w:lang w:eastAsia="zh-CN"/>
              </w:rPr>
              <w:t>、生态恢复</w:t>
            </w:r>
          </w:p>
        </w:tc>
      </w:tr>
      <w:tr w14:paraId="4488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625" w:type="pct"/>
            <w:noWrap w:val="0"/>
            <w:vAlign w:val="center"/>
          </w:tcPr>
          <w:p w14:paraId="52DBE1C6">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w:t>
            </w:r>
          </w:p>
        </w:tc>
        <w:tc>
          <w:tcPr>
            <w:tcW w:w="1112" w:type="pct"/>
            <w:noWrap w:val="0"/>
            <w:vAlign w:val="center"/>
          </w:tcPr>
          <w:p w14:paraId="4AC3F0D4">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3261" w:type="pct"/>
            <w:noWrap w:val="0"/>
            <w:vAlign w:val="center"/>
          </w:tcPr>
          <w:p w14:paraId="0E524344">
            <w:pPr>
              <w:pStyle w:val="69"/>
              <w:spacing w:before="27"/>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干草场火灾、高致病疫情</w:t>
            </w:r>
          </w:p>
        </w:tc>
      </w:tr>
    </w:tbl>
    <w:p w14:paraId="221AF48B">
      <w:pPr>
        <w:pStyle w:val="3"/>
        <w:bidi w:val="0"/>
        <w:rPr>
          <w:rFonts w:hint="default" w:ascii="Times New Roman" w:hAnsi="Times New Roman" w:cs="Times New Roman"/>
          <w:color w:val="auto"/>
        </w:rPr>
      </w:pPr>
      <w:bookmarkStart w:id="22" w:name="_Toc28354"/>
      <w:bookmarkStart w:id="23" w:name="_Toc20556"/>
      <w:r>
        <w:rPr>
          <w:rFonts w:hint="default" w:ascii="Times New Roman" w:hAnsi="Times New Roman" w:cs="Times New Roman"/>
          <w:color w:val="auto"/>
        </w:rPr>
        <w:t>评价标准</w:t>
      </w:r>
      <w:bookmarkEnd w:id="22"/>
      <w:bookmarkEnd w:id="23"/>
    </w:p>
    <w:p w14:paraId="04E444BA">
      <w:pPr>
        <w:pStyle w:val="16"/>
        <w:bidi w:val="0"/>
        <w:rPr>
          <w:rFonts w:hint="default" w:ascii="Times New Roman" w:hAnsi="Times New Roman" w:cs="Times New Roman"/>
          <w:color w:val="auto"/>
        </w:rPr>
      </w:pPr>
      <w:r>
        <w:rPr>
          <w:rFonts w:hint="default" w:ascii="Times New Roman" w:hAnsi="Times New Roman" w:cs="Times New Roman"/>
          <w:color w:val="auto"/>
        </w:rPr>
        <w:t>环境质量标准详见表</w:t>
      </w:r>
      <w:r>
        <w:rPr>
          <w:rFonts w:hint="default" w:ascii="Times New Roman" w:hAnsi="Times New Roman" w:cs="Times New Roman"/>
          <w:color w:val="auto"/>
          <w:lang w:val="en-US"/>
        </w:rPr>
        <w:t>2</w:t>
      </w:r>
      <w:r>
        <w:rPr>
          <w:rFonts w:hint="default" w:ascii="Times New Roman" w:hAnsi="Times New Roman" w:cs="Times New Roman"/>
          <w:color w:val="auto"/>
        </w:rPr>
        <w:t>.4-1~表</w:t>
      </w:r>
      <w:r>
        <w:rPr>
          <w:rFonts w:hint="default" w:ascii="Times New Roman" w:hAnsi="Times New Roman" w:cs="Times New Roman"/>
          <w:color w:val="auto"/>
          <w:lang w:val="en-US"/>
        </w:rPr>
        <w:t>2.4-</w:t>
      </w:r>
      <w:r>
        <w:rPr>
          <w:rFonts w:hint="default" w:ascii="Times New Roman" w:hAnsi="Times New Roman" w:cs="Times New Roman"/>
          <w:color w:val="auto"/>
          <w:lang w:val="en-US" w:eastAsia="zh-CN"/>
        </w:rPr>
        <w:t>3</w:t>
      </w:r>
      <w:r>
        <w:rPr>
          <w:rFonts w:hint="default" w:ascii="Times New Roman" w:hAnsi="Times New Roman" w:cs="Times New Roman"/>
          <w:color w:val="auto"/>
        </w:rPr>
        <w:t>，污染物排放标准详见</w:t>
      </w:r>
      <w:r>
        <w:rPr>
          <w:rFonts w:hint="default" w:ascii="Times New Roman" w:hAnsi="Times New Roman" w:cs="Times New Roman"/>
          <w:color w:val="auto"/>
          <w:lang w:val="en-US"/>
        </w:rPr>
        <w:t>2</w:t>
      </w:r>
      <w:r>
        <w:rPr>
          <w:rFonts w:hint="default" w:ascii="Times New Roman" w:hAnsi="Times New Roman" w:cs="Times New Roman"/>
          <w:color w:val="auto"/>
        </w:rPr>
        <w:t>.4-</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14:paraId="3CD6AE7C">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环境质量评价标准一览表</w:t>
      </w:r>
    </w:p>
    <w:tbl>
      <w:tblPr>
        <w:tblStyle w:val="33"/>
        <w:tblW w:w="521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591"/>
        <w:gridCol w:w="617"/>
        <w:gridCol w:w="2579"/>
        <w:gridCol w:w="2108"/>
        <w:gridCol w:w="1852"/>
        <w:gridCol w:w="938"/>
      </w:tblGrid>
      <w:tr w14:paraId="22B171C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340" w:type="pct"/>
            <w:vMerge w:val="restart"/>
            <w:tcBorders>
              <w:tl2br w:val="nil"/>
              <w:tr2bl w:val="nil"/>
            </w:tcBorders>
            <w:noWrap w:val="0"/>
            <w:vAlign w:val="center"/>
          </w:tcPr>
          <w:p w14:paraId="670C03DD">
            <w:pPr>
              <w:pStyle w:val="69"/>
              <w:spacing w:before="6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标准</w:t>
            </w:r>
          </w:p>
          <w:p w14:paraId="1EF98762">
            <w:pPr>
              <w:pStyle w:val="69"/>
              <w:spacing w:before="6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类型</w:t>
            </w:r>
          </w:p>
        </w:tc>
        <w:tc>
          <w:tcPr>
            <w:tcW w:w="355" w:type="pct"/>
            <w:vMerge w:val="restart"/>
            <w:tcBorders>
              <w:tl2br w:val="nil"/>
              <w:tr2bl w:val="nil"/>
            </w:tcBorders>
            <w:noWrap w:val="0"/>
            <w:vAlign w:val="center"/>
          </w:tcPr>
          <w:p w14:paraId="3F8B2B87">
            <w:pPr>
              <w:pStyle w:val="69"/>
              <w:spacing w:before="6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w:t>
            </w:r>
          </w:p>
          <w:p w14:paraId="41922A4A">
            <w:pPr>
              <w:pStyle w:val="69"/>
              <w:spacing w:before="6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要素</w:t>
            </w:r>
          </w:p>
        </w:tc>
        <w:tc>
          <w:tcPr>
            <w:tcW w:w="1484" w:type="pct"/>
            <w:vMerge w:val="restart"/>
            <w:tcBorders>
              <w:tl2br w:val="nil"/>
              <w:tr2bl w:val="nil"/>
            </w:tcBorders>
            <w:noWrap w:val="0"/>
            <w:vAlign w:val="center"/>
          </w:tcPr>
          <w:p w14:paraId="71782733">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标准及级别</w:t>
            </w:r>
          </w:p>
        </w:tc>
        <w:tc>
          <w:tcPr>
            <w:tcW w:w="2819" w:type="pct"/>
            <w:gridSpan w:val="3"/>
            <w:tcBorders>
              <w:tl2br w:val="nil"/>
              <w:tr2bl w:val="nil"/>
            </w:tcBorders>
            <w:noWrap w:val="0"/>
            <w:vAlign w:val="center"/>
          </w:tcPr>
          <w:p w14:paraId="3DB1ACE9">
            <w:pPr>
              <w:pStyle w:val="69"/>
              <w:spacing w:before="31"/>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主要评价因子及标准值</w:t>
            </w:r>
          </w:p>
        </w:tc>
      </w:tr>
      <w:tr w14:paraId="7910AA4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40" w:type="pct"/>
            <w:vMerge w:val="continue"/>
            <w:tcBorders>
              <w:tl2br w:val="nil"/>
              <w:tr2bl w:val="nil"/>
            </w:tcBorders>
            <w:noWrap w:val="0"/>
            <w:vAlign w:val="center"/>
          </w:tcPr>
          <w:p w14:paraId="50C2B58E">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4E078029">
            <w:pPr>
              <w:ind w:left="0" w:leftChars="0" w:right="-10" w:rightChars="0" w:firstLine="0" w:firstLineChars="0"/>
              <w:jc w:val="center"/>
              <w:rPr>
                <w:rFonts w:hint="default" w:ascii="Times New Roman" w:hAnsi="Times New Roman" w:cs="Times New Roman"/>
                <w:color w:val="auto"/>
                <w:sz w:val="2"/>
                <w:szCs w:val="2"/>
                <w:highlight w:val="none"/>
              </w:rPr>
            </w:pPr>
          </w:p>
        </w:tc>
        <w:tc>
          <w:tcPr>
            <w:tcW w:w="1484" w:type="pct"/>
            <w:vMerge w:val="continue"/>
            <w:tcBorders>
              <w:tl2br w:val="nil"/>
              <w:tr2bl w:val="nil"/>
            </w:tcBorders>
            <w:noWrap w:val="0"/>
            <w:vAlign w:val="center"/>
          </w:tcPr>
          <w:p w14:paraId="7CCF6D61">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2E14EEF4">
            <w:pPr>
              <w:pStyle w:val="69"/>
              <w:spacing w:before="30"/>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项目及单位</w:t>
            </w:r>
          </w:p>
        </w:tc>
        <w:tc>
          <w:tcPr>
            <w:tcW w:w="1606" w:type="pct"/>
            <w:gridSpan w:val="2"/>
            <w:tcBorders>
              <w:tl2br w:val="nil"/>
              <w:tr2bl w:val="nil"/>
            </w:tcBorders>
            <w:noWrap w:val="0"/>
            <w:vAlign w:val="center"/>
          </w:tcPr>
          <w:p w14:paraId="3D5472F6">
            <w:pPr>
              <w:pStyle w:val="69"/>
              <w:spacing w:before="30"/>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标准值</w:t>
            </w:r>
          </w:p>
        </w:tc>
      </w:tr>
      <w:tr w14:paraId="4669B4A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340" w:type="pct"/>
            <w:vMerge w:val="restart"/>
            <w:tcBorders>
              <w:tl2br w:val="nil"/>
              <w:tr2bl w:val="nil"/>
            </w:tcBorders>
            <w:noWrap w:val="0"/>
            <w:vAlign w:val="center"/>
          </w:tcPr>
          <w:p w14:paraId="61057ECD">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质</w:t>
            </w:r>
          </w:p>
          <w:p w14:paraId="20371122">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量</w:t>
            </w:r>
          </w:p>
          <w:p w14:paraId="3E8F3B0E">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w:t>
            </w:r>
          </w:p>
          <w:p w14:paraId="7326A011">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准</w:t>
            </w:r>
          </w:p>
        </w:tc>
        <w:tc>
          <w:tcPr>
            <w:tcW w:w="355" w:type="pct"/>
            <w:vMerge w:val="restart"/>
            <w:tcBorders>
              <w:tl2br w:val="nil"/>
              <w:tr2bl w:val="nil"/>
            </w:tcBorders>
            <w:noWrap w:val="0"/>
            <w:vAlign w:val="center"/>
          </w:tcPr>
          <w:p w14:paraId="14DA5B35">
            <w:pPr>
              <w:pStyle w:val="69"/>
              <w:spacing w:before="1"/>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大气</w:t>
            </w:r>
          </w:p>
          <w:p w14:paraId="1D8A7DA0">
            <w:pPr>
              <w:pStyle w:val="69"/>
              <w:spacing w:before="1"/>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w:t>
            </w:r>
          </w:p>
        </w:tc>
        <w:tc>
          <w:tcPr>
            <w:tcW w:w="1484" w:type="pct"/>
            <w:vMerge w:val="restart"/>
            <w:tcBorders>
              <w:tl2br w:val="nil"/>
              <w:tr2bl w:val="nil"/>
            </w:tcBorders>
            <w:noWrap w:val="0"/>
            <w:vAlign w:val="center"/>
          </w:tcPr>
          <w:p w14:paraId="3063F638">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《环境空气质量标准》（</w:t>
            </w:r>
            <w:r>
              <w:rPr>
                <w:rFonts w:hint="default" w:ascii="Times New Roman" w:hAnsi="Times New Roman" w:eastAsia="Times New Roman" w:cs="Times New Roman"/>
                <w:color w:val="auto"/>
                <w:sz w:val="21"/>
                <w:highlight w:val="none"/>
              </w:rPr>
              <w:t>GB3095-2012</w:t>
            </w:r>
            <w:r>
              <w:rPr>
                <w:rFonts w:hint="default" w:ascii="Times New Roman" w:hAnsi="Times New Roman" w:cs="Times New Roman"/>
                <w:color w:val="auto"/>
                <w:sz w:val="21"/>
                <w:highlight w:val="none"/>
              </w:rPr>
              <w:t>）二级标准</w:t>
            </w:r>
          </w:p>
        </w:tc>
        <w:tc>
          <w:tcPr>
            <w:tcW w:w="1213" w:type="pct"/>
            <w:tcBorders>
              <w:tl2br w:val="nil"/>
              <w:tr2bl w:val="nil"/>
            </w:tcBorders>
            <w:noWrap w:val="0"/>
            <w:vAlign w:val="center"/>
          </w:tcPr>
          <w:p w14:paraId="0EB65D9E">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18"/>
                <w:highlight w:val="none"/>
              </w:rPr>
              <w:t>CO</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mg/Nm</w:t>
            </w:r>
            <w:r>
              <w:rPr>
                <w:rFonts w:hint="default" w:ascii="Times New Roman" w:hAnsi="Times New Roman" w:eastAsia="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066" w:type="pct"/>
            <w:tcBorders>
              <w:tl2br w:val="nil"/>
              <w:tr2bl w:val="nil"/>
            </w:tcBorders>
            <w:noWrap w:val="0"/>
            <w:vAlign w:val="center"/>
          </w:tcPr>
          <w:p w14:paraId="7F0CE5A2">
            <w:pPr>
              <w:pStyle w:val="69"/>
              <w:spacing w:before="30"/>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24小时平均</w:t>
            </w:r>
          </w:p>
        </w:tc>
        <w:tc>
          <w:tcPr>
            <w:tcW w:w="539" w:type="pct"/>
            <w:tcBorders>
              <w:tl2br w:val="nil"/>
              <w:tr2bl w:val="nil"/>
            </w:tcBorders>
            <w:noWrap w:val="0"/>
            <w:vAlign w:val="center"/>
          </w:tcPr>
          <w:p w14:paraId="3BF018DA">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w:t>
            </w:r>
          </w:p>
        </w:tc>
      </w:tr>
      <w:tr w14:paraId="3AFABFD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67E0FFBC">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18E8B422">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53187F6D">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restart"/>
            <w:tcBorders>
              <w:tl2br w:val="nil"/>
              <w:tr2bl w:val="nil"/>
            </w:tcBorders>
            <w:noWrap w:val="0"/>
            <w:vAlign w:val="center"/>
          </w:tcPr>
          <w:p w14:paraId="67986E16">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21"/>
                <w:highlight w:val="none"/>
              </w:rPr>
              <w:t>NO</w:t>
            </w:r>
            <w:r>
              <w:rPr>
                <w:rFonts w:hint="default" w:ascii="Times New Roman" w:hAnsi="Times New Roman" w:eastAsia="Times New Roman" w:cs="Times New Roman"/>
                <w:color w:val="auto"/>
                <w:sz w:val="21"/>
                <w:highlight w:val="none"/>
                <w:vertAlign w:val="subscript"/>
              </w:rPr>
              <w:t>2</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18"/>
                <w:highlight w:val="none"/>
              </w:rPr>
              <w:t>µ</w:t>
            </w:r>
            <w:r>
              <w:rPr>
                <w:rFonts w:hint="default" w:ascii="Times New Roman" w:hAnsi="Times New Roman" w:eastAsia="Times New Roman" w:cs="Times New Roman"/>
                <w:color w:val="auto"/>
                <w:sz w:val="21"/>
                <w:highlight w:val="none"/>
              </w:rPr>
              <w:t>g/Nm</w:t>
            </w:r>
            <w:r>
              <w:rPr>
                <w:rFonts w:hint="default" w:ascii="Times New Roman" w:hAnsi="Times New Roman" w:eastAsia="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066" w:type="pct"/>
            <w:tcBorders>
              <w:tl2br w:val="nil"/>
              <w:tr2bl w:val="nil"/>
            </w:tcBorders>
            <w:noWrap w:val="0"/>
            <w:vAlign w:val="center"/>
          </w:tcPr>
          <w:p w14:paraId="682ADE46">
            <w:pPr>
              <w:pStyle w:val="69"/>
              <w:spacing w:before="1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年平均</w:t>
            </w:r>
          </w:p>
        </w:tc>
        <w:tc>
          <w:tcPr>
            <w:tcW w:w="539" w:type="pct"/>
            <w:tcBorders>
              <w:tl2br w:val="nil"/>
              <w:tr2bl w:val="nil"/>
            </w:tcBorders>
            <w:noWrap w:val="0"/>
            <w:vAlign w:val="center"/>
          </w:tcPr>
          <w:p w14:paraId="6545F5D9">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40</w:t>
            </w:r>
          </w:p>
        </w:tc>
      </w:tr>
      <w:tr w14:paraId="7EFAA23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156AD41E">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5FE7A773">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2126FFB8">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continue"/>
            <w:tcBorders>
              <w:tl2br w:val="nil"/>
              <w:tr2bl w:val="nil"/>
            </w:tcBorders>
            <w:noWrap w:val="0"/>
            <w:vAlign w:val="center"/>
          </w:tcPr>
          <w:p w14:paraId="217093C3">
            <w:pPr>
              <w:ind w:left="0" w:leftChars="0" w:right="-10" w:rightChars="0" w:firstLine="0" w:firstLineChars="0"/>
              <w:jc w:val="center"/>
              <w:rPr>
                <w:rFonts w:hint="default" w:ascii="Times New Roman" w:hAnsi="Times New Roman" w:cs="Times New Roman"/>
                <w:color w:val="auto"/>
                <w:sz w:val="2"/>
                <w:szCs w:val="2"/>
                <w:highlight w:val="none"/>
              </w:rPr>
            </w:pPr>
          </w:p>
        </w:tc>
        <w:tc>
          <w:tcPr>
            <w:tcW w:w="1066" w:type="pct"/>
            <w:tcBorders>
              <w:tl2br w:val="nil"/>
              <w:tr2bl w:val="nil"/>
            </w:tcBorders>
            <w:noWrap w:val="0"/>
            <w:vAlign w:val="center"/>
          </w:tcPr>
          <w:p w14:paraId="359A6CEA">
            <w:pPr>
              <w:pStyle w:val="69"/>
              <w:spacing w:before="20"/>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24小时平均</w:t>
            </w:r>
          </w:p>
        </w:tc>
        <w:tc>
          <w:tcPr>
            <w:tcW w:w="539" w:type="pct"/>
            <w:tcBorders>
              <w:tl2br w:val="nil"/>
              <w:tr2bl w:val="nil"/>
            </w:tcBorders>
            <w:noWrap w:val="0"/>
            <w:vAlign w:val="center"/>
          </w:tcPr>
          <w:p w14:paraId="7C7D31AE">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80</w:t>
            </w:r>
          </w:p>
        </w:tc>
      </w:tr>
      <w:tr w14:paraId="47E79DC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340" w:type="pct"/>
            <w:vMerge w:val="continue"/>
            <w:tcBorders>
              <w:tl2br w:val="nil"/>
              <w:tr2bl w:val="nil"/>
            </w:tcBorders>
            <w:noWrap w:val="0"/>
            <w:vAlign w:val="center"/>
          </w:tcPr>
          <w:p w14:paraId="510C0FD2">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6186CAEB">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2649F383">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restart"/>
            <w:tcBorders>
              <w:tl2br w:val="nil"/>
              <w:tr2bl w:val="nil"/>
            </w:tcBorders>
            <w:noWrap w:val="0"/>
            <w:vAlign w:val="center"/>
          </w:tcPr>
          <w:p w14:paraId="19C40118">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21"/>
                <w:highlight w:val="none"/>
              </w:rPr>
              <w:t>PM</w:t>
            </w:r>
            <w:r>
              <w:rPr>
                <w:rFonts w:hint="default" w:ascii="Times New Roman" w:hAnsi="Times New Roman" w:eastAsia="Times New Roman" w:cs="Times New Roman"/>
                <w:color w:val="auto"/>
                <w:sz w:val="21"/>
                <w:highlight w:val="none"/>
                <w:vertAlign w:val="subscript"/>
              </w:rPr>
              <w:t>2.5</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18"/>
                <w:highlight w:val="none"/>
              </w:rPr>
              <w:t>µ</w:t>
            </w:r>
            <w:r>
              <w:rPr>
                <w:rFonts w:hint="default" w:ascii="Times New Roman" w:hAnsi="Times New Roman" w:eastAsia="Times New Roman" w:cs="Times New Roman"/>
                <w:color w:val="auto"/>
                <w:sz w:val="21"/>
                <w:highlight w:val="none"/>
              </w:rPr>
              <w:t>g/Nm</w:t>
            </w:r>
            <w:r>
              <w:rPr>
                <w:rFonts w:hint="default" w:ascii="Times New Roman" w:hAnsi="Times New Roman" w:eastAsia="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066" w:type="pct"/>
            <w:tcBorders>
              <w:tl2br w:val="nil"/>
              <w:tr2bl w:val="nil"/>
            </w:tcBorders>
            <w:noWrap w:val="0"/>
            <w:vAlign w:val="center"/>
          </w:tcPr>
          <w:p w14:paraId="350490FA">
            <w:pPr>
              <w:pStyle w:val="69"/>
              <w:spacing w:before="22"/>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年平均</w:t>
            </w:r>
          </w:p>
        </w:tc>
        <w:tc>
          <w:tcPr>
            <w:tcW w:w="539" w:type="pct"/>
            <w:tcBorders>
              <w:tl2br w:val="nil"/>
              <w:tr2bl w:val="nil"/>
            </w:tcBorders>
            <w:noWrap w:val="0"/>
            <w:vAlign w:val="center"/>
          </w:tcPr>
          <w:p w14:paraId="6E426561">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35</w:t>
            </w:r>
          </w:p>
        </w:tc>
      </w:tr>
      <w:tr w14:paraId="4AD3C80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3A6F02A8">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4125135A">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125FC56B">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continue"/>
            <w:tcBorders>
              <w:tl2br w:val="nil"/>
              <w:tr2bl w:val="nil"/>
            </w:tcBorders>
            <w:noWrap w:val="0"/>
            <w:vAlign w:val="center"/>
          </w:tcPr>
          <w:p w14:paraId="66E88C83">
            <w:pPr>
              <w:ind w:left="0" w:leftChars="0" w:right="-10" w:rightChars="0" w:firstLine="0" w:firstLineChars="0"/>
              <w:jc w:val="center"/>
              <w:rPr>
                <w:rFonts w:hint="default" w:ascii="Times New Roman" w:hAnsi="Times New Roman" w:cs="Times New Roman"/>
                <w:color w:val="auto"/>
                <w:sz w:val="2"/>
                <w:szCs w:val="2"/>
                <w:highlight w:val="none"/>
              </w:rPr>
            </w:pPr>
          </w:p>
        </w:tc>
        <w:tc>
          <w:tcPr>
            <w:tcW w:w="1066" w:type="pct"/>
            <w:tcBorders>
              <w:tl2br w:val="nil"/>
              <w:tr2bl w:val="nil"/>
            </w:tcBorders>
            <w:noWrap w:val="0"/>
            <w:vAlign w:val="center"/>
          </w:tcPr>
          <w:p w14:paraId="70E38E11">
            <w:pPr>
              <w:pStyle w:val="69"/>
              <w:spacing w:before="22"/>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24小时平均</w:t>
            </w:r>
          </w:p>
        </w:tc>
        <w:tc>
          <w:tcPr>
            <w:tcW w:w="539" w:type="pct"/>
            <w:tcBorders>
              <w:tl2br w:val="nil"/>
              <w:tr2bl w:val="nil"/>
            </w:tcBorders>
            <w:noWrap w:val="0"/>
            <w:vAlign w:val="center"/>
          </w:tcPr>
          <w:p w14:paraId="2037E038">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w:t>
            </w:r>
          </w:p>
        </w:tc>
      </w:tr>
      <w:tr w14:paraId="67E967E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2F50A8E8">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1201891B">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008F6724">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restart"/>
            <w:tcBorders>
              <w:tl2br w:val="nil"/>
              <w:tr2bl w:val="nil"/>
            </w:tcBorders>
            <w:noWrap w:val="0"/>
            <w:vAlign w:val="center"/>
          </w:tcPr>
          <w:p w14:paraId="12A79CA6">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18"/>
                <w:highlight w:val="none"/>
              </w:rPr>
              <w:t>PM</w:t>
            </w:r>
            <w:r>
              <w:rPr>
                <w:rFonts w:hint="default" w:ascii="Times New Roman" w:hAnsi="Times New Roman" w:eastAsia="Times New Roman" w:cs="Times New Roman"/>
                <w:color w:val="auto"/>
                <w:sz w:val="18"/>
                <w:highlight w:val="none"/>
                <w:vertAlign w:val="subscript"/>
              </w:rPr>
              <w:t>10</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18"/>
                <w:highlight w:val="none"/>
              </w:rPr>
              <w:t>µ</w:t>
            </w:r>
            <w:r>
              <w:rPr>
                <w:rFonts w:hint="default" w:ascii="Times New Roman" w:hAnsi="Times New Roman" w:eastAsia="Times New Roman" w:cs="Times New Roman"/>
                <w:color w:val="auto"/>
                <w:sz w:val="21"/>
                <w:highlight w:val="none"/>
              </w:rPr>
              <w:t>g/Nm</w:t>
            </w:r>
            <w:r>
              <w:rPr>
                <w:rFonts w:hint="default" w:ascii="Times New Roman" w:hAnsi="Times New Roman" w:eastAsia="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066" w:type="pct"/>
            <w:tcBorders>
              <w:tl2br w:val="nil"/>
              <w:tr2bl w:val="nil"/>
            </w:tcBorders>
            <w:noWrap w:val="0"/>
            <w:vAlign w:val="center"/>
          </w:tcPr>
          <w:p w14:paraId="29AC4FB8">
            <w:pPr>
              <w:pStyle w:val="69"/>
              <w:spacing w:before="22"/>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年平均</w:t>
            </w:r>
          </w:p>
        </w:tc>
        <w:tc>
          <w:tcPr>
            <w:tcW w:w="539" w:type="pct"/>
            <w:tcBorders>
              <w:tl2br w:val="nil"/>
              <w:tr2bl w:val="nil"/>
            </w:tcBorders>
            <w:noWrap w:val="0"/>
            <w:vAlign w:val="center"/>
          </w:tcPr>
          <w:p w14:paraId="54724ACA">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70</w:t>
            </w:r>
          </w:p>
        </w:tc>
      </w:tr>
      <w:tr w14:paraId="55DB61D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340" w:type="pct"/>
            <w:vMerge w:val="continue"/>
            <w:tcBorders>
              <w:tl2br w:val="nil"/>
              <w:tr2bl w:val="nil"/>
            </w:tcBorders>
            <w:noWrap w:val="0"/>
            <w:vAlign w:val="center"/>
          </w:tcPr>
          <w:p w14:paraId="0CCC8120">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005EF7A4">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6B5DEDFC">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continue"/>
            <w:tcBorders>
              <w:tl2br w:val="nil"/>
              <w:tr2bl w:val="nil"/>
            </w:tcBorders>
            <w:noWrap w:val="0"/>
            <w:vAlign w:val="center"/>
          </w:tcPr>
          <w:p w14:paraId="668A69C8">
            <w:pPr>
              <w:ind w:left="0" w:leftChars="0" w:right="-10" w:rightChars="0" w:firstLine="0" w:firstLineChars="0"/>
              <w:jc w:val="center"/>
              <w:rPr>
                <w:rFonts w:hint="default" w:ascii="Times New Roman" w:hAnsi="Times New Roman" w:cs="Times New Roman"/>
                <w:color w:val="auto"/>
                <w:sz w:val="2"/>
                <w:szCs w:val="2"/>
                <w:highlight w:val="none"/>
              </w:rPr>
            </w:pPr>
          </w:p>
        </w:tc>
        <w:tc>
          <w:tcPr>
            <w:tcW w:w="1066" w:type="pct"/>
            <w:tcBorders>
              <w:tl2br w:val="nil"/>
              <w:tr2bl w:val="nil"/>
            </w:tcBorders>
            <w:noWrap w:val="0"/>
            <w:vAlign w:val="center"/>
          </w:tcPr>
          <w:p w14:paraId="7BFD9584">
            <w:pPr>
              <w:pStyle w:val="69"/>
              <w:spacing w:before="22"/>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24小时平均</w:t>
            </w:r>
          </w:p>
        </w:tc>
        <w:tc>
          <w:tcPr>
            <w:tcW w:w="539" w:type="pct"/>
            <w:tcBorders>
              <w:tl2br w:val="nil"/>
              <w:tr2bl w:val="nil"/>
            </w:tcBorders>
            <w:noWrap w:val="0"/>
            <w:vAlign w:val="center"/>
          </w:tcPr>
          <w:p w14:paraId="076AFF9A">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150</w:t>
            </w:r>
          </w:p>
        </w:tc>
      </w:tr>
      <w:tr w14:paraId="653F3FA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56B203FF">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3F192377">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3B126E26">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2024D161">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18"/>
                <w:highlight w:val="none"/>
              </w:rPr>
              <w:t>O</w:t>
            </w:r>
            <w:r>
              <w:rPr>
                <w:rFonts w:hint="default" w:ascii="Times New Roman" w:hAnsi="Times New Roman" w:eastAsia="Times New Roman" w:cs="Times New Roman"/>
                <w:color w:val="auto"/>
                <w:sz w:val="18"/>
                <w:highlight w:val="none"/>
                <w:vertAlign w:val="subscript"/>
              </w:rPr>
              <w:t>3</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18"/>
                <w:highlight w:val="none"/>
              </w:rPr>
              <w:t>µ</w:t>
            </w:r>
            <w:r>
              <w:rPr>
                <w:rFonts w:hint="default" w:ascii="Times New Roman" w:hAnsi="Times New Roman" w:eastAsia="Times New Roman" w:cs="Times New Roman"/>
                <w:color w:val="auto"/>
                <w:sz w:val="21"/>
                <w:highlight w:val="none"/>
              </w:rPr>
              <w:t>g/Nm</w:t>
            </w:r>
            <w:r>
              <w:rPr>
                <w:rFonts w:hint="default" w:ascii="Times New Roman" w:hAnsi="Times New Roman" w:eastAsia="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066" w:type="pct"/>
            <w:tcBorders>
              <w:tl2br w:val="nil"/>
              <w:tr2bl w:val="nil"/>
            </w:tcBorders>
            <w:noWrap w:val="0"/>
            <w:vAlign w:val="center"/>
          </w:tcPr>
          <w:p w14:paraId="08921CCE">
            <w:pPr>
              <w:pStyle w:val="69"/>
              <w:spacing w:before="1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日最大8小时平均</w:t>
            </w:r>
          </w:p>
        </w:tc>
        <w:tc>
          <w:tcPr>
            <w:tcW w:w="539" w:type="pct"/>
            <w:tcBorders>
              <w:tl2br w:val="nil"/>
              <w:tr2bl w:val="nil"/>
            </w:tcBorders>
            <w:noWrap w:val="0"/>
            <w:vAlign w:val="center"/>
          </w:tcPr>
          <w:p w14:paraId="6273718B">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160</w:t>
            </w:r>
          </w:p>
        </w:tc>
      </w:tr>
      <w:tr w14:paraId="138D3FD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30344030">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5EB6D6A8">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127430D2">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restart"/>
            <w:tcBorders>
              <w:tl2br w:val="nil"/>
              <w:tr2bl w:val="nil"/>
            </w:tcBorders>
            <w:noWrap w:val="0"/>
            <w:vAlign w:val="center"/>
          </w:tcPr>
          <w:p w14:paraId="02C21B54">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21"/>
                <w:highlight w:val="none"/>
              </w:rPr>
              <w:t>SO</w:t>
            </w:r>
            <w:r>
              <w:rPr>
                <w:rFonts w:hint="default" w:ascii="Times New Roman" w:hAnsi="Times New Roman" w:eastAsia="Times New Roman" w:cs="Times New Roman"/>
                <w:color w:val="auto"/>
                <w:sz w:val="21"/>
                <w:highlight w:val="none"/>
                <w:vertAlign w:val="subscript"/>
              </w:rPr>
              <w:t>2</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18"/>
                <w:highlight w:val="none"/>
              </w:rPr>
              <w:t>µ</w:t>
            </w:r>
            <w:r>
              <w:rPr>
                <w:rFonts w:hint="default" w:ascii="Times New Roman" w:hAnsi="Times New Roman" w:eastAsia="Times New Roman" w:cs="Times New Roman"/>
                <w:color w:val="auto"/>
                <w:sz w:val="21"/>
                <w:highlight w:val="none"/>
              </w:rPr>
              <w:t>g/Nm</w:t>
            </w:r>
            <w:r>
              <w:rPr>
                <w:rFonts w:hint="default" w:ascii="Times New Roman" w:hAnsi="Times New Roman" w:eastAsia="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066" w:type="pct"/>
            <w:tcBorders>
              <w:tl2br w:val="nil"/>
              <w:tr2bl w:val="nil"/>
            </w:tcBorders>
            <w:noWrap w:val="0"/>
            <w:vAlign w:val="center"/>
          </w:tcPr>
          <w:p w14:paraId="2399EBF5">
            <w:pPr>
              <w:pStyle w:val="69"/>
              <w:spacing w:before="20"/>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年平均</w:t>
            </w:r>
          </w:p>
        </w:tc>
        <w:tc>
          <w:tcPr>
            <w:tcW w:w="539" w:type="pct"/>
            <w:tcBorders>
              <w:tl2br w:val="nil"/>
              <w:tr2bl w:val="nil"/>
            </w:tcBorders>
            <w:noWrap w:val="0"/>
            <w:vAlign w:val="center"/>
          </w:tcPr>
          <w:p w14:paraId="4E6B1D8E">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60</w:t>
            </w:r>
          </w:p>
        </w:tc>
      </w:tr>
      <w:tr w14:paraId="7FD4E04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340" w:type="pct"/>
            <w:vMerge w:val="continue"/>
            <w:tcBorders>
              <w:tl2br w:val="nil"/>
              <w:tr2bl w:val="nil"/>
            </w:tcBorders>
            <w:noWrap w:val="0"/>
            <w:vAlign w:val="center"/>
          </w:tcPr>
          <w:p w14:paraId="65F83F45">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39815419">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25EF901C">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continue"/>
            <w:tcBorders>
              <w:tl2br w:val="nil"/>
              <w:tr2bl w:val="nil"/>
            </w:tcBorders>
            <w:noWrap w:val="0"/>
            <w:vAlign w:val="center"/>
          </w:tcPr>
          <w:p w14:paraId="786CC0E3">
            <w:pPr>
              <w:ind w:left="0" w:leftChars="0" w:right="-10" w:rightChars="0" w:firstLine="0" w:firstLineChars="0"/>
              <w:jc w:val="center"/>
              <w:rPr>
                <w:rFonts w:hint="default" w:ascii="Times New Roman" w:hAnsi="Times New Roman" w:cs="Times New Roman"/>
                <w:color w:val="auto"/>
                <w:sz w:val="2"/>
                <w:szCs w:val="2"/>
                <w:highlight w:val="none"/>
              </w:rPr>
            </w:pPr>
          </w:p>
        </w:tc>
        <w:tc>
          <w:tcPr>
            <w:tcW w:w="1066" w:type="pct"/>
            <w:tcBorders>
              <w:tl2br w:val="nil"/>
              <w:tr2bl w:val="nil"/>
            </w:tcBorders>
            <w:noWrap w:val="0"/>
            <w:vAlign w:val="center"/>
          </w:tcPr>
          <w:p w14:paraId="5B9224DF">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24小时平均</w:t>
            </w:r>
          </w:p>
        </w:tc>
        <w:tc>
          <w:tcPr>
            <w:tcW w:w="539" w:type="pct"/>
            <w:tcBorders>
              <w:tl2br w:val="nil"/>
              <w:tr2bl w:val="nil"/>
            </w:tcBorders>
            <w:noWrap w:val="0"/>
            <w:vAlign w:val="center"/>
          </w:tcPr>
          <w:p w14:paraId="2095CF09">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150</w:t>
            </w:r>
          </w:p>
        </w:tc>
      </w:tr>
      <w:tr w14:paraId="4C58250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340" w:type="pct"/>
            <w:vMerge w:val="continue"/>
            <w:tcBorders>
              <w:tl2br w:val="nil"/>
              <w:tr2bl w:val="nil"/>
            </w:tcBorders>
            <w:noWrap w:val="0"/>
            <w:vAlign w:val="center"/>
          </w:tcPr>
          <w:p w14:paraId="4E99D5B0">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0A66B9A6">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6D36FCAE">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restart"/>
            <w:tcBorders>
              <w:tl2br w:val="nil"/>
              <w:tr2bl w:val="nil"/>
            </w:tcBorders>
            <w:noWrap w:val="0"/>
            <w:vAlign w:val="center"/>
          </w:tcPr>
          <w:p w14:paraId="22F682ED">
            <w:pPr>
              <w:jc w:val="center"/>
              <w:rPr>
                <w:rFonts w:hint="default" w:ascii="Times New Roman" w:hAnsi="Times New Roman" w:cs="Times New Roman"/>
                <w:color w:val="auto"/>
                <w:sz w:val="21"/>
                <w:szCs w:val="21"/>
                <w:highlight w:val="none"/>
                <w:lang w:val="zh-CN" w:eastAsia="zh-CN" w:bidi="zh-CN"/>
              </w:rPr>
            </w:pPr>
            <w:r>
              <w:rPr>
                <w:rFonts w:hint="default" w:ascii="Times New Roman" w:hAnsi="Times New Roman" w:cs="Times New Roman"/>
                <w:color w:val="auto"/>
                <w:sz w:val="21"/>
                <w:szCs w:val="21"/>
                <w:highlight w:val="none"/>
                <w:lang w:val="en-US"/>
              </w:rPr>
              <w:t>N</w:t>
            </w:r>
            <w:r>
              <w:rPr>
                <w:rFonts w:hint="default" w:ascii="Times New Roman" w:hAnsi="Times New Roman" w:eastAsia="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lang w:val="en-US"/>
              </w:rPr>
              <w:t>x</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rPr>
              <w:t>µg/Nm</w:t>
            </w:r>
            <w:r>
              <w:rPr>
                <w:rFonts w:hint="default" w:ascii="Times New Roman" w:hAnsi="Times New Roman" w:eastAsia="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p w14:paraId="2EC56572">
            <w:pPr>
              <w:ind w:left="0" w:leftChars="0" w:right="-10" w:rightChars="0" w:firstLine="0" w:firstLineChars="0"/>
              <w:jc w:val="center"/>
              <w:rPr>
                <w:rFonts w:hint="default" w:ascii="Times New Roman" w:hAnsi="Times New Roman" w:cs="Times New Roman"/>
                <w:color w:val="auto"/>
                <w:sz w:val="2"/>
                <w:szCs w:val="2"/>
                <w:highlight w:val="none"/>
              </w:rPr>
            </w:pPr>
          </w:p>
        </w:tc>
        <w:tc>
          <w:tcPr>
            <w:tcW w:w="1066" w:type="pct"/>
            <w:tcBorders>
              <w:tl2br w:val="nil"/>
              <w:tr2bl w:val="nil"/>
            </w:tcBorders>
            <w:noWrap w:val="0"/>
            <w:vAlign w:val="center"/>
          </w:tcPr>
          <w:p w14:paraId="4BAF7B93">
            <w:pPr>
              <w:pStyle w:val="69"/>
              <w:ind w:right="4" w:rightChars="2"/>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rPr>
              <w:t>年平均</w:t>
            </w:r>
          </w:p>
        </w:tc>
        <w:tc>
          <w:tcPr>
            <w:tcW w:w="539" w:type="pct"/>
            <w:tcBorders>
              <w:tl2br w:val="nil"/>
              <w:tr2bl w:val="nil"/>
            </w:tcBorders>
            <w:noWrap w:val="0"/>
            <w:vAlign w:val="center"/>
          </w:tcPr>
          <w:p w14:paraId="460CD3AA">
            <w:pPr>
              <w:pStyle w:val="69"/>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rPr>
              <w:t>50</w:t>
            </w:r>
          </w:p>
        </w:tc>
      </w:tr>
      <w:tr w14:paraId="6DC19F6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340" w:type="pct"/>
            <w:vMerge w:val="continue"/>
            <w:tcBorders>
              <w:tl2br w:val="nil"/>
              <w:tr2bl w:val="nil"/>
            </w:tcBorders>
            <w:noWrap w:val="0"/>
            <w:vAlign w:val="center"/>
          </w:tcPr>
          <w:p w14:paraId="5C61A7C4">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705BABB2">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1BE8E0E9">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continue"/>
            <w:tcBorders>
              <w:tl2br w:val="nil"/>
              <w:tr2bl w:val="nil"/>
            </w:tcBorders>
            <w:noWrap w:val="0"/>
            <w:vAlign w:val="center"/>
          </w:tcPr>
          <w:p w14:paraId="75A2E83C">
            <w:pPr>
              <w:ind w:left="0" w:leftChars="0" w:right="-10" w:rightChars="0" w:firstLine="0" w:firstLineChars="0"/>
              <w:jc w:val="center"/>
              <w:rPr>
                <w:rFonts w:hint="default" w:ascii="Times New Roman" w:hAnsi="Times New Roman" w:cs="Times New Roman"/>
                <w:color w:val="auto"/>
                <w:sz w:val="2"/>
                <w:szCs w:val="2"/>
                <w:highlight w:val="none"/>
              </w:rPr>
            </w:pPr>
          </w:p>
        </w:tc>
        <w:tc>
          <w:tcPr>
            <w:tcW w:w="1066" w:type="pct"/>
            <w:tcBorders>
              <w:tl2br w:val="nil"/>
              <w:tr2bl w:val="nil"/>
            </w:tcBorders>
            <w:noWrap w:val="0"/>
            <w:vAlign w:val="center"/>
          </w:tcPr>
          <w:p w14:paraId="1907B079">
            <w:pPr>
              <w:pStyle w:val="69"/>
              <w:ind w:right="4" w:rightChars="2"/>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rPr>
              <w:t>24小时平均</w:t>
            </w:r>
          </w:p>
        </w:tc>
        <w:tc>
          <w:tcPr>
            <w:tcW w:w="539" w:type="pct"/>
            <w:tcBorders>
              <w:tl2br w:val="nil"/>
              <w:tr2bl w:val="nil"/>
            </w:tcBorders>
            <w:noWrap w:val="0"/>
            <w:vAlign w:val="center"/>
          </w:tcPr>
          <w:p w14:paraId="7CE84D9E">
            <w:pPr>
              <w:pStyle w:val="69"/>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rPr>
              <w:t>100</w:t>
            </w:r>
          </w:p>
        </w:tc>
      </w:tr>
      <w:tr w14:paraId="2A9A4F0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340" w:type="pct"/>
            <w:vMerge w:val="continue"/>
            <w:tcBorders>
              <w:tl2br w:val="nil"/>
              <w:tr2bl w:val="nil"/>
            </w:tcBorders>
            <w:noWrap w:val="0"/>
            <w:vAlign w:val="center"/>
          </w:tcPr>
          <w:p w14:paraId="7B247F4D">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28A5475A">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19556F06">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continue"/>
            <w:tcBorders>
              <w:tl2br w:val="nil"/>
              <w:tr2bl w:val="nil"/>
            </w:tcBorders>
            <w:noWrap w:val="0"/>
            <w:vAlign w:val="center"/>
          </w:tcPr>
          <w:p w14:paraId="7ED9EC41">
            <w:pPr>
              <w:ind w:left="0" w:leftChars="0" w:right="-10" w:rightChars="0" w:firstLine="0" w:firstLineChars="0"/>
              <w:jc w:val="center"/>
              <w:rPr>
                <w:rFonts w:hint="default" w:ascii="Times New Roman" w:hAnsi="Times New Roman" w:cs="Times New Roman"/>
                <w:color w:val="auto"/>
                <w:sz w:val="2"/>
                <w:szCs w:val="2"/>
                <w:highlight w:val="none"/>
              </w:rPr>
            </w:pPr>
          </w:p>
        </w:tc>
        <w:tc>
          <w:tcPr>
            <w:tcW w:w="1066" w:type="pct"/>
            <w:tcBorders>
              <w:tl2br w:val="nil"/>
              <w:tr2bl w:val="nil"/>
            </w:tcBorders>
            <w:noWrap w:val="0"/>
            <w:vAlign w:val="center"/>
          </w:tcPr>
          <w:p w14:paraId="1A1BBD64">
            <w:pPr>
              <w:pStyle w:val="69"/>
              <w:ind w:right="4" w:rightChars="2"/>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rPr>
              <w:t>1小时平均</w:t>
            </w:r>
          </w:p>
        </w:tc>
        <w:tc>
          <w:tcPr>
            <w:tcW w:w="539" w:type="pct"/>
            <w:tcBorders>
              <w:tl2br w:val="nil"/>
              <w:tr2bl w:val="nil"/>
            </w:tcBorders>
            <w:noWrap w:val="0"/>
            <w:vAlign w:val="center"/>
          </w:tcPr>
          <w:p w14:paraId="7750D137">
            <w:pPr>
              <w:pStyle w:val="69"/>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rPr>
              <w:t>250</w:t>
            </w:r>
          </w:p>
        </w:tc>
      </w:tr>
      <w:tr w14:paraId="2161572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340" w:type="pct"/>
            <w:vMerge w:val="continue"/>
            <w:tcBorders>
              <w:tl2br w:val="nil"/>
              <w:tr2bl w:val="nil"/>
            </w:tcBorders>
            <w:noWrap w:val="0"/>
            <w:vAlign w:val="center"/>
          </w:tcPr>
          <w:p w14:paraId="7EEAE43D">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0281835A">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1734D395">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restart"/>
            <w:tcBorders>
              <w:tl2br w:val="nil"/>
              <w:tr2bl w:val="nil"/>
            </w:tcBorders>
            <w:noWrap w:val="0"/>
            <w:vAlign w:val="center"/>
          </w:tcPr>
          <w:p w14:paraId="1B08FFFC">
            <w:pPr>
              <w:jc w:val="center"/>
              <w:rPr>
                <w:rFonts w:hint="default" w:ascii="Times New Roman" w:hAnsi="Times New Roman" w:cs="Times New Roman"/>
                <w:color w:val="auto"/>
                <w:sz w:val="21"/>
                <w:szCs w:val="21"/>
                <w:highlight w:val="none"/>
                <w:lang w:val="zh-CN" w:eastAsia="zh-CN" w:bidi="zh-CN"/>
              </w:rPr>
            </w:pPr>
            <w:r>
              <w:rPr>
                <w:rFonts w:hint="default" w:ascii="Times New Roman" w:hAnsi="Times New Roman" w:cs="Times New Roman"/>
                <w:color w:val="auto"/>
                <w:sz w:val="21"/>
                <w:szCs w:val="21"/>
                <w:highlight w:val="none"/>
              </w:rPr>
              <w:t>TSP（</w:t>
            </w:r>
            <w:r>
              <w:rPr>
                <w:rFonts w:hint="default" w:ascii="Times New Roman" w:hAnsi="Times New Roman" w:eastAsia="Times New Roman" w:cs="Times New Roman"/>
                <w:color w:val="auto"/>
                <w:sz w:val="21"/>
                <w:szCs w:val="21"/>
                <w:highlight w:val="none"/>
              </w:rPr>
              <w:t>µg/Nm</w:t>
            </w:r>
            <w:r>
              <w:rPr>
                <w:rFonts w:hint="default" w:ascii="Times New Roman" w:hAnsi="Times New Roman" w:eastAsia="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p w14:paraId="551BDC51">
            <w:pPr>
              <w:ind w:left="0" w:leftChars="0" w:right="-10" w:rightChars="0" w:firstLine="0" w:firstLineChars="0"/>
              <w:jc w:val="center"/>
              <w:rPr>
                <w:rFonts w:hint="default" w:ascii="Times New Roman" w:hAnsi="Times New Roman" w:cs="Times New Roman"/>
                <w:color w:val="auto"/>
                <w:sz w:val="2"/>
                <w:szCs w:val="2"/>
                <w:highlight w:val="none"/>
              </w:rPr>
            </w:pPr>
          </w:p>
        </w:tc>
        <w:tc>
          <w:tcPr>
            <w:tcW w:w="1066" w:type="pct"/>
            <w:tcBorders>
              <w:tl2br w:val="nil"/>
              <w:tr2bl w:val="nil"/>
            </w:tcBorders>
            <w:noWrap w:val="0"/>
            <w:vAlign w:val="center"/>
          </w:tcPr>
          <w:p w14:paraId="27E1B0D9">
            <w:pPr>
              <w:pStyle w:val="69"/>
              <w:ind w:right="4" w:rightChars="2"/>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rPr>
              <w:t>年平均</w:t>
            </w:r>
          </w:p>
        </w:tc>
        <w:tc>
          <w:tcPr>
            <w:tcW w:w="539" w:type="pct"/>
            <w:tcBorders>
              <w:tl2br w:val="nil"/>
              <w:tr2bl w:val="nil"/>
            </w:tcBorders>
            <w:noWrap w:val="0"/>
            <w:vAlign w:val="center"/>
          </w:tcPr>
          <w:p w14:paraId="19608E1A">
            <w:pPr>
              <w:pStyle w:val="69"/>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rPr>
              <w:t>200</w:t>
            </w:r>
          </w:p>
        </w:tc>
      </w:tr>
      <w:tr w14:paraId="0637976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340" w:type="pct"/>
            <w:vMerge w:val="continue"/>
            <w:tcBorders>
              <w:tl2br w:val="nil"/>
              <w:tr2bl w:val="nil"/>
            </w:tcBorders>
            <w:noWrap w:val="0"/>
            <w:vAlign w:val="center"/>
          </w:tcPr>
          <w:p w14:paraId="68F987EA">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6FC05A68">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23CA100F">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vMerge w:val="continue"/>
            <w:tcBorders>
              <w:tl2br w:val="nil"/>
              <w:tr2bl w:val="nil"/>
            </w:tcBorders>
            <w:noWrap w:val="0"/>
            <w:vAlign w:val="center"/>
          </w:tcPr>
          <w:p w14:paraId="61F3ADEF">
            <w:pPr>
              <w:ind w:left="0" w:leftChars="0" w:right="-10" w:rightChars="0" w:firstLine="0" w:firstLineChars="0"/>
              <w:jc w:val="center"/>
              <w:rPr>
                <w:rFonts w:hint="default" w:ascii="Times New Roman" w:hAnsi="Times New Roman" w:cs="Times New Roman"/>
                <w:color w:val="auto"/>
                <w:sz w:val="2"/>
                <w:szCs w:val="2"/>
                <w:highlight w:val="none"/>
              </w:rPr>
            </w:pPr>
          </w:p>
        </w:tc>
        <w:tc>
          <w:tcPr>
            <w:tcW w:w="1066" w:type="pct"/>
            <w:tcBorders>
              <w:tl2br w:val="nil"/>
              <w:tr2bl w:val="nil"/>
            </w:tcBorders>
            <w:noWrap w:val="0"/>
            <w:vAlign w:val="center"/>
          </w:tcPr>
          <w:p w14:paraId="462BAFB0">
            <w:pPr>
              <w:pStyle w:val="69"/>
              <w:ind w:right="4" w:rightChars="2"/>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rPr>
              <w:t>24小时平均</w:t>
            </w:r>
          </w:p>
        </w:tc>
        <w:tc>
          <w:tcPr>
            <w:tcW w:w="539" w:type="pct"/>
            <w:tcBorders>
              <w:tl2br w:val="nil"/>
              <w:tr2bl w:val="nil"/>
            </w:tcBorders>
            <w:noWrap w:val="0"/>
            <w:vAlign w:val="center"/>
          </w:tcPr>
          <w:p w14:paraId="799B3C6F">
            <w:pPr>
              <w:pStyle w:val="69"/>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rPr>
              <w:t>300</w:t>
            </w:r>
          </w:p>
        </w:tc>
      </w:tr>
      <w:tr w14:paraId="492B774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340" w:type="pct"/>
            <w:vMerge w:val="continue"/>
            <w:tcBorders>
              <w:tl2br w:val="nil"/>
              <w:tr2bl w:val="nil"/>
            </w:tcBorders>
            <w:noWrap w:val="0"/>
            <w:vAlign w:val="center"/>
          </w:tcPr>
          <w:p w14:paraId="3CC2B9F1">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1D402A89">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restart"/>
            <w:tcBorders>
              <w:tl2br w:val="nil"/>
              <w:tr2bl w:val="nil"/>
            </w:tcBorders>
            <w:noWrap w:val="0"/>
            <w:vAlign w:val="center"/>
          </w:tcPr>
          <w:p w14:paraId="524C54F7">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《环境影响评价技术导则大气环境》（</w:t>
            </w:r>
            <w:r>
              <w:rPr>
                <w:rFonts w:hint="default" w:ascii="Times New Roman" w:hAnsi="Times New Roman" w:eastAsia="Times New Roman" w:cs="Times New Roman"/>
                <w:color w:val="auto"/>
                <w:sz w:val="21"/>
                <w:highlight w:val="none"/>
              </w:rPr>
              <w:t>HJ2.2-2018</w:t>
            </w:r>
            <w:r>
              <w:rPr>
                <w:rFonts w:hint="default" w:ascii="Times New Roman" w:hAnsi="Times New Roman" w:cs="Times New Roman"/>
                <w:color w:val="auto"/>
                <w:sz w:val="21"/>
                <w:highlight w:val="none"/>
              </w:rPr>
              <w:t>）附录</w:t>
            </w:r>
            <w:r>
              <w:rPr>
                <w:rFonts w:hint="default" w:ascii="Times New Roman" w:hAnsi="Times New Roman" w:eastAsia="Times New Roman" w:cs="Times New Roman"/>
                <w:color w:val="auto"/>
                <w:sz w:val="21"/>
                <w:highlight w:val="none"/>
              </w:rPr>
              <w:t>D</w:t>
            </w:r>
            <w:r>
              <w:rPr>
                <w:rFonts w:hint="default" w:ascii="Times New Roman" w:hAnsi="Times New Roman" w:cs="Times New Roman"/>
                <w:color w:val="auto"/>
                <w:sz w:val="21"/>
                <w:highlight w:val="none"/>
              </w:rPr>
              <w:t>中其他污染物空气质量浓度参考限值</w:t>
            </w:r>
          </w:p>
        </w:tc>
        <w:tc>
          <w:tcPr>
            <w:tcW w:w="1213" w:type="pct"/>
            <w:tcBorders>
              <w:tl2br w:val="nil"/>
              <w:tr2bl w:val="nil"/>
            </w:tcBorders>
            <w:noWrap w:val="0"/>
            <w:vAlign w:val="center"/>
          </w:tcPr>
          <w:p w14:paraId="2B244876">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21"/>
                <w:highlight w:val="none"/>
              </w:rPr>
              <w:t>NH</w:t>
            </w:r>
            <w:r>
              <w:rPr>
                <w:rFonts w:hint="default" w:ascii="Times New Roman" w:hAnsi="Times New Roman" w:eastAsia="Times New Roman" w:cs="Times New Roman"/>
                <w:color w:val="auto"/>
                <w:sz w:val="21"/>
                <w:highlight w:val="none"/>
                <w:vertAlign w:val="subscript"/>
              </w:rPr>
              <w:t>3</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18"/>
                <w:highlight w:val="none"/>
              </w:rPr>
              <w:t>µ</w:t>
            </w:r>
            <w:r>
              <w:rPr>
                <w:rFonts w:hint="default" w:ascii="Times New Roman" w:hAnsi="Times New Roman" w:eastAsia="Times New Roman" w:cs="Times New Roman"/>
                <w:color w:val="auto"/>
                <w:sz w:val="21"/>
                <w:highlight w:val="none"/>
              </w:rPr>
              <w:t>g/Nm</w:t>
            </w:r>
            <w:r>
              <w:rPr>
                <w:rFonts w:hint="default" w:ascii="Times New Roman" w:hAnsi="Times New Roman" w:eastAsia="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066" w:type="pct"/>
            <w:tcBorders>
              <w:tl2br w:val="nil"/>
              <w:tr2bl w:val="nil"/>
            </w:tcBorders>
            <w:noWrap w:val="0"/>
            <w:vAlign w:val="center"/>
          </w:tcPr>
          <w:p w14:paraId="36A1780B">
            <w:pPr>
              <w:pStyle w:val="69"/>
              <w:spacing w:before="2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1h平均</w:t>
            </w:r>
          </w:p>
        </w:tc>
        <w:tc>
          <w:tcPr>
            <w:tcW w:w="539" w:type="pct"/>
            <w:tcBorders>
              <w:tl2br w:val="nil"/>
              <w:tr2bl w:val="nil"/>
            </w:tcBorders>
            <w:noWrap w:val="0"/>
            <w:vAlign w:val="center"/>
          </w:tcPr>
          <w:p w14:paraId="52EAF009">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200</w:t>
            </w:r>
          </w:p>
        </w:tc>
      </w:tr>
      <w:tr w14:paraId="45EED5B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0" w:type="pct"/>
            <w:vMerge w:val="continue"/>
            <w:tcBorders>
              <w:tl2br w:val="nil"/>
              <w:tr2bl w:val="nil"/>
            </w:tcBorders>
            <w:noWrap w:val="0"/>
            <w:vAlign w:val="center"/>
          </w:tcPr>
          <w:p w14:paraId="41592CC9">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15AD613D">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117DB156">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7FFB7743">
            <w:pPr>
              <w:pStyle w:val="69"/>
              <w:spacing w:before="91"/>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21"/>
                <w:highlight w:val="none"/>
              </w:rPr>
              <w:t>H</w:t>
            </w:r>
            <w:r>
              <w:rPr>
                <w:rFonts w:hint="default" w:ascii="Times New Roman" w:hAnsi="Times New Roman" w:eastAsia="Times New Roman" w:cs="Times New Roman"/>
                <w:color w:val="auto"/>
                <w:sz w:val="21"/>
                <w:highlight w:val="none"/>
                <w:vertAlign w:val="subscript"/>
              </w:rPr>
              <w:t>2</w:t>
            </w:r>
            <w:r>
              <w:rPr>
                <w:rFonts w:hint="default" w:ascii="Times New Roman" w:hAnsi="Times New Roman" w:eastAsia="Times New Roman" w:cs="Times New Roman"/>
                <w:color w:val="auto"/>
                <w:sz w:val="21"/>
                <w:highlight w:val="none"/>
              </w:rPr>
              <w:t>S</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18"/>
                <w:highlight w:val="none"/>
              </w:rPr>
              <w:t>µ</w:t>
            </w:r>
            <w:r>
              <w:rPr>
                <w:rFonts w:hint="default" w:ascii="Times New Roman" w:hAnsi="Times New Roman" w:eastAsia="Times New Roman" w:cs="Times New Roman"/>
                <w:color w:val="auto"/>
                <w:sz w:val="21"/>
                <w:highlight w:val="none"/>
              </w:rPr>
              <w:t>g/Nm</w:t>
            </w:r>
            <w:r>
              <w:rPr>
                <w:rFonts w:hint="default" w:ascii="Times New Roman" w:hAnsi="Times New Roman" w:eastAsia="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066" w:type="pct"/>
            <w:tcBorders>
              <w:tl2br w:val="nil"/>
              <w:tr2bl w:val="nil"/>
            </w:tcBorders>
            <w:noWrap w:val="0"/>
            <w:vAlign w:val="center"/>
          </w:tcPr>
          <w:p w14:paraId="12C9D3F7">
            <w:pPr>
              <w:pStyle w:val="69"/>
              <w:spacing w:before="101"/>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1h平均</w:t>
            </w:r>
          </w:p>
        </w:tc>
        <w:tc>
          <w:tcPr>
            <w:tcW w:w="539" w:type="pct"/>
            <w:tcBorders>
              <w:tl2br w:val="nil"/>
              <w:tr2bl w:val="nil"/>
            </w:tcBorders>
            <w:noWrap w:val="0"/>
            <w:vAlign w:val="center"/>
          </w:tcPr>
          <w:p w14:paraId="507A86D6">
            <w:pPr>
              <w:pStyle w:val="69"/>
              <w:spacing w:before="3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r>
      <w:tr w14:paraId="6CAFCB9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04D0071D">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restart"/>
            <w:tcBorders>
              <w:tl2br w:val="nil"/>
              <w:tr2bl w:val="nil"/>
            </w:tcBorders>
            <w:noWrap w:val="0"/>
            <w:vAlign w:val="center"/>
          </w:tcPr>
          <w:p w14:paraId="5F6D260F">
            <w:pPr>
              <w:pStyle w:val="69"/>
              <w:spacing w:before="1"/>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地下水环境</w:t>
            </w:r>
          </w:p>
        </w:tc>
        <w:tc>
          <w:tcPr>
            <w:tcW w:w="1484" w:type="pct"/>
            <w:vMerge w:val="restart"/>
            <w:tcBorders>
              <w:tl2br w:val="nil"/>
              <w:tr2bl w:val="nil"/>
            </w:tcBorders>
            <w:noWrap w:val="0"/>
            <w:vAlign w:val="center"/>
          </w:tcPr>
          <w:p w14:paraId="662A450A">
            <w:pPr>
              <w:pStyle w:val="69"/>
              <w:spacing w:before="1"/>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《地下水质量标准》（</w:t>
            </w:r>
            <w:r>
              <w:rPr>
                <w:rFonts w:hint="default" w:ascii="Times New Roman" w:hAnsi="Times New Roman" w:eastAsia="Times New Roman" w:cs="Times New Roman"/>
                <w:color w:val="auto"/>
                <w:sz w:val="21"/>
                <w:highlight w:val="none"/>
              </w:rPr>
              <w:t>GB/T14848-2017</w:t>
            </w:r>
            <w:r>
              <w:rPr>
                <w:rFonts w:hint="default" w:ascii="Times New Roman" w:hAnsi="Times New Roman" w:cs="Times New Roman"/>
                <w:color w:val="auto"/>
                <w:sz w:val="21"/>
                <w:highlight w:val="none"/>
              </w:rPr>
              <w:t>）中Ⅲ类标准</w:t>
            </w:r>
          </w:p>
        </w:tc>
        <w:tc>
          <w:tcPr>
            <w:tcW w:w="1213" w:type="pct"/>
            <w:tcBorders>
              <w:tl2br w:val="nil"/>
              <w:tr2bl w:val="nil"/>
            </w:tcBorders>
            <w:noWrap w:val="0"/>
            <w:vAlign w:val="center"/>
          </w:tcPr>
          <w:p w14:paraId="671C0D22">
            <w:pPr>
              <w:pStyle w:val="69"/>
              <w:topLinePunct/>
              <w:autoSpaceDE/>
              <w:autoSpaceDN/>
              <w:rPr>
                <w:rFonts w:hint="default" w:ascii="Times New Roman" w:hAnsi="Times New Roman" w:cs="Times New Roman"/>
                <w:color w:val="auto"/>
                <w:sz w:val="21"/>
                <w:highlight w:val="none"/>
              </w:rPr>
            </w:pPr>
            <w:r>
              <w:rPr>
                <w:rFonts w:hint="default" w:ascii="Times New Roman" w:hAnsi="Times New Roman" w:cs="Times New Roman"/>
                <w:color w:val="auto"/>
                <w:kern w:val="2"/>
                <w:sz w:val="21"/>
                <w:highlight w:val="none"/>
              </w:rPr>
              <w:t>pH（无量纲）</w:t>
            </w:r>
          </w:p>
        </w:tc>
        <w:tc>
          <w:tcPr>
            <w:tcW w:w="1606" w:type="pct"/>
            <w:gridSpan w:val="2"/>
            <w:tcBorders>
              <w:tl2br w:val="nil"/>
              <w:tr2bl w:val="nil"/>
            </w:tcBorders>
            <w:noWrap w:val="0"/>
            <w:vAlign w:val="center"/>
          </w:tcPr>
          <w:p w14:paraId="04F22305">
            <w:pPr>
              <w:pStyle w:val="69"/>
              <w:topLinePunct/>
              <w:autoSpaceDE/>
              <w:autoSpaceDN/>
              <w:ind w:firstLine="210" w:firstLineChars="100"/>
              <w:rPr>
                <w:rFonts w:hint="default" w:ascii="Times New Roman" w:hAnsi="Times New Roman" w:cs="Times New Roman"/>
                <w:color w:val="auto"/>
                <w:sz w:val="21"/>
                <w:highlight w:val="none"/>
              </w:rPr>
            </w:pPr>
            <w:r>
              <w:rPr>
                <w:rFonts w:hint="default" w:ascii="Times New Roman" w:hAnsi="Times New Roman" w:cs="Times New Roman"/>
                <w:color w:val="auto"/>
                <w:kern w:val="2"/>
                <w:sz w:val="21"/>
                <w:highlight w:val="none"/>
              </w:rPr>
              <w:t>6.5~8.5</w:t>
            </w:r>
          </w:p>
        </w:tc>
      </w:tr>
      <w:tr w14:paraId="5FCAF34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340" w:type="pct"/>
            <w:vMerge w:val="continue"/>
            <w:tcBorders>
              <w:tl2br w:val="nil"/>
              <w:tr2bl w:val="nil"/>
            </w:tcBorders>
            <w:noWrap w:val="0"/>
            <w:vAlign w:val="center"/>
          </w:tcPr>
          <w:p w14:paraId="14B7F32C">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01A5DE2F">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4FB8B354">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30B1AADD">
            <w:pPr>
              <w:pStyle w:val="69"/>
              <w:topLinePunct/>
              <w:autoSpaceDE/>
              <w:autoSpaceDN/>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kern w:val="2"/>
                <w:sz w:val="21"/>
                <w:highlight w:val="none"/>
              </w:rPr>
              <w:t>总硬度（mg/L）</w:t>
            </w:r>
          </w:p>
        </w:tc>
        <w:tc>
          <w:tcPr>
            <w:tcW w:w="1606" w:type="pct"/>
            <w:gridSpan w:val="2"/>
            <w:tcBorders>
              <w:tl2br w:val="nil"/>
              <w:tr2bl w:val="nil"/>
            </w:tcBorders>
            <w:noWrap w:val="0"/>
            <w:vAlign w:val="center"/>
          </w:tcPr>
          <w:p w14:paraId="3EA29546">
            <w:pPr>
              <w:widowControl/>
              <w:topLinePunct/>
              <w:autoSpaceDE/>
              <w:autoSpaceDN/>
              <w:jc w:val="center"/>
              <w:rPr>
                <w:rFonts w:hint="default" w:ascii="Times New Roman" w:hAnsi="Times New Roman" w:cs="Times New Roman"/>
                <w:color w:val="auto"/>
                <w:sz w:val="21"/>
                <w:highlight w:val="none"/>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450</w:t>
            </w:r>
          </w:p>
        </w:tc>
      </w:tr>
      <w:tr w14:paraId="1262D9E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6A8FFFBD">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2DAD59A8">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1A133915">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06599213">
            <w:pPr>
              <w:pStyle w:val="69"/>
              <w:topLinePunct/>
              <w:autoSpaceDE/>
              <w:autoSpaceDN/>
              <w:spacing w:line="269" w:lineRule="exact"/>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kern w:val="2"/>
                <w:sz w:val="21"/>
                <w:highlight w:val="none"/>
              </w:rPr>
              <w:t>氨氮（mg/L）</w:t>
            </w:r>
          </w:p>
        </w:tc>
        <w:tc>
          <w:tcPr>
            <w:tcW w:w="1606" w:type="pct"/>
            <w:gridSpan w:val="2"/>
            <w:tcBorders>
              <w:tl2br w:val="nil"/>
              <w:tr2bl w:val="nil"/>
            </w:tcBorders>
            <w:noWrap w:val="0"/>
            <w:vAlign w:val="center"/>
          </w:tcPr>
          <w:p w14:paraId="71D8A640">
            <w:pPr>
              <w:pStyle w:val="69"/>
              <w:topLinePunct/>
              <w:autoSpaceDE/>
              <w:autoSpaceDN/>
              <w:rPr>
                <w:rFonts w:hint="default" w:ascii="Times New Roman" w:hAnsi="Times New Roman" w:cs="Times New Roman"/>
                <w:color w:val="auto"/>
                <w:sz w:val="21"/>
                <w:highlight w:val="none"/>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0.5</w:t>
            </w:r>
          </w:p>
        </w:tc>
      </w:tr>
      <w:tr w14:paraId="18B9CA8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0CA6EDAD">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776672C8">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428E234A">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63C3F14C">
            <w:pPr>
              <w:pStyle w:val="69"/>
              <w:topLinePunct/>
              <w:autoSpaceDE/>
              <w:autoSpaceDN/>
              <w:spacing w:line="269" w:lineRule="exact"/>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kern w:val="2"/>
                <w:sz w:val="21"/>
                <w:highlight w:val="none"/>
              </w:rPr>
              <w:t>溶解性总固体（mg/L）</w:t>
            </w:r>
          </w:p>
        </w:tc>
        <w:tc>
          <w:tcPr>
            <w:tcW w:w="1606" w:type="pct"/>
            <w:gridSpan w:val="2"/>
            <w:tcBorders>
              <w:tl2br w:val="nil"/>
              <w:tr2bl w:val="nil"/>
            </w:tcBorders>
            <w:noWrap w:val="0"/>
            <w:vAlign w:val="center"/>
          </w:tcPr>
          <w:p w14:paraId="00EC5B97">
            <w:pPr>
              <w:pStyle w:val="69"/>
              <w:topLinePunct/>
              <w:autoSpaceDE/>
              <w:autoSpaceDN/>
              <w:rPr>
                <w:rFonts w:hint="default" w:ascii="Times New Roman" w:hAnsi="Times New Roman" w:cs="Times New Roman"/>
                <w:color w:val="auto"/>
                <w:sz w:val="21"/>
                <w:highlight w:val="none"/>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1000</w:t>
            </w:r>
          </w:p>
        </w:tc>
      </w:tr>
      <w:tr w14:paraId="7835977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4BCCA944">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5E8CD842">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0C71C77A">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615EB0EE">
            <w:pPr>
              <w:pStyle w:val="69"/>
              <w:topLinePunct/>
              <w:autoSpaceDE/>
              <w:autoSpaceDN/>
              <w:spacing w:line="269" w:lineRule="exact"/>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kern w:val="2"/>
                <w:sz w:val="21"/>
                <w:highlight w:val="none"/>
              </w:rPr>
              <w:t>氯化物（mg/L）</w:t>
            </w:r>
          </w:p>
        </w:tc>
        <w:tc>
          <w:tcPr>
            <w:tcW w:w="1606" w:type="pct"/>
            <w:gridSpan w:val="2"/>
            <w:tcBorders>
              <w:tl2br w:val="nil"/>
              <w:tr2bl w:val="nil"/>
            </w:tcBorders>
            <w:noWrap w:val="0"/>
            <w:vAlign w:val="center"/>
          </w:tcPr>
          <w:p w14:paraId="46982337">
            <w:pPr>
              <w:pStyle w:val="69"/>
              <w:topLinePunct/>
              <w:autoSpaceDE/>
              <w:autoSpaceDN/>
              <w:rPr>
                <w:rFonts w:hint="default" w:ascii="Times New Roman" w:hAnsi="Times New Roman" w:cs="Times New Roman"/>
                <w:color w:val="auto"/>
                <w:sz w:val="21"/>
                <w:highlight w:val="none"/>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lang w:val="en-US"/>
              </w:rPr>
              <w:t>2</w:t>
            </w:r>
            <w:r>
              <w:rPr>
                <w:rFonts w:hint="default" w:ascii="Times New Roman" w:hAnsi="Times New Roman" w:cs="Times New Roman"/>
                <w:color w:val="auto"/>
                <w:kern w:val="2"/>
                <w:sz w:val="21"/>
                <w:highlight w:val="none"/>
              </w:rPr>
              <w:t>50</w:t>
            </w:r>
          </w:p>
        </w:tc>
      </w:tr>
      <w:tr w14:paraId="6367143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340" w:type="pct"/>
            <w:vMerge w:val="continue"/>
            <w:tcBorders>
              <w:tl2br w:val="nil"/>
              <w:tr2bl w:val="nil"/>
            </w:tcBorders>
            <w:noWrap w:val="0"/>
            <w:vAlign w:val="center"/>
          </w:tcPr>
          <w:p w14:paraId="6C801D4A">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4E74F7F4">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4095A313">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0468C470">
            <w:pPr>
              <w:pStyle w:val="69"/>
              <w:topLinePunct/>
              <w:autoSpaceDE/>
              <w:autoSpaceDN/>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kern w:val="2"/>
                <w:sz w:val="21"/>
                <w:highlight w:val="none"/>
              </w:rPr>
              <w:t>硝酸盐氮（mg/L）</w:t>
            </w:r>
          </w:p>
        </w:tc>
        <w:tc>
          <w:tcPr>
            <w:tcW w:w="1606" w:type="pct"/>
            <w:gridSpan w:val="2"/>
            <w:tcBorders>
              <w:tl2br w:val="nil"/>
              <w:tr2bl w:val="nil"/>
            </w:tcBorders>
            <w:noWrap w:val="0"/>
            <w:vAlign w:val="center"/>
          </w:tcPr>
          <w:p w14:paraId="525168E9">
            <w:pPr>
              <w:pStyle w:val="69"/>
              <w:topLinePunct/>
              <w:autoSpaceDE/>
              <w:autoSpaceDN/>
              <w:rPr>
                <w:rFonts w:hint="default" w:ascii="Times New Roman" w:hAnsi="Times New Roman" w:cs="Times New Roman"/>
                <w:color w:val="auto"/>
                <w:sz w:val="21"/>
                <w:highlight w:val="none"/>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20</w:t>
            </w:r>
          </w:p>
        </w:tc>
      </w:tr>
      <w:tr w14:paraId="6BA8CCB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15282FC2">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56B88A94">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0218E31C">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71A3F56B">
            <w:pPr>
              <w:pStyle w:val="69"/>
              <w:topLinePunct/>
              <w:autoSpaceDE/>
              <w:autoSpaceDN/>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kern w:val="2"/>
                <w:sz w:val="21"/>
                <w:highlight w:val="none"/>
              </w:rPr>
              <w:t>亚硝酸盐氮（mg/L）</w:t>
            </w:r>
          </w:p>
        </w:tc>
        <w:tc>
          <w:tcPr>
            <w:tcW w:w="1606" w:type="pct"/>
            <w:gridSpan w:val="2"/>
            <w:tcBorders>
              <w:tl2br w:val="nil"/>
              <w:tr2bl w:val="nil"/>
            </w:tcBorders>
            <w:noWrap w:val="0"/>
            <w:vAlign w:val="center"/>
          </w:tcPr>
          <w:p w14:paraId="72DD6F70">
            <w:pPr>
              <w:pStyle w:val="69"/>
              <w:topLinePunct/>
              <w:autoSpaceDE/>
              <w:autoSpaceDN/>
              <w:rPr>
                <w:rFonts w:hint="default" w:ascii="Times New Roman" w:hAnsi="Times New Roman" w:cs="Times New Roman"/>
                <w:color w:val="auto"/>
                <w:sz w:val="21"/>
                <w:highlight w:val="none"/>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1.0</w:t>
            </w:r>
          </w:p>
        </w:tc>
      </w:tr>
      <w:tr w14:paraId="28DE654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5A890141">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2456DB4A">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3492E174">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4A4C35EC">
            <w:pPr>
              <w:pStyle w:val="69"/>
              <w:topLinePunct/>
              <w:autoSpaceDE/>
              <w:autoSpaceDN/>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kern w:val="2"/>
                <w:sz w:val="21"/>
                <w:highlight w:val="none"/>
              </w:rPr>
              <w:t>挥发酚（mg/L）</w:t>
            </w:r>
          </w:p>
        </w:tc>
        <w:tc>
          <w:tcPr>
            <w:tcW w:w="1606" w:type="pct"/>
            <w:gridSpan w:val="2"/>
            <w:tcBorders>
              <w:tl2br w:val="nil"/>
              <w:tr2bl w:val="nil"/>
            </w:tcBorders>
            <w:noWrap w:val="0"/>
            <w:vAlign w:val="center"/>
          </w:tcPr>
          <w:p w14:paraId="5A65630C">
            <w:pPr>
              <w:pStyle w:val="69"/>
              <w:topLinePunct/>
              <w:autoSpaceDE/>
              <w:autoSpaceDN/>
              <w:ind w:firstLine="180" w:firstLineChars="100"/>
              <w:rPr>
                <w:rFonts w:hint="default" w:ascii="Times New Roman" w:hAnsi="Times New Roman" w:cs="Times New Roman"/>
                <w:color w:val="auto"/>
                <w:sz w:val="21"/>
                <w:highlight w:val="none"/>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0.002</w:t>
            </w:r>
          </w:p>
        </w:tc>
      </w:tr>
      <w:tr w14:paraId="2911218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32E582F3">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2D933154">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279C2375">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3806C3B7">
            <w:pPr>
              <w:pStyle w:val="69"/>
              <w:topLinePunct/>
              <w:autoSpaceDE/>
              <w:autoSpaceDN/>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rPr>
              <w:t>高锰酸盐指数（mg/L）</w:t>
            </w:r>
          </w:p>
        </w:tc>
        <w:tc>
          <w:tcPr>
            <w:tcW w:w="1606" w:type="pct"/>
            <w:gridSpan w:val="2"/>
            <w:tcBorders>
              <w:tl2br w:val="nil"/>
              <w:tr2bl w:val="nil"/>
            </w:tcBorders>
            <w:noWrap w:val="0"/>
            <w:vAlign w:val="center"/>
          </w:tcPr>
          <w:p w14:paraId="7CDB6601">
            <w:pPr>
              <w:pStyle w:val="69"/>
              <w:topLinePunct/>
              <w:autoSpaceDE/>
              <w:autoSpaceDN/>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lang w:val="en-US"/>
              </w:rPr>
              <w:t>3.0</w:t>
            </w:r>
          </w:p>
        </w:tc>
      </w:tr>
      <w:tr w14:paraId="1E826B1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6B826C80">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48969F0B">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56058C5D">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32DF6F81">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rPr>
              <w:t>六价铬（mg/L）</w:t>
            </w:r>
          </w:p>
        </w:tc>
        <w:tc>
          <w:tcPr>
            <w:tcW w:w="1606" w:type="pct"/>
            <w:gridSpan w:val="2"/>
            <w:tcBorders>
              <w:tl2br w:val="nil"/>
              <w:tr2bl w:val="nil"/>
            </w:tcBorders>
            <w:noWrap w:val="0"/>
            <w:vAlign w:val="center"/>
          </w:tcPr>
          <w:p w14:paraId="3944C849">
            <w:pPr>
              <w:pStyle w:val="69"/>
              <w:topLinePunct/>
              <w:autoSpaceDE/>
              <w:autoSpaceDN/>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lang w:val="en-US"/>
              </w:rPr>
              <w:t>0.05</w:t>
            </w:r>
          </w:p>
        </w:tc>
      </w:tr>
      <w:tr w14:paraId="45A7858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61A1A445">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541421ED">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50DE583B">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00C5B739">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rPr>
              <w:t>硫酸盐（mg/L）</w:t>
            </w:r>
          </w:p>
        </w:tc>
        <w:tc>
          <w:tcPr>
            <w:tcW w:w="1606" w:type="pct"/>
            <w:gridSpan w:val="2"/>
            <w:tcBorders>
              <w:tl2br w:val="nil"/>
              <w:tr2bl w:val="nil"/>
            </w:tcBorders>
            <w:noWrap w:val="0"/>
            <w:vAlign w:val="center"/>
          </w:tcPr>
          <w:p w14:paraId="7F79D41A">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250</w:t>
            </w:r>
          </w:p>
        </w:tc>
      </w:tr>
      <w:tr w14:paraId="4EC2D3C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0553A60C">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5660DE1F">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26FA4DF3">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5EA73E0B">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lang w:val="en-US" w:eastAsia="zh-CN"/>
              </w:rPr>
              <w:t>氰化物</w:t>
            </w:r>
            <w:r>
              <w:rPr>
                <w:rFonts w:hint="default" w:ascii="Times New Roman" w:hAnsi="Times New Roman" w:cs="Times New Roman"/>
                <w:color w:val="auto"/>
                <w:kern w:val="2"/>
                <w:sz w:val="21"/>
                <w:highlight w:val="none"/>
              </w:rPr>
              <w:t>（mg/L）</w:t>
            </w:r>
          </w:p>
        </w:tc>
        <w:tc>
          <w:tcPr>
            <w:tcW w:w="1606" w:type="pct"/>
            <w:gridSpan w:val="2"/>
            <w:tcBorders>
              <w:tl2br w:val="nil"/>
              <w:tr2bl w:val="nil"/>
            </w:tcBorders>
            <w:noWrap w:val="0"/>
            <w:vAlign w:val="center"/>
          </w:tcPr>
          <w:p w14:paraId="4CDD2682">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lang w:val="en-US"/>
              </w:rPr>
              <w:t>0.05</w:t>
            </w:r>
          </w:p>
        </w:tc>
      </w:tr>
      <w:tr w14:paraId="7795025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63FC96E1">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783B0952">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5362F822">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45A905E9">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lang w:val="en-US" w:eastAsia="zh-CN"/>
              </w:rPr>
              <w:t>砷</w:t>
            </w:r>
            <w:r>
              <w:rPr>
                <w:rFonts w:hint="default" w:ascii="Times New Roman" w:hAnsi="Times New Roman" w:cs="Times New Roman"/>
                <w:color w:val="auto"/>
                <w:kern w:val="2"/>
                <w:sz w:val="21"/>
                <w:highlight w:val="none"/>
              </w:rPr>
              <w:t>（mg/L）</w:t>
            </w:r>
          </w:p>
        </w:tc>
        <w:tc>
          <w:tcPr>
            <w:tcW w:w="1606" w:type="pct"/>
            <w:gridSpan w:val="2"/>
            <w:tcBorders>
              <w:tl2br w:val="nil"/>
              <w:tr2bl w:val="nil"/>
            </w:tcBorders>
            <w:noWrap w:val="0"/>
            <w:vAlign w:val="center"/>
          </w:tcPr>
          <w:p w14:paraId="7154A4C2">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lang w:val="en-US"/>
              </w:rPr>
              <w:t>0.0</w:t>
            </w:r>
            <w:r>
              <w:rPr>
                <w:rFonts w:hint="default" w:ascii="Times New Roman" w:hAnsi="Times New Roman" w:cs="Times New Roman"/>
                <w:color w:val="auto"/>
                <w:kern w:val="2"/>
                <w:sz w:val="21"/>
                <w:highlight w:val="none"/>
                <w:lang w:val="en-US" w:eastAsia="zh-CN"/>
              </w:rPr>
              <w:t>1</w:t>
            </w:r>
          </w:p>
        </w:tc>
      </w:tr>
      <w:tr w14:paraId="5B13B1B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742FD309">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4C904C68">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16B40DCB">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40FE247A">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lang w:val="en-US" w:eastAsia="zh-CN"/>
              </w:rPr>
              <w:t>汞</w:t>
            </w:r>
            <w:r>
              <w:rPr>
                <w:rFonts w:hint="default" w:ascii="Times New Roman" w:hAnsi="Times New Roman" w:cs="Times New Roman"/>
                <w:color w:val="auto"/>
                <w:kern w:val="2"/>
                <w:sz w:val="21"/>
                <w:highlight w:val="none"/>
              </w:rPr>
              <w:t>（mg/L）</w:t>
            </w:r>
          </w:p>
        </w:tc>
        <w:tc>
          <w:tcPr>
            <w:tcW w:w="1606" w:type="pct"/>
            <w:gridSpan w:val="2"/>
            <w:tcBorders>
              <w:tl2br w:val="nil"/>
              <w:tr2bl w:val="nil"/>
            </w:tcBorders>
            <w:noWrap w:val="0"/>
            <w:vAlign w:val="center"/>
          </w:tcPr>
          <w:p w14:paraId="206991CC">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lang w:val="en-US"/>
              </w:rPr>
              <w:t>0.0</w:t>
            </w:r>
            <w:r>
              <w:rPr>
                <w:rFonts w:hint="default" w:ascii="Times New Roman" w:hAnsi="Times New Roman" w:cs="Times New Roman"/>
                <w:color w:val="auto"/>
                <w:kern w:val="2"/>
                <w:sz w:val="21"/>
                <w:highlight w:val="none"/>
                <w:lang w:val="en-US" w:eastAsia="zh-CN"/>
              </w:rPr>
              <w:t>01</w:t>
            </w:r>
          </w:p>
        </w:tc>
      </w:tr>
      <w:tr w14:paraId="4EED478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6A385247">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2B6A07CB">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18E85389">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284C5C56">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lang w:val="en-US" w:eastAsia="zh-CN"/>
              </w:rPr>
              <w:t>铅</w:t>
            </w:r>
            <w:r>
              <w:rPr>
                <w:rFonts w:hint="default" w:ascii="Times New Roman" w:hAnsi="Times New Roman" w:cs="Times New Roman"/>
                <w:color w:val="auto"/>
                <w:kern w:val="2"/>
                <w:sz w:val="21"/>
                <w:highlight w:val="none"/>
              </w:rPr>
              <w:t>（mg/L）</w:t>
            </w:r>
          </w:p>
        </w:tc>
        <w:tc>
          <w:tcPr>
            <w:tcW w:w="1606" w:type="pct"/>
            <w:gridSpan w:val="2"/>
            <w:tcBorders>
              <w:tl2br w:val="nil"/>
              <w:tr2bl w:val="nil"/>
            </w:tcBorders>
            <w:noWrap w:val="0"/>
            <w:vAlign w:val="center"/>
          </w:tcPr>
          <w:p w14:paraId="33FFFF3D">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lang w:val="en-US"/>
              </w:rPr>
              <w:t>0.0</w:t>
            </w:r>
            <w:r>
              <w:rPr>
                <w:rFonts w:hint="default" w:ascii="Times New Roman" w:hAnsi="Times New Roman" w:cs="Times New Roman"/>
                <w:color w:val="auto"/>
                <w:kern w:val="2"/>
                <w:sz w:val="21"/>
                <w:highlight w:val="none"/>
                <w:lang w:val="en-US" w:eastAsia="zh-CN"/>
              </w:rPr>
              <w:t>1</w:t>
            </w:r>
          </w:p>
        </w:tc>
      </w:tr>
      <w:tr w14:paraId="45C036F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7E13E7BB">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43EAFC94">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276DD190">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3D242740">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lang w:val="en-US" w:eastAsia="zh-CN"/>
              </w:rPr>
              <w:t>氟化物</w:t>
            </w:r>
            <w:r>
              <w:rPr>
                <w:rFonts w:hint="default" w:ascii="Times New Roman" w:hAnsi="Times New Roman" w:cs="Times New Roman"/>
                <w:color w:val="auto"/>
                <w:kern w:val="2"/>
                <w:sz w:val="21"/>
                <w:highlight w:val="none"/>
              </w:rPr>
              <w:t>（mg/L）</w:t>
            </w:r>
          </w:p>
        </w:tc>
        <w:tc>
          <w:tcPr>
            <w:tcW w:w="1606" w:type="pct"/>
            <w:gridSpan w:val="2"/>
            <w:tcBorders>
              <w:tl2br w:val="nil"/>
              <w:tr2bl w:val="nil"/>
            </w:tcBorders>
            <w:noWrap w:val="0"/>
            <w:vAlign w:val="center"/>
          </w:tcPr>
          <w:p w14:paraId="31F35576">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lang w:val="en-US" w:eastAsia="zh-CN"/>
              </w:rPr>
              <w:t>1.0</w:t>
            </w:r>
          </w:p>
        </w:tc>
      </w:tr>
      <w:tr w14:paraId="0F6DE89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318DACD0">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1BD05BB7">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0A28CADE">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7A047258">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lang w:val="en-US" w:eastAsia="zh-CN"/>
              </w:rPr>
              <w:t>镉</w:t>
            </w:r>
            <w:r>
              <w:rPr>
                <w:rFonts w:hint="default" w:ascii="Times New Roman" w:hAnsi="Times New Roman" w:cs="Times New Roman"/>
                <w:color w:val="auto"/>
                <w:kern w:val="2"/>
                <w:sz w:val="21"/>
                <w:highlight w:val="none"/>
              </w:rPr>
              <w:t>（mg/L）</w:t>
            </w:r>
          </w:p>
        </w:tc>
        <w:tc>
          <w:tcPr>
            <w:tcW w:w="1606" w:type="pct"/>
            <w:gridSpan w:val="2"/>
            <w:tcBorders>
              <w:tl2br w:val="nil"/>
              <w:tr2bl w:val="nil"/>
            </w:tcBorders>
            <w:noWrap w:val="0"/>
            <w:vAlign w:val="center"/>
          </w:tcPr>
          <w:p w14:paraId="10CCC47E">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lang w:val="en-US"/>
              </w:rPr>
              <w:t>0.0</w:t>
            </w:r>
            <w:r>
              <w:rPr>
                <w:rFonts w:hint="default" w:ascii="Times New Roman" w:hAnsi="Times New Roman" w:cs="Times New Roman"/>
                <w:color w:val="auto"/>
                <w:kern w:val="2"/>
                <w:sz w:val="21"/>
                <w:highlight w:val="none"/>
                <w:lang w:val="en-US" w:eastAsia="zh-CN"/>
              </w:rPr>
              <w:t>05</w:t>
            </w:r>
          </w:p>
        </w:tc>
      </w:tr>
      <w:tr w14:paraId="54284EA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6B83CBCB">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46E1C9CA">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785229DB">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7AEE0D35">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lang w:val="en-US" w:eastAsia="zh-CN"/>
              </w:rPr>
              <w:t>铁</w:t>
            </w:r>
            <w:r>
              <w:rPr>
                <w:rFonts w:hint="default" w:ascii="Times New Roman" w:hAnsi="Times New Roman" w:cs="Times New Roman"/>
                <w:color w:val="auto"/>
                <w:kern w:val="2"/>
                <w:sz w:val="21"/>
                <w:highlight w:val="none"/>
              </w:rPr>
              <w:t>（mg/L）</w:t>
            </w:r>
          </w:p>
        </w:tc>
        <w:tc>
          <w:tcPr>
            <w:tcW w:w="1606" w:type="pct"/>
            <w:gridSpan w:val="2"/>
            <w:tcBorders>
              <w:tl2br w:val="nil"/>
              <w:tr2bl w:val="nil"/>
            </w:tcBorders>
            <w:noWrap w:val="0"/>
            <w:vAlign w:val="center"/>
          </w:tcPr>
          <w:p w14:paraId="0D951CAC">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0.</w:t>
            </w:r>
            <w:r>
              <w:rPr>
                <w:rFonts w:hint="default" w:ascii="Times New Roman" w:hAnsi="Times New Roman" w:cs="Times New Roman"/>
                <w:color w:val="auto"/>
                <w:kern w:val="2"/>
                <w:sz w:val="21"/>
                <w:highlight w:val="none"/>
                <w:lang w:val="en-US" w:eastAsia="zh-CN"/>
              </w:rPr>
              <w:t>3</w:t>
            </w:r>
          </w:p>
        </w:tc>
      </w:tr>
      <w:tr w14:paraId="1EA2276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43C31C73">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7F846657">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566F035D">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3D3A1FC9">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lang w:val="en-US" w:eastAsia="zh-CN"/>
              </w:rPr>
              <w:t>锰</w:t>
            </w:r>
            <w:r>
              <w:rPr>
                <w:rFonts w:hint="default" w:ascii="Times New Roman" w:hAnsi="Times New Roman" w:cs="Times New Roman"/>
                <w:color w:val="auto"/>
                <w:kern w:val="2"/>
                <w:sz w:val="21"/>
                <w:highlight w:val="none"/>
              </w:rPr>
              <w:t>（mg/L）</w:t>
            </w:r>
          </w:p>
        </w:tc>
        <w:tc>
          <w:tcPr>
            <w:tcW w:w="1606" w:type="pct"/>
            <w:gridSpan w:val="2"/>
            <w:tcBorders>
              <w:tl2br w:val="nil"/>
              <w:tr2bl w:val="nil"/>
            </w:tcBorders>
            <w:noWrap w:val="0"/>
            <w:vAlign w:val="center"/>
          </w:tcPr>
          <w:p w14:paraId="0D98EBB3">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0.</w:t>
            </w:r>
            <w:r>
              <w:rPr>
                <w:rFonts w:hint="default" w:ascii="Times New Roman" w:hAnsi="Times New Roman" w:cs="Times New Roman"/>
                <w:color w:val="auto"/>
                <w:kern w:val="2"/>
                <w:sz w:val="21"/>
                <w:highlight w:val="none"/>
                <w:lang w:val="en-US" w:eastAsia="zh-CN"/>
              </w:rPr>
              <w:t>10</w:t>
            </w:r>
          </w:p>
        </w:tc>
      </w:tr>
      <w:tr w14:paraId="5B94864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76349F4A">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6BDDC3CF">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01A507D3">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00034134">
            <w:pPr>
              <w:pStyle w:val="69"/>
              <w:topLinePunct/>
              <w:autoSpaceDE/>
              <w:autoSpaceDN/>
              <w:spacing w:line="269"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rPr>
              <w:t>菌落总数（CFU/mL）</w:t>
            </w:r>
          </w:p>
        </w:tc>
        <w:tc>
          <w:tcPr>
            <w:tcW w:w="1606" w:type="pct"/>
            <w:gridSpan w:val="2"/>
            <w:tcBorders>
              <w:tl2br w:val="nil"/>
              <w:tr2bl w:val="nil"/>
            </w:tcBorders>
            <w:noWrap w:val="0"/>
            <w:vAlign w:val="center"/>
          </w:tcPr>
          <w:p w14:paraId="0179F22E">
            <w:pPr>
              <w:pStyle w:val="69"/>
              <w:topLinePunct/>
              <w:autoSpaceDE/>
              <w:autoSpaceDN/>
              <w:ind w:firstLine="180" w:firstLineChars="100"/>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100</w:t>
            </w:r>
          </w:p>
        </w:tc>
      </w:tr>
      <w:tr w14:paraId="7E267B3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04FDE4DF">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601CCBE2">
            <w:pPr>
              <w:pStyle w:val="69"/>
              <w:spacing w:before="1"/>
              <w:ind w:left="0" w:leftChars="0" w:right="-10" w:rightChars="0" w:firstLine="0" w:firstLineChars="0"/>
              <w:rPr>
                <w:rFonts w:hint="default" w:ascii="Times New Roman" w:hAnsi="Times New Roman" w:cs="Times New Roman"/>
                <w:color w:val="auto"/>
                <w:sz w:val="21"/>
                <w:highlight w:val="none"/>
              </w:rPr>
            </w:pPr>
          </w:p>
        </w:tc>
        <w:tc>
          <w:tcPr>
            <w:tcW w:w="1484" w:type="pct"/>
            <w:vMerge w:val="continue"/>
            <w:tcBorders>
              <w:tl2br w:val="nil"/>
              <w:tr2bl w:val="nil"/>
            </w:tcBorders>
            <w:noWrap w:val="0"/>
            <w:vAlign w:val="center"/>
          </w:tcPr>
          <w:p w14:paraId="62717F1D">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695EBB8B">
            <w:pPr>
              <w:pStyle w:val="69"/>
              <w:topLinePunct/>
              <w:autoSpaceDE/>
              <w:autoSpaceDN/>
              <w:spacing w:line="240" w:lineRule="exact"/>
              <w:jc w:val="center"/>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21"/>
                <w:highlight w:val="none"/>
              </w:rPr>
              <w:t>总大肠菌群</w:t>
            </w:r>
            <w:r>
              <w:rPr>
                <w:rFonts w:hint="default" w:ascii="Times New Roman" w:hAnsi="Times New Roman" w:cs="Times New Roman"/>
                <w:color w:val="auto"/>
                <w:kern w:val="2"/>
                <w:sz w:val="21"/>
                <w:highlight w:val="none"/>
                <w:lang w:eastAsia="zh-CN"/>
              </w:rPr>
              <w:t>（</w:t>
            </w:r>
            <w:r>
              <w:rPr>
                <w:rFonts w:hint="default" w:ascii="Times New Roman" w:hAnsi="Times New Roman" w:cs="Times New Roman"/>
                <w:color w:val="auto"/>
                <w:kern w:val="2"/>
                <w:sz w:val="21"/>
                <w:highlight w:val="none"/>
                <w:lang w:val="en-US" w:eastAsia="zh-CN"/>
              </w:rPr>
              <w:t>MPN/100</w:t>
            </w:r>
            <w:r>
              <w:rPr>
                <w:rFonts w:hint="default" w:ascii="Times New Roman" w:hAnsi="Times New Roman" w:cs="Times New Roman"/>
                <w:color w:val="auto"/>
                <w:kern w:val="2"/>
                <w:sz w:val="21"/>
                <w:highlight w:val="none"/>
              </w:rPr>
              <w:t>mL</w:t>
            </w:r>
            <w:r>
              <w:rPr>
                <w:rFonts w:hint="default" w:ascii="Times New Roman" w:hAnsi="Times New Roman" w:cs="Times New Roman"/>
                <w:color w:val="auto"/>
                <w:kern w:val="2"/>
                <w:sz w:val="21"/>
                <w:highlight w:val="none"/>
                <w:lang w:val="en-US" w:eastAsia="zh-CN"/>
              </w:rPr>
              <w:t>或</w:t>
            </w:r>
            <w:r>
              <w:rPr>
                <w:rFonts w:hint="default" w:ascii="Times New Roman" w:hAnsi="Times New Roman" w:cs="Times New Roman"/>
                <w:color w:val="auto"/>
                <w:kern w:val="2"/>
                <w:sz w:val="21"/>
                <w:highlight w:val="none"/>
              </w:rPr>
              <w:t>CFU/</w:t>
            </w:r>
            <w:r>
              <w:rPr>
                <w:rFonts w:hint="default" w:ascii="Times New Roman" w:hAnsi="Times New Roman" w:cs="Times New Roman"/>
                <w:color w:val="auto"/>
                <w:kern w:val="2"/>
                <w:sz w:val="21"/>
                <w:highlight w:val="none"/>
                <w:lang w:val="en-US" w:eastAsia="zh-CN"/>
              </w:rPr>
              <w:t>100</w:t>
            </w:r>
            <w:r>
              <w:rPr>
                <w:rFonts w:hint="default" w:ascii="Times New Roman" w:hAnsi="Times New Roman" w:cs="Times New Roman"/>
                <w:color w:val="auto"/>
                <w:kern w:val="2"/>
                <w:sz w:val="21"/>
                <w:highlight w:val="none"/>
              </w:rPr>
              <w:t>mL</w:t>
            </w:r>
            <w:r>
              <w:rPr>
                <w:rFonts w:hint="default" w:ascii="Times New Roman" w:hAnsi="Times New Roman" w:cs="Times New Roman"/>
                <w:color w:val="auto"/>
                <w:kern w:val="2"/>
                <w:sz w:val="21"/>
                <w:highlight w:val="none"/>
                <w:lang w:eastAsia="zh-CN"/>
              </w:rPr>
              <w:t>）</w:t>
            </w:r>
          </w:p>
        </w:tc>
        <w:tc>
          <w:tcPr>
            <w:tcW w:w="1606" w:type="pct"/>
            <w:gridSpan w:val="2"/>
            <w:tcBorders>
              <w:tl2br w:val="nil"/>
              <w:tr2bl w:val="nil"/>
            </w:tcBorders>
            <w:noWrap w:val="0"/>
            <w:vAlign w:val="center"/>
          </w:tcPr>
          <w:p w14:paraId="28DB5EEC">
            <w:pPr>
              <w:pStyle w:val="69"/>
              <w:topLinePunct/>
              <w:autoSpaceDE/>
              <w:autoSpaceDN/>
              <w:spacing w:line="235" w:lineRule="exact"/>
              <w:rPr>
                <w:rFonts w:hint="default" w:ascii="Times New Roman" w:hAnsi="Times New Roman" w:cs="Times New Roman"/>
                <w:snapToGrid w:val="0"/>
                <w:color w:val="auto"/>
                <w:kern w:val="2"/>
                <w:sz w:val="21"/>
                <w:szCs w:val="24"/>
                <w:highlight w:val="none"/>
                <w:lang w:val="en-US" w:bidi="ar-SA"/>
              </w:rPr>
            </w:pPr>
            <w:r>
              <w:rPr>
                <w:rFonts w:hint="default" w:ascii="Times New Roman" w:hAnsi="Times New Roman" w:cs="Times New Roman"/>
                <w:color w:val="auto"/>
                <w:kern w:val="2"/>
                <w:sz w:val="18"/>
                <w:szCs w:val="18"/>
                <w:highlight w:val="none"/>
                <w:lang w:val="en-US"/>
              </w:rPr>
              <w:t>≤</w:t>
            </w:r>
            <w:r>
              <w:rPr>
                <w:rFonts w:hint="default" w:ascii="Times New Roman" w:hAnsi="Times New Roman" w:cs="Times New Roman"/>
                <w:color w:val="auto"/>
                <w:kern w:val="2"/>
                <w:sz w:val="21"/>
                <w:highlight w:val="none"/>
              </w:rPr>
              <w:t>3.0</w:t>
            </w:r>
          </w:p>
        </w:tc>
      </w:tr>
      <w:tr w14:paraId="01BEE52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40" w:type="pct"/>
            <w:vMerge w:val="continue"/>
            <w:tcBorders>
              <w:tl2br w:val="nil"/>
              <w:tr2bl w:val="nil"/>
            </w:tcBorders>
            <w:noWrap w:val="0"/>
            <w:vAlign w:val="center"/>
          </w:tcPr>
          <w:p w14:paraId="4D8E8A60">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restart"/>
            <w:tcBorders>
              <w:tl2br w:val="nil"/>
              <w:tr2bl w:val="nil"/>
            </w:tcBorders>
            <w:noWrap w:val="0"/>
            <w:vAlign w:val="center"/>
          </w:tcPr>
          <w:p w14:paraId="7ACC1F51">
            <w:pPr>
              <w:pStyle w:val="69"/>
              <w:spacing w:before="1"/>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声环境</w:t>
            </w:r>
          </w:p>
        </w:tc>
        <w:tc>
          <w:tcPr>
            <w:tcW w:w="1484" w:type="pct"/>
            <w:vMerge w:val="restart"/>
            <w:tcBorders>
              <w:tl2br w:val="nil"/>
              <w:tr2bl w:val="nil"/>
            </w:tcBorders>
            <w:noWrap w:val="0"/>
            <w:vAlign w:val="center"/>
          </w:tcPr>
          <w:p w14:paraId="4A003E6A">
            <w:pPr>
              <w:pStyle w:val="69"/>
              <w:spacing w:before="7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《声环境质量标准》（</w:t>
            </w:r>
            <w:r>
              <w:rPr>
                <w:rFonts w:hint="default" w:ascii="Times New Roman" w:hAnsi="Times New Roman" w:eastAsia="Times New Roman" w:cs="Times New Roman"/>
                <w:color w:val="auto"/>
                <w:sz w:val="21"/>
                <w:highlight w:val="none"/>
              </w:rPr>
              <w:t>GB3096-2008</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2</w:t>
            </w:r>
            <w:r>
              <w:rPr>
                <w:rFonts w:hint="default" w:ascii="Times New Roman" w:hAnsi="Times New Roman" w:cs="Times New Roman"/>
                <w:color w:val="auto"/>
                <w:sz w:val="21"/>
                <w:highlight w:val="none"/>
              </w:rPr>
              <w:t>类区标准</w:t>
            </w:r>
          </w:p>
        </w:tc>
        <w:tc>
          <w:tcPr>
            <w:tcW w:w="1213" w:type="pct"/>
            <w:tcBorders>
              <w:tl2br w:val="nil"/>
              <w:tr2bl w:val="nil"/>
            </w:tcBorders>
            <w:noWrap w:val="0"/>
            <w:vAlign w:val="center"/>
          </w:tcPr>
          <w:p w14:paraId="62AD5733">
            <w:pPr>
              <w:pStyle w:val="69"/>
              <w:spacing w:before="20"/>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昼间等效声级</w:t>
            </w:r>
            <w:r>
              <w:rPr>
                <w:rFonts w:hint="default" w:ascii="Times New Roman" w:hAnsi="Times New Roman" w:eastAsia="Times New Roman" w:cs="Times New Roman"/>
                <w:color w:val="auto"/>
                <w:sz w:val="21"/>
                <w:highlight w:val="none"/>
              </w:rPr>
              <w:t>dB</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A</w:t>
            </w:r>
            <w:r>
              <w:rPr>
                <w:rFonts w:hint="default" w:ascii="Times New Roman" w:hAnsi="Times New Roman" w:cs="Times New Roman"/>
                <w:color w:val="auto"/>
                <w:sz w:val="21"/>
                <w:highlight w:val="none"/>
              </w:rPr>
              <w:t>）</w:t>
            </w:r>
          </w:p>
        </w:tc>
        <w:tc>
          <w:tcPr>
            <w:tcW w:w="1606" w:type="pct"/>
            <w:gridSpan w:val="2"/>
            <w:tcBorders>
              <w:tl2br w:val="nil"/>
              <w:tr2bl w:val="nil"/>
            </w:tcBorders>
            <w:noWrap w:val="0"/>
            <w:vAlign w:val="center"/>
          </w:tcPr>
          <w:p w14:paraId="78F2656C">
            <w:pPr>
              <w:pStyle w:val="69"/>
              <w:spacing w:before="2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60</w:t>
            </w:r>
          </w:p>
        </w:tc>
      </w:tr>
      <w:tr w14:paraId="73BE392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340" w:type="pct"/>
            <w:vMerge w:val="continue"/>
            <w:tcBorders>
              <w:tl2br w:val="nil"/>
              <w:tr2bl w:val="nil"/>
            </w:tcBorders>
            <w:noWrap w:val="0"/>
            <w:vAlign w:val="center"/>
          </w:tcPr>
          <w:p w14:paraId="0A841883">
            <w:pPr>
              <w:ind w:left="0" w:leftChars="0" w:right="-10" w:rightChars="0" w:firstLine="0" w:firstLineChars="0"/>
              <w:jc w:val="center"/>
              <w:rPr>
                <w:rFonts w:hint="default" w:ascii="Times New Roman" w:hAnsi="Times New Roman" w:cs="Times New Roman"/>
                <w:color w:val="auto"/>
                <w:sz w:val="2"/>
                <w:szCs w:val="2"/>
                <w:highlight w:val="none"/>
              </w:rPr>
            </w:pPr>
          </w:p>
        </w:tc>
        <w:tc>
          <w:tcPr>
            <w:tcW w:w="355" w:type="pct"/>
            <w:vMerge w:val="continue"/>
            <w:tcBorders>
              <w:tl2br w:val="nil"/>
              <w:tr2bl w:val="nil"/>
            </w:tcBorders>
            <w:noWrap w:val="0"/>
            <w:vAlign w:val="center"/>
          </w:tcPr>
          <w:p w14:paraId="40A8C9DD">
            <w:pPr>
              <w:ind w:left="0" w:leftChars="0" w:right="-10" w:rightChars="0" w:firstLine="0" w:firstLineChars="0"/>
              <w:jc w:val="center"/>
              <w:rPr>
                <w:rFonts w:hint="default" w:ascii="Times New Roman" w:hAnsi="Times New Roman" w:cs="Times New Roman"/>
                <w:color w:val="auto"/>
                <w:sz w:val="2"/>
                <w:szCs w:val="2"/>
                <w:highlight w:val="none"/>
              </w:rPr>
            </w:pPr>
          </w:p>
        </w:tc>
        <w:tc>
          <w:tcPr>
            <w:tcW w:w="1484" w:type="pct"/>
            <w:vMerge w:val="continue"/>
            <w:tcBorders>
              <w:tl2br w:val="nil"/>
              <w:tr2bl w:val="nil"/>
            </w:tcBorders>
            <w:noWrap w:val="0"/>
            <w:vAlign w:val="center"/>
          </w:tcPr>
          <w:p w14:paraId="62EE25B6">
            <w:pPr>
              <w:ind w:left="0" w:leftChars="0" w:right="-10" w:rightChars="0" w:firstLine="0" w:firstLineChars="0"/>
              <w:jc w:val="center"/>
              <w:rPr>
                <w:rFonts w:hint="default" w:ascii="Times New Roman" w:hAnsi="Times New Roman" w:cs="Times New Roman"/>
                <w:color w:val="auto"/>
                <w:sz w:val="2"/>
                <w:szCs w:val="2"/>
                <w:highlight w:val="none"/>
              </w:rPr>
            </w:pPr>
          </w:p>
        </w:tc>
        <w:tc>
          <w:tcPr>
            <w:tcW w:w="1213" w:type="pct"/>
            <w:tcBorders>
              <w:tl2br w:val="nil"/>
              <w:tr2bl w:val="nil"/>
            </w:tcBorders>
            <w:noWrap w:val="0"/>
            <w:vAlign w:val="center"/>
          </w:tcPr>
          <w:p w14:paraId="0A213FD8">
            <w:pPr>
              <w:pStyle w:val="69"/>
              <w:spacing w:before="20"/>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夜间等效声级</w:t>
            </w:r>
            <w:r>
              <w:rPr>
                <w:rFonts w:hint="default" w:ascii="Times New Roman" w:hAnsi="Times New Roman" w:eastAsia="Times New Roman" w:cs="Times New Roman"/>
                <w:color w:val="auto"/>
                <w:sz w:val="21"/>
                <w:highlight w:val="none"/>
              </w:rPr>
              <w:t>dB</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A</w:t>
            </w:r>
            <w:r>
              <w:rPr>
                <w:rFonts w:hint="default" w:ascii="Times New Roman" w:hAnsi="Times New Roman" w:cs="Times New Roman"/>
                <w:color w:val="auto"/>
                <w:sz w:val="21"/>
                <w:highlight w:val="none"/>
              </w:rPr>
              <w:t>）</w:t>
            </w:r>
          </w:p>
        </w:tc>
        <w:tc>
          <w:tcPr>
            <w:tcW w:w="1606" w:type="pct"/>
            <w:gridSpan w:val="2"/>
            <w:tcBorders>
              <w:tl2br w:val="nil"/>
              <w:tr2bl w:val="nil"/>
            </w:tcBorders>
            <w:noWrap w:val="0"/>
            <w:vAlign w:val="center"/>
          </w:tcPr>
          <w:p w14:paraId="6B77B018">
            <w:pPr>
              <w:pStyle w:val="69"/>
              <w:spacing w:before="2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50</w:t>
            </w:r>
          </w:p>
        </w:tc>
      </w:tr>
    </w:tbl>
    <w:p w14:paraId="269ADF17">
      <w:pPr>
        <w:pStyle w:val="73"/>
        <w:keepNext w:val="0"/>
        <w:keepLines w:val="0"/>
        <w:pageBreakBefore w:val="0"/>
        <w:widowControl w:val="0"/>
        <w:tabs>
          <w:tab w:val="left" w:pos="999"/>
        </w:tabs>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rPr>
        <w:t>土壤环境执行《畜禽养殖产地环境评价规范》（HJ568-2010）</w:t>
      </w:r>
      <w:r>
        <w:rPr>
          <w:rFonts w:hint="default" w:ascii="Times New Roman" w:hAnsi="Times New Roman" w:cs="Times New Roman"/>
          <w:color w:val="FF0000"/>
          <w:sz w:val="24"/>
          <w:highlight w:val="none"/>
          <w:lang w:val="en-US" w:eastAsia="zh-CN"/>
        </w:rPr>
        <w:t>中表4放牧区和畜禽养殖场、养殖小区土壤环境质量评价指标限值</w:t>
      </w:r>
      <w:r>
        <w:rPr>
          <w:rFonts w:hint="default" w:ascii="Times New Roman" w:hAnsi="Times New Roman" w:cs="Times New Roman"/>
          <w:color w:val="FF0000"/>
          <w:sz w:val="24"/>
          <w:highlight w:val="none"/>
        </w:rPr>
        <w:t>，</w:t>
      </w:r>
      <w:r>
        <w:rPr>
          <w:rFonts w:hint="default" w:ascii="Times New Roman" w:hAnsi="Times New Roman" w:cs="Times New Roman"/>
          <w:color w:val="FF0000"/>
          <w:spacing w:val="-11"/>
          <w:sz w:val="24"/>
          <w:highlight w:val="none"/>
        </w:rPr>
        <w:t>标准值见表</w:t>
      </w:r>
      <w:r>
        <w:rPr>
          <w:rFonts w:hint="default" w:ascii="Times New Roman" w:hAnsi="Times New Roman" w:cs="Times New Roman"/>
          <w:color w:val="FF0000"/>
          <w:sz w:val="24"/>
          <w:highlight w:val="none"/>
          <w:lang w:val="en-US"/>
        </w:rPr>
        <w:t>2.4-2</w:t>
      </w:r>
      <w:r>
        <w:rPr>
          <w:rFonts w:hint="default" w:ascii="Times New Roman" w:hAnsi="Times New Roman" w:cs="Times New Roman"/>
          <w:color w:val="FF0000"/>
          <w:sz w:val="24"/>
          <w:highlight w:val="none"/>
        </w:rPr>
        <w:t>。</w:t>
      </w:r>
    </w:p>
    <w:p w14:paraId="0699D1A2">
      <w:pPr>
        <w:pStyle w:val="14"/>
        <w:bidi w:val="0"/>
        <w:rPr>
          <w:rFonts w:hint="default" w:ascii="Times New Roman" w:hAnsi="Times New Roman" w:cs="Times New Roman"/>
          <w:color w:val="FF0000"/>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2.4</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cs="Times New Roman"/>
          <w:color w:val="FF0000"/>
        </w:rPr>
        <w:tab/>
      </w:r>
      <w:r>
        <w:rPr>
          <w:rFonts w:hint="default" w:ascii="Times New Roman" w:hAnsi="Times New Roman" w:cs="Times New Roman"/>
          <w:color w:val="FF0000"/>
        </w:rPr>
        <w:t>畜禽养殖场、养殖小区土壤环境质量评价指标限值</w:t>
      </w:r>
      <w:r>
        <w:rPr>
          <w:rFonts w:hint="default" w:ascii="Times New Roman" w:hAnsi="Times New Roman" w:cs="Times New Roman"/>
          <w:color w:val="FF0000"/>
        </w:rPr>
        <w:tab/>
      </w:r>
      <w:r>
        <w:rPr>
          <w:rFonts w:hint="default" w:ascii="Times New Roman" w:hAnsi="Times New Roman" w:cs="Times New Roman"/>
          <w:color w:val="FF0000"/>
        </w:rPr>
        <w:t>单位mg/kg</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3967"/>
        <w:gridCol w:w="2844"/>
      </w:tblGrid>
      <w:tr w14:paraId="0DBC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pct"/>
            <w:tcBorders>
              <w:tl2br w:val="nil"/>
              <w:tr2bl w:val="nil"/>
            </w:tcBorders>
            <w:noWrap w:val="0"/>
            <w:vAlign w:val="center"/>
          </w:tcPr>
          <w:p w14:paraId="5C753F86">
            <w:pPr>
              <w:pStyle w:val="118"/>
              <w:adjustRightInd/>
              <w:snapToGrid/>
              <w:spacing w:line="240" w:lineRule="auto"/>
              <w:ind w:firstLine="0" w:firstLineChars="0"/>
              <w:rPr>
                <w:rFonts w:hint="default" w:ascii="Times New Roman" w:hAnsi="Times New Roman" w:cs="Times New Roman"/>
                <w:color w:val="FF0000"/>
                <w:lang w:val="en-US"/>
              </w:rPr>
            </w:pPr>
            <w:r>
              <w:rPr>
                <w:rFonts w:hint="default" w:ascii="Times New Roman" w:hAnsi="Times New Roman" w:cs="Times New Roman"/>
                <w:color w:val="FF0000"/>
                <w:lang w:val="en-US"/>
              </w:rPr>
              <w:t>序号</w:t>
            </w:r>
          </w:p>
        </w:tc>
        <w:tc>
          <w:tcPr>
            <w:tcW w:w="2325" w:type="pct"/>
            <w:tcBorders>
              <w:tl2br w:val="nil"/>
              <w:tr2bl w:val="nil"/>
            </w:tcBorders>
            <w:noWrap w:val="0"/>
            <w:vAlign w:val="center"/>
          </w:tcPr>
          <w:p w14:paraId="1479751C">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spacing w:val="-1"/>
                <w:sz w:val="21"/>
              </w:rPr>
              <w:t>污染物项目</w:t>
            </w:r>
          </w:p>
        </w:tc>
        <w:tc>
          <w:tcPr>
            <w:tcW w:w="1666" w:type="pct"/>
            <w:tcBorders>
              <w:tl2br w:val="nil"/>
              <w:tr2bl w:val="nil"/>
            </w:tcBorders>
            <w:noWrap w:val="0"/>
            <w:vAlign w:val="center"/>
          </w:tcPr>
          <w:p w14:paraId="69BCE4DB">
            <w:pPr>
              <w:pStyle w:val="118"/>
              <w:adjustRightInd/>
              <w:snapToGrid/>
              <w:spacing w:line="240" w:lineRule="auto"/>
              <w:ind w:firstLine="0" w:firstLineChars="0"/>
              <w:rPr>
                <w:rFonts w:hint="default" w:ascii="Times New Roman" w:hAnsi="Times New Roman" w:cs="Times New Roman"/>
                <w:color w:val="FF0000"/>
                <w:lang w:val="en-US"/>
              </w:rPr>
            </w:pPr>
            <w:r>
              <w:rPr>
                <w:rFonts w:hint="default" w:ascii="Times New Roman" w:hAnsi="Times New Roman" w:cs="Times New Roman"/>
                <w:color w:val="FF0000"/>
                <w:lang w:val="en-US"/>
              </w:rPr>
              <w:t>标准</w:t>
            </w:r>
          </w:p>
        </w:tc>
      </w:tr>
      <w:tr w14:paraId="3660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pct"/>
            <w:tcBorders>
              <w:tl2br w:val="nil"/>
              <w:tr2bl w:val="nil"/>
            </w:tcBorders>
            <w:noWrap w:val="0"/>
            <w:vAlign w:val="center"/>
          </w:tcPr>
          <w:p w14:paraId="04756D81">
            <w:pPr>
              <w:pStyle w:val="118"/>
              <w:adjustRightInd/>
              <w:snapToGrid/>
              <w:spacing w:line="240" w:lineRule="auto"/>
              <w:ind w:firstLine="0" w:firstLineChars="0"/>
              <w:rPr>
                <w:rFonts w:hint="default" w:ascii="Times New Roman" w:hAnsi="Times New Roman" w:cs="Times New Roman"/>
                <w:color w:val="FF0000"/>
                <w:lang w:val="en-US"/>
              </w:rPr>
            </w:pPr>
            <w:r>
              <w:rPr>
                <w:rFonts w:hint="default" w:ascii="Times New Roman" w:hAnsi="Times New Roman" w:cs="Times New Roman"/>
                <w:color w:val="FF0000"/>
                <w:lang w:val="en-US"/>
              </w:rPr>
              <w:t>1</w:t>
            </w:r>
          </w:p>
        </w:tc>
        <w:tc>
          <w:tcPr>
            <w:tcW w:w="2325" w:type="pct"/>
            <w:tcBorders>
              <w:tl2br w:val="nil"/>
              <w:tr2bl w:val="nil"/>
            </w:tcBorders>
            <w:noWrap w:val="0"/>
            <w:vAlign w:val="center"/>
          </w:tcPr>
          <w:p w14:paraId="55ED2E97">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镉</w:t>
            </w:r>
          </w:p>
        </w:tc>
        <w:tc>
          <w:tcPr>
            <w:tcW w:w="1666" w:type="pct"/>
            <w:tcBorders>
              <w:tl2br w:val="nil"/>
              <w:tr2bl w:val="nil"/>
            </w:tcBorders>
            <w:noWrap w:val="0"/>
            <w:vAlign w:val="center"/>
          </w:tcPr>
          <w:p w14:paraId="76EA29BC">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1.0</w:t>
            </w:r>
          </w:p>
        </w:tc>
      </w:tr>
      <w:tr w14:paraId="327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pct"/>
            <w:tcBorders>
              <w:tl2br w:val="nil"/>
              <w:tr2bl w:val="nil"/>
            </w:tcBorders>
            <w:noWrap w:val="0"/>
            <w:vAlign w:val="center"/>
          </w:tcPr>
          <w:p w14:paraId="4F55CEAB">
            <w:pPr>
              <w:pStyle w:val="118"/>
              <w:adjustRightInd/>
              <w:snapToGrid/>
              <w:spacing w:line="240" w:lineRule="auto"/>
              <w:ind w:firstLine="0" w:firstLineChars="0"/>
              <w:rPr>
                <w:rFonts w:hint="default" w:ascii="Times New Roman" w:hAnsi="Times New Roman" w:cs="Times New Roman"/>
                <w:color w:val="FF0000"/>
                <w:lang w:val="en-US"/>
              </w:rPr>
            </w:pPr>
            <w:r>
              <w:rPr>
                <w:rFonts w:hint="default" w:ascii="Times New Roman" w:hAnsi="Times New Roman" w:cs="Times New Roman"/>
                <w:color w:val="FF0000"/>
                <w:lang w:val="en-US"/>
              </w:rPr>
              <w:t>2</w:t>
            </w:r>
          </w:p>
        </w:tc>
        <w:tc>
          <w:tcPr>
            <w:tcW w:w="2325" w:type="pct"/>
            <w:tcBorders>
              <w:tl2br w:val="nil"/>
              <w:tr2bl w:val="nil"/>
            </w:tcBorders>
            <w:noWrap w:val="0"/>
            <w:vAlign w:val="center"/>
          </w:tcPr>
          <w:p w14:paraId="6AE63FF9">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汞</w:t>
            </w:r>
          </w:p>
        </w:tc>
        <w:tc>
          <w:tcPr>
            <w:tcW w:w="1666" w:type="pct"/>
            <w:tcBorders>
              <w:tl2br w:val="nil"/>
              <w:tr2bl w:val="nil"/>
            </w:tcBorders>
            <w:noWrap w:val="0"/>
            <w:vAlign w:val="center"/>
          </w:tcPr>
          <w:p w14:paraId="0C92EBCE">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1.5</w:t>
            </w:r>
          </w:p>
        </w:tc>
      </w:tr>
      <w:tr w14:paraId="3BF4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pct"/>
            <w:tcBorders>
              <w:tl2br w:val="nil"/>
              <w:tr2bl w:val="nil"/>
            </w:tcBorders>
            <w:noWrap w:val="0"/>
            <w:vAlign w:val="center"/>
          </w:tcPr>
          <w:p w14:paraId="494214FA">
            <w:pPr>
              <w:pStyle w:val="118"/>
              <w:adjustRightInd/>
              <w:snapToGrid/>
              <w:spacing w:line="240" w:lineRule="auto"/>
              <w:ind w:firstLine="0" w:firstLineChars="0"/>
              <w:rPr>
                <w:rFonts w:hint="default" w:ascii="Times New Roman" w:hAnsi="Times New Roman" w:cs="Times New Roman"/>
                <w:color w:val="FF0000"/>
                <w:lang w:val="en-US"/>
              </w:rPr>
            </w:pPr>
            <w:r>
              <w:rPr>
                <w:rFonts w:hint="default" w:ascii="Times New Roman" w:hAnsi="Times New Roman" w:cs="Times New Roman"/>
                <w:color w:val="FF0000"/>
                <w:lang w:val="en-US"/>
              </w:rPr>
              <w:t>3</w:t>
            </w:r>
          </w:p>
        </w:tc>
        <w:tc>
          <w:tcPr>
            <w:tcW w:w="2325" w:type="pct"/>
            <w:tcBorders>
              <w:tl2br w:val="nil"/>
              <w:tr2bl w:val="nil"/>
            </w:tcBorders>
            <w:noWrap w:val="0"/>
            <w:vAlign w:val="center"/>
          </w:tcPr>
          <w:p w14:paraId="653CBD9D">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砷</w:t>
            </w:r>
          </w:p>
        </w:tc>
        <w:tc>
          <w:tcPr>
            <w:tcW w:w="1666" w:type="pct"/>
            <w:tcBorders>
              <w:tl2br w:val="nil"/>
              <w:tr2bl w:val="nil"/>
            </w:tcBorders>
            <w:noWrap w:val="0"/>
            <w:vAlign w:val="center"/>
          </w:tcPr>
          <w:p w14:paraId="1F94CBC3">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40</w:t>
            </w:r>
          </w:p>
        </w:tc>
      </w:tr>
      <w:tr w14:paraId="73EB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pct"/>
            <w:tcBorders>
              <w:tl2br w:val="nil"/>
              <w:tr2bl w:val="nil"/>
            </w:tcBorders>
            <w:noWrap w:val="0"/>
            <w:vAlign w:val="center"/>
          </w:tcPr>
          <w:p w14:paraId="2F273619">
            <w:pPr>
              <w:pStyle w:val="118"/>
              <w:adjustRightInd/>
              <w:snapToGrid/>
              <w:spacing w:line="240" w:lineRule="auto"/>
              <w:ind w:firstLine="0" w:firstLineChars="0"/>
              <w:rPr>
                <w:rFonts w:hint="default" w:ascii="Times New Roman" w:hAnsi="Times New Roman" w:cs="Times New Roman"/>
                <w:color w:val="FF0000"/>
                <w:lang w:val="en-US"/>
              </w:rPr>
            </w:pPr>
            <w:r>
              <w:rPr>
                <w:rFonts w:hint="default" w:ascii="Times New Roman" w:hAnsi="Times New Roman" w:cs="Times New Roman"/>
                <w:color w:val="FF0000"/>
                <w:lang w:val="en-US"/>
              </w:rPr>
              <w:t>4</w:t>
            </w:r>
          </w:p>
        </w:tc>
        <w:tc>
          <w:tcPr>
            <w:tcW w:w="2325" w:type="pct"/>
            <w:tcBorders>
              <w:tl2br w:val="nil"/>
              <w:tr2bl w:val="nil"/>
            </w:tcBorders>
            <w:noWrap w:val="0"/>
            <w:vAlign w:val="center"/>
          </w:tcPr>
          <w:p w14:paraId="211C48F5">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铜</w:t>
            </w:r>
          </w:p>
        </w:tc>
        <w:tc>
          <w:tcPr>
            <w:tcW w:w="1666" w:type="pct"/>
            <w:tcBorders>
              <w:tl2br w:val="nil"/>
              <w:tr2bl w:val="nil"/>
            </w:tcBorders>
            <w:noWrap w:val="0"/>
            <w:vAlign w:val="center"/>
          </w:tcPr>
          <w:p w14:paraId="73B4B2CB">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400</w:t>
            </w:r>
          </w:p>
        </w:tc>
      </w:tr>
      <w:tr w14:paraId="6010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pct"/>
            <w:tcBorders>
              <w:tl2br w:val="nil"/>
              <w:tr2bl w:val="nil"/>
            </w:tcBorders>
            <w:noWrap w:val="0"/>
            <w:vAlign w:val="center"/>
          </w:tcPr>
          <w:p w14:paraId="59774A2C">
            <w:pPr>
              <w:pStyle w:val="118"/>
              <w:adjustRightInd/>
              <w:snapToGrid/>
              <w:spacing w:line="240" w:lineRule="auto"/>
              <w:ind w:firstLine="0" w:firstLineChars="0"/>
              <w:rPr>
                <w:rFonts w:hint="default" w:ascii="Times New Roman" w:hAnsi="Times New Roman" w:cs="Times New Roman"/>
                <w:color w:val="FF0000"/>
                <w:lang w:val="en-US"/>
              </w:rPr>
            </w:pPr>
            <w:r>
              <w:rPr>
                <w:rFonts w:hint="default" w:ascii="Times New Roman" w:hAnsi="Times New Roman" w:cs="Times New Roman"/>
                <w:color w:val="FF0000"/>
                <w:lang w:val="en-US"/>
              </w:rPr>
              <w:t>5</w:t>
            </w:r>
          </w:p>
        </w:tc>
        <w:tc>
          <w:tcPr>
            <w:tcW w:w="2325" w:type="pct"/>
            <w:tcBorders>
              <w:tl2br w:val="nil"/>
              <w:tr2bl w:val="nil"/>
            </w:tcBorders>
            <w:noWrap w:val="0"/>
            <w:vAlign w:val="center"/>
          </w:tcPr>
          <w:p w14:paraId="48FB3361">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铅</w:t>
            </w:r>
          </w:p>
        </w:tc>
        <w:tc>
          <w:tcPr>
            <w:tcW w:w="1666" w:type="pct"/>
            <w:tcBorders>
              <w:tl2br w:val="nil"/>
              <w:tr2bl w:val="nil"/>
            </w:tcBorders>
            <w:noWrap w:val="0"/>
            <w:vAlign w:val="center"/>
          </w:tcPr>
          <w:p w14:paraId="235016AA">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500</w:t>
            </w:r>
          </w:p>
        </w:tc>
      </w:tr>
      <w:tr w14:paraId="0DB4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pct"/>
            <w:tcBorders>
              <w:tl2br w:val="nil"/>
              <w:tr2bl w:val="nil"/>
            </w:tcBorders>
            <w:noWrap w:val="0"/>
            <w:vAlign w:val="center"/>
          </w:tcPr>
          <w:p w14:paraId="375F8C00">
            <w:pPr>
              <w:pStyle w:val="118"/>
              <w:adjustRightInd/>
              <w:snapToGrid/>
              <w:spacing w:line="240" w:lineRule="auto"/>
              <w:ind w:firstLine="0" w:firstLineChars="0"/>
              <w:rPr>
                <w:rFonts w:hint="default" w:ascii="Times New Roman" w:hAnsi="Times New Roman" w:cs="Times New Roman"/>
                <w:color w:val="FF0000"/>
                <w:lang w:val="en-US"/>
              </w:rPr>
            </w:pPr>
            <w:r>
              <w:rPr>
                <w:rFonts w:hint="default" w:ascii="Times New Roman" w:hAnsi="Times New Roman" w:cs="Times New Roman"/>
                <w:color w:val="FF0000"/>
                <w:lang w:val="en-US"/>
              </w:rPr>
              <w:t>6</w:t>
            </w:r>
          </w:p>
        </w:tc>
        <w:tc>
          <w:tcPr>
            <w:tcW w:w="2325" w:type="pct"/>
            <w:tcBorders>
              <w:tl2br w:val="nil"/>
              <w:tr2bl w:val="nil"/>
            </w:tcBorders>
            <w:noWrap w:val="0"/>
            <w:vAlign w:val="center"/>
          </w:tcPr>
          <w:p w14:paraId="66462038">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镍</w:t>
            </w:r>
          </w:p>
        </w:tc>
        <w:tc>
          <w:tcPr>
            <w:tcW w:w="1666" w:type="pct"/>
            <w:tcBorders>
              <w:tl2br w:val="nil"/>
              <w:tr2bl w:val="nil"/>
            </w:tcBorders>
            <w:noWrap w:val="0"/>
            <w:vAlign w:val="center"/>
          </w:tcPr>
          <w:p w14:paraId="1BDCD39A">
            <w:pPr>
              <w:pStyle w:val="118"/>
              <w:adjustRightInd/>
              <w:snapToGrid/>
              <w:spacing w:line="240" w:lineRule="auto"/>
              <w:ind w:firstLine="0" w:firstLineChars="0"/>
              <w:rPr>
                <w:rFonts w:hint="default" w:ascii="Times New Roman" w:hAnsi="Times New Roman" w:cs="Times New Roman"/>
                <w:color w:val="FF0000"/>
              </w:rPr>
            </w:pPr>
            <w:r>
              <w:rPr>
                <w:rFonts w:hint="default" w:ascii="Times New Roman" w:hAnsi="Times New Roman" w:cs="Times New Roman"/>
                <w:color w:val="FF0000"/>
              </w:rPr>
              <w:t>200</w:t>
            </w:r>
          </w:p>
        </w:tc>
      </w:tr>
    </w:tbl>
    <w:p w14:paraId="1B789D36">
      <w:pPr>
        <w:pStyle w:val="14"/>
        <w:bidi w:val="0"/>
        <w:rPr>
          <w:rFonts w:hint="default" w:ascii="Times New Roman" w:hAnsi="Times New Roman" w:cs="Times New Roman"/>
          <w:color w:val="FF0000"/>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2.4</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w:t>
      </w:r>
      <w:r>
        <w:rPr>
          <w:rFonts w:hint="default" w:ascii="Times New Roman" w:hAnsi="Times New Roman" w:cs="Times New Roman"/>
          <w:color w:val="FF0000"/>
        </w:rPr>
        <w:fldChar w:fldCharType="end"/>
      </w:r>
      <w:r>
        <w:rPr>
          <w:rFonts w:hint="default" w:ascii="Times New Roman" w:hAnsi="Times New Roman" w:cs="Times New Roman"/>
          <w:color w:val="FF0000"/>
        </w:rPr>
        <w:t>污染物排放标准一览表</w:t>
      </w:r>
    </w:p>
    <w:tbl>
      <w:tblPr>
        <w:tblStyle w:val="33"/>
        <w:tblW w:w="50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6"/>
        <w:gridCol w:w="687"/>
        <w:gridCol w:w="3006"/>
        <w:gridCol w:w="565"/>
        <w:gridCol w:w="1186"/>
        <w:gridCol w:w="1085"/>
        <w:gridCol w:w="1318"/>
      </w:tblGrid>
      <w:tr w14:paraId="7409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375" w:type="pct"/>
            <w:vMerge w:val="restart"/>
            <w:noWrap w:val="0"/>
            <w:vAlign w:val="center"/>
          </w:tcPr>
          <w:p w14:paraId="07EEB248">
            <w:pPr>
              <w:pStyle w:val="69"/>
              <w:spacing w:line="244"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标准类型</w:t>
            </w:r>
          </w:p>
        </w:tc>
        <w:tc>
          <w:tcPr>
            <w:tcW w:w="405" w:type="pct"/>
            <w:vMerge w:val="restart"/>
            <w:noWrap w:val="0"/>
            <w:vAlign w:val="center"/>
          </w:tcPr>
          <w:p w14:paraId="3F1DC6A3">
            <w:pPr>
              <w:pStyle w:val="69"/>
              <w:spacing w:line="244"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环境要素</w:t>
            </w:r>
          </w:p>
        </w:tc>
        <w:tc>
          <w:tcPr>
            <w:tcW w:w="1771" w:type="pct"/>
            <w:vMerge w:val="restart"/>
            <w:noWrap w:val="0"/>
            <w:vAlign w:val="center"/>
          </w:tcPr>
          <w:p w14:paraId="015CEA5B">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标准及级别</w:t>
            </w:r>
          </w:p>
        </w:tc>
        <w:tc>
          <w:tcPr>
            <w:tcW w:w="2447" w:type="pct"/>
            <w:gridSpan w:val="4"/>
            <w:noWrap w:val="0"/>
            <w:vAlign w:val="center"/>
          </w:tcPr>
          <w:p w14:paraId="01A33955">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主要评价因子及标准值</w:t>
            </w:r>
          </w:p>
        </w:tc>
      </w:tr>
      <w:tr w14:paraId="0229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375" w:type="pct"/>
            <w:vMerge w:val="continue"/>
            <w:noWrap w:val="0"/>
            <w:vAlign w:val="center"/>
          </w:tcPr>
          <w:p w14:paraId="30AB138F">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continue"/>
            <w:noWrap w:val="0"/>
            <w:vAlign w:val="center"/>
          </w:tcPr>
          <w:p w14:paraId="7B3D9BD9">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771" w:type="pct"/>
            <w:vMerge w:val="continue"/>
            <w:noWrap w:val="0"/>
            <w:vAlign w:val="center"/>
          </w:tcPr>
          <w:p w14:paraId="05A0F76E">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671" w:type="pct"/>
            <w:gridSpan w:val="3"/>
            <w:noWrap w:val="0"/>
            <w:vAlign w:val="center"/>
          </w:tcPr>
          <w:p w14:paraId="56C6B930">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控制项目</w:t>
            </w:r>
          </w:p>
        </w:tc>
        <w:tc>
          <w:tcPr>
            <w:tcW w:w="775" w:type="pct"/>
            <w:noWrap w:val="0"/>
            <w:vAlign w:val="center"/>
          </w:tcPr>
          <w:p w14:paraId="5AA895AE">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标准值</w:t>
            </w:r>
          </w:p>
        </w:tc>
      </w:tr>
      <w:tr w14:paraId="3927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375" w:type="pct"/>
            <w:vMerge w:val="restart"/>
            <w:noWrap w:val="0"/>
            <w:vAlign w:val="center"/>
          </w:tcPr>
          <w:p w14:paraId="6436A2CE">
            <w:pPr>
              <w:pStyle w:val="69"/>
              <w:spacing w:line="242"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污染物排放标准</w:t>
            </w:r>
          </w:p>
        </w:tc>
        <w:tc>
          <w:tcPr>
            <w:tcW w:w="405" w:type="pct"/>
            <w:vMerge w:val="restart"/>
            <w:noWrap w:val="0"/>
            <w:vAlign w:val="center"/>
          </w:tcPr>
          <w:p w14:paraId="06C93895">
            <w:pPr>
              <w:pStyle w:val="69"/>
              <w:spacing w:line="242"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废气</w:t>
            </w:r>
          </w:p>
        </w:tc>
        <w:tc>
          <w:tcPr>
            <w:tcW w:w="1771" w:type="pct"/>
            <w:vMerge w:val="restart"/>
            <w:noWrap w:val="0"/>
            <w:vAlign w:val="center"/>
          </w:tcPr>
          <w:p w14:paraId="513330E5">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w:t>
            </w:r>
            <w:r>
              <w:rPr>
                <w:rFonts w:hint="default" w:ascii="Times New Roman" w:hAnsi="Times New Roman" w:cs="Times New Roman"/>
                <w:color w:val="FF0000"/>
                <w:sz w:val="21"/>
                <w:highlight w:val="none"/>
                <w:lang w:eastAsia="zh-CN"/>
              </w:rPr>
              <w:t>恶臭污染物排放标准</w:t>
            </w:r>
            <w:r>
              <w:rPr>
                <w:rFonts w:hint="default" w:ascii="Times New Roman" w:hAnsi="Times New Roman" w:cs="Times New Roman"/>
                <w:color w:val="FF0000"/>
                <w:sz w:val="21"/>
                <w:highlight w:val="none"/>
              </w:rPr>
              <w:t>》（GB14554-93）</w:t>
            </w:r>
          </w:p>
        </w:tc>
        <w:tc>
          <w:tcPr>
            <w:tcW w:w="1671" w:type="pct"/>
            <w:gridSpan w:val="3"/>
            <w:noWrap w:val="0"/>
            <w:vAlign w:val="center"/>
          </w:tcPr>
          <w:p w14:paraId="6127FEA9">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eastAsia="Times New Roman" w:cs="Times New Roman"/>
                <w:color w:val="FF0000"/>
                <w:sz w:val="21"/>
                <w:highlight w:val="none"/>
              </w:rPr>
              <w:t>NH</w:t>
            </w:r>
            <w:r>
              <w:rPr>
                <w:rFonts w:hint="default" w:ascii="Times New Roman" w:hAnsi="Times New Roman" w:eastAsia="Times New Roman" w:cs="Times New Roman"/>
                <w:color w:val="FF0000"/>
                <w:sz w:val="21"/>
                <w:highlight w:val="none"/>
                <w:vertAlign w:val="subscript"/>
              </w:rPr>
              <w:t>3</w:t>
            </w:r>
            <w:r>
              <w:rPr>
                <w:rFonts w:hint="default" w:ascii="Times New Roman" w:hAnsi="Times New Roman" w:cs="Times New Roman"/>
                <w:color w:val="FF0000"/>
                <w:sz w:val="21"/>
                <w:highlight w:val="none"/>
              </w:rPr>
              <w:t>（</w:t>
            </w:r>
            <w:r>
              <w:rPr>
                <w:rFonts w:hint="default" w:ascii="Times New Roman" w:hAnsi="Times New Roman" w:eastAsia="Times New Roman" w:cs="Times New Roman"/>
                <w:color w:val="FF0000"/>
                <w:sz w:val="21"/>
                <w:highlight w:val="none"/>
              </w:rPr>
              <w:t>mg/m</w:t>
            </w:r>
            <w:r>
              <w:rPr>
                <w:rFonts w:hint="default" w:ascii="Times New Roman" w:hAnsi="Times New Roman" w:eastAsia="Times New Roman" w:cs="Times New Roman"/>
                <w:color w:val="FF0000"/>
                <w:sz w:val="21"/>
                <w:highlight w:val="none"/>
                <w:vertAlign w:val="superscript"/>
              </w:rPr>
              <w:t>3</w:t>
            </w:r>
            <w:r>
              <w:rPr>
                <w:rFonts w:hint="default" w:ascii="Times New Roman" w:hAnsi="Times New Roman" w:cs="Times New Roman"/>
                <w:color w:val="FF0000"/>
                <w:sz w:val="21"/>
                <w:highlight w:val="none"/>
              </w:rPr>
              <w:t>）</w:t>
            </w:r>
          </w:p>
        </w:tc>
        <w:tc>
          <w:tcPr>
            <w:tcW w:w="775" w:type="pct"/>
            <w:noWrap w:val="0"/>
            <w:vAlign w:val="center"/>
          </w:tcPr>
          <w:p w14:paraId="19B97CE7">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eastAsia="Times New Roman" w:cs="Times New Roman"/>
                <w:color w:val="FF0000"/>
                <w:sz w:val="21"/>
                <w:highlight w:val="none"/>
              </w:rPr>
              <w:t>1.5</w:t>
            </w:r>
            <w:r>
              <w:rPr>
                <w:rFonts w:hint="default" w:ascii="Times New Roman" w:hAnsi="Times New Roman" w:cs="Times New Roman"/>
                <w:color w:val="FF0000"/>
                <w:sz w:val="21"/>
                <w:highlight w:val="none"/>
              </w:rPr>
              <w:t>（厂界）</w:t>
            </w:r>
          </w:p>
        </w:tc>
      </w:tr>
      <w:tr w14:paraId="7138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375" w:type="pct"/>
            <w:vMerge w:val="continue"/>
            <w:noWrap w:val="0"/>
            <w:vAlign w:val="center"/>
          </w:tcPr>
          <w:p w14:paraId="633E328E">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continue"/>
            <w:noWrap w:val="0"/>
            <w:vAlign w:val="center"/>
          </w:tcPr>
          <w:p w14:paraId="73E24730">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771" w:type="pct"/>
            <w:vMerge w:val="continue"/>
            <w:noWrap w:val="0"/>
            <w:vAlign w:val="center"/>
          </w:tcPr>
          <w:p w14:paraId="28429688">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671" w:type="pct"/>
            <w:gridSpan w:val="3"/>
            <w:noWrap w:val="0"/>
            <w:vAlign w:val="center"/>
          </w:tcPr>
          <w:p w14:paraId="71E993F9">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eastAsia="Times New Roman" w:cs="Times New Roman"/>
                <w:color w:val="FF0000"/>
                <w:sz w:val="21"/>
                <w:highlight w:val="none"/>
              </w:rPr>
              <w:t>H</w:t>
            </w:r>
            <w:r>
              <w:rPr>
                <w:rFonts w:hint="default" w:ascii="Times New Roman" w:hAnsi="Times New Roman" w:eastAsia="Times New Roman" w:cs="Times New Roman"/>
                <w:color w:val="FF0000"/>
                <w:sz w:val="21"/>
                <w:highlight w:val="none"/>
                <w:vertAlign w:val="subscript"/>
              </w:rPr>
              <w:t>2</w:t>
            </w:r>
            <w:r>
              <w:rPr>
                <w:rFonts w:hint="default" w:ascii="Times New Roman" w:hAnsi="Times New Roman" w:eastAsia="Times New Roman" w:cs="Times New Roman"/>
                <w:color w:val="FF0000"/>
                <w:sz w:val="21"/>
                <w:highlight w:val="none"/>
              </w:rPr>
              <w:t>S</w:t>
            </w:r>
            <w:r>
              <w:rPr>
                <w:rFonts w:hint="default" w:ascii="Times New Roman" w:hAnsi="Times New Roman" w:cs="Times New Roman"/>
                <w:color w:val="FF0000"/>
                <w:sz w:val="21"/>
                <w:highlight w:val="none"/>
              </w:rPr>
              <w:t>（</w:t>
            </w:r>
            <w:r>
              <w:rPr>
                <w:rFonts w:hint="default" w:ascii="Times New Roman" w:hAnsi="Times New Roman" w:eastAsia="Times New Roman" w:cs="Times New Roman"/>
                <w:color w:val="FF0000"/>
                <w:sz w:val="21"/>
                <w:highlight w:val="none"/>
              </w:rPr>
              <w:t>mg/m</w:t>
            </w:r>
            <w:r>
              <w:rPr>
                <w:rFonts w:hint="default" w:ascii="Times New Roman" w:hAnsi="Times New Roman" w:eastAsia="Times New Roman" w:cs="Times New Roman"/>
                <w:color w:val="FF0000"/>
                <w:sz w:val="21"/>
                <w:highlight w:val="none"/>
                <w:vertAlign w:val="superscript"/>
              </w:rPr>
              <w:t>3</w:t>
            </w:r>
            <w:r>
              <w:rPr>
                <w:rFonts w:hint="default" w:ascii="Times New Roman" w:hAnsi="Times New Roman" w:cs="Times New Roman"/>
                <w:color w:val="FF0000"/>
                <w:sz w:val="21"/>
                <w:highlight w:val="none"/>
              </w:rPr>
              <w:t>）</w:t>
            </w:r>
          </w:p>
        </w:tc>
        <w:tc>
          <w:tcPr>
            <w:tcW w:w="775" w:type="pct"/>
            <w:noWrap w:val="0"/>
            <w:vAlign w:val="center"/>
          </w:tcPr>
          <w:p w14:paraId="6AF3C3BD">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eastAsia="Times New Roman" w:cs="Times New Roman"/>
                <w:color w:val="FF0000"/>
                <w:sz w:val="21"/>
                <w:highlight w:val="none"/>
              </w:rPr>
              <w:t>0.06</w:t>
            </w:r>
            <w:r>
              <w:rPr>
                <w:rFonts w:hint="default" w:ascii="Times New Roman" w:hAnsi="Times New Roman" w:cs="Times New Roman"/>
                <w:color w:val="FF0000"/>
                <w:sz w:val="21"/>
                <w:highlight w:val="none"/>
              </w:rPr>
              <w:t>（厂界）</w:t>
            </w:r>
          </w:p>
        </w:tc>
      </w:tr>
      <w:tr w14:paraId="6AA0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375" w:type="pct"/>
            <w:vMerge w:val="continue"/>
            <w:noWrap w:val="0"/>
            <w:vAlign w:val="center"/>
          </w:tcPr>
          <w:p w14:paraId="44EE2CCB">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continue"/>
            <w:noWrap w:val="0"/>
            <w:vAlign w:val="center"/>
          </w:tcPr>
          <w:p w14:paraId="5AFFA792">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771" w:type="pct"/>
            <w:noWrap w:val="0"/>
            <w:vAlign w:val="center"/>
          </w:tcPr>
          <w:p w14:paraId="6C3916E9">
            <w:pPr>
              <w:pStyle w:val="69"/>
              <w:spacing w:line="270" w:lineRule="atLeast"/>
              <w:ind w:left="0" w:leftChars="0" w:right="-10" w:rightChars="0" w:firstLine="0" w:firstLineChars="0"/>
              <w:rPr>
                <w:rFonts w:hint="default" w:ascii="Times New Roman" w:hAnsi="Times New Roman" w:eastAsia="Times New Roman" w:cs="Times New Roman"/>
                <w:color w:val="FF0000"/>
                <w:sz w:val="21"/>
                <w:highlight w:val="none"/>
              </w:rPr>
            </w:pPr>
            <w:r>
              <w:rPr>
                <w:rFonts w:hint="default" w:ascii="Times New Roman" w:hAnsi="Times New Roman" w:cs="Times New Roman"/>
                <w:color w:val="FF0000"/>
                <w:sz w:val="21"/>
                <w:highlight w:val="none"/>
              </w:rPr>
              <w:t>《畜禽养殖业污染物排放标准》</w:t>
            </w:r>
            <w:r>
              <w:rPr>
                <w:rFonts w:hint="default" w:ascii="Times New Roman" w:hAnsi="Times New Roman" w:cs="Times New Roman"/>
                <w:color w:val="FF0000"/>
                <w:sz w:val="21"/>
                <w:highlight w:val="none"/>
                <w:lang w:eastAsia="zh-CN"/>
              </w:rPr>
              <w:t>（</w:t>
            </w:r>
            <w:r>
              <w:rPr>
                <w:rFonts w:hint="default" w:ascii="Times New Roman" w:hAnsi="Times New Roman" w:eastAsia="Times New Roman" w:cs="Times New Roman"/>
                <w:color w:val="FF0000"/>
                <w:sz w:val="21"/>
                <w:highlight w:val="none"/>
              </w:rPr>
              <w:t>GB18596-2001)</w:t>
            </w:r>
          </w:p>
        </w:tc>
        <w:tc>
          <w:tcPr>
            <w:tcW w:w="1671" w:type="pct"/>
            <w:gridSpan w:val="3"/>
            <w:noWrap w:val="0"/>
            <w:vAlign w:val="center"/>
          </w:tcPr>
          <w:p w14:paraId="6975A018">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臭气浓度（无纲量）</w:t>
            </w:r>
          </w:p>
        </w:tc>
        <w:tc>
          <w:tcPr>
            <w:tcW w:w="775" w:type="pct"/>
            <w:noWrap w:val="0"/>
            <w:vAlign w:val="center"/>
          </w:tcPr>
          <w:p w14:paraId="57D2DA46">
            <w:pPr>
              <w:pStyle w:val="69"/>
              <w:ind w:left="0" w:leftChars="0" w:right="-10" w:rightChars="0" w:firstLine="0" w:firstLineChars="0"/>
              <w:rPr>
                <w:rFonts w:hint="default" w:ascii="Times New Roman" w:hAnsi="Times New Roman" w:eastAsia="Times New Roman" w:cs="Times New Roman"/>
                <w:color w:val="FF0000"/>
                <w:sz w:val="21"/>
                <w:highlight w:val="none"/>
              </w:rPr>
            </w:pPr>
            <w:r>
              <w:rPr>
                <w:rFonts w:hint="default" w:ascii="Times New Roman" w:hAnsi="Times New Roman" w:eastAsia="Times New Roman" w:cs="Times New Roman"/>
                <w:color w:val="FF0000"/>
                <w:sz w:val="21"/>
                <w:highlight w:val="none"/>
              </w:rPr>
              <w:t>70</w:t>
            </w:r>
          </w:p>
        </w:tc>
      </w:tr>
      <w:tr w14:paraId="60F0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375" w:type="pct"/>
            <w:vMerge w:val="continue"/>
            <w:noWrap w:val="0"/>
            <w:vAlign w:val="center"/>
          </w:tcPr>
          <w:p w14:paraId="39D75E5B">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continue"/>
            <w:noWrap w:val="0"/>
            <w:vAlign w:val="center"/>
          </w:tcPr>
          <w:p w14:paraId="141F615E">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771" w:type="pct"/>
            <w:noWrap w:val="0"/>
            <w:vAlign w:val="center"/>
          </w:tcPr>
          <w:p w14:paraId="52F4F0D9">
            <w:pPr>
              <w:pStyle w:val="69"/>
              <w:spacing w:line="270" w:lineRule="atLeast"/>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《大气污染物综合排放标准》（GB16297-1996）表2二级标准限值120mg/m³</w:t>
            </w:r>
          </w:p>
        </w:tc>
        <w:tc>
          <w:tcPr>
            <w:tcW w:w="1671" w:type="pct"/>
            <w:gridSpan w:val="3"/>
            <w:noWrap w:val="0"/>
            <w:vAlign w:val="center"/>
          </w:tcPr>
          <w:p w14:paraId="51307775">
            <w:pPr>
              <w:pStyle w:val="69"/>
              <w:ind w:left="0" w:leftChars="0" w:right="-10" w:rightChars="0" w:firstLine="0" w:firstLineChars="0"/>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颗粒物</w:t>
            </w:r>
          </w:p>
        </w:tc>
        <w:tc>
          <w:tcPr>
            <w:tcW w:w="775" w:type="pct"/>
            <w:noWrap w:val="0"/>
            <w:vAlign w:val="center"/>
          </w:tcPr>
          <w:p w14:paraId="00654338">
            <w:pPr>
              <w:pStyle w:val="69"/>
              <w:ind w:left="0" w:leftChars="0" w:right="-10" w:rightChars="0" w:firstLine="0" w:firstLineChars="0"/>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有组织120，无组织1.0</w:t>
            </w:r>
          </w:p>
        </w:tc>
      </w:tr>
      <w:tr w14:paraId="2F91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375" w:type="pct"/>
            <w:vMerge w:val="continue"/>
            <w:noWrap w:val="0"/>
            <w:vAlign w:val="center"/>
          </w:tcPr>
          <w:p w14:paraId="75D5FC0B">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restart"/>
            <w:noWrap w:val="0"/>
            <w:vAlign w:val="center"/>
          </w:tcPr>
          <w:p w14:paraId="50414C8E">
            <w:pPr>
              <w:pStyle w:val="69"/>
              <w:spacing w:line="244"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废水</w:t>
            </w:r>
          </w:p>
        </w:tc>
        <w:tc>
          <w:tcPr>
            <w:tcW w:w="1771" w:type="pct"/>
            <w:vMerge w:val="restart"/>
            <w:noWrap w:val="0"/>
            <w:vAlign w:val="center"/>
          </w:tcPr>
          <w:p w14:paraId="033940B3">
            <w:pPr>
              <w:pStyle w:val="69"/>
              <w:spacing w:line="244"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《畜禽养殖业污染物排放标准》（</w:t>
            </w:r>
            <w:r>
              <w:rPr>
                <w:rFonts w:hint="default" w:ascii="Times New Roman" w:hAnsi="Times New Roman" w:eastAsia="Times New Roman" w:cs="Times New Roman"/>
                <w:color w:val="FF0000"/>
                <w:sz w:val="21"/>
                <w:highlight w:val="none"/>
              </w:rPr>
              <w:t>GB18596-2001</w:t>
            </w:r>
            <w:r>
              <w:rPr>
                <w:rFonts w:hint="default" w:ascii="Times New Roman" w:hAnsi="Times New Roman" w:cs="Times New Roman"/>
                <w:color w:val="FF0000"/>
                <w:sz w:val="21"/>
                <w:highlight w:val="none"/>
              </w:rPr>
              <w:t>）</w:t>
            </w:r>
          </w:p>
        </w:tc>
        <w:tc>
          <w:tcPr>
            <w:tcW w:w="1671" w:type="pct"/>
            <w:gridSpan w:val="3"/>
            <w:noWrap w:val="0"/>
            <w:vAlign w:val="center"/>
          </w:tcPr>
          <w:p w14:paraId="6D1595C2">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控制因子</w:t>
            </w:r>
          </w:p>
        </w:tc>
        <w:tc>
          <w:tcPr>
            <w:tcW w:w="775" w:type="pct"/>
            <w:noWrap w:val="0"/>
            <w:vAlign w:val="center"/>
          </w:tcPr>
          <w:p w14:paraId="76ADB0E5">
            <w:pPr>
              <w:pStyle w:val="69"/>
              <w:ind w:left="0" w:leftChars="0" w:right="-10" w:rightChars="0" w:firstLine="0" w:firstLineChars="0"/>
              <w:rPr>
                <w:rFonts w:hint="default" w:ascii="Times New Roman" w:hAnsi="Times New Roman" w:eastAsia="Times New Roman" w:cs="Times New Roman"/>
                <w:color w:val="FF0000"/>
                <w:sz w:val="21"/>
                <w:highlight w:val="none"/>
              </w:rPr>
            </w:pPr>
            <w:r>
              <w:rPr>
                <w:rFonts w:hint="default" w:ascii="Times New Roman" w:hAnsi="Times New Roman" w:eastAsia="Times New Roman" w:cs="Times New Roman"/>
                <w:color w:val="FF0000"/>
                <w:sz w:val="21"/>
                <w:highlight w:val="none"/>
              </w:rPr>
              <w:t>标准值</w:t>
            </w:r>
          </w:p>
        </w:tc>
      </w:tr>
      <w:tr w14:paraId="1111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375" w:type="pct"/>
            <w:vMerge w:val="continue"/>
            <w:noWrap w:val="0"/>
            <w:vAlign w:val="center"/>
          </w:tcPr>
          <w:p w14:paraId="392B93EC">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continue"/>
            <w:noWrap w:val="0"/>
            <w:vAlign w:val="center"/>
          </w:tcPr>
          <w:p w14:paraId="40FA63C7">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771" w:type="pct"/>
            <w:vMerge w:val="continue"/>
            <w:noWrap w:val="0"/>
            <w:vAlign w:val="center"/>
          </w:tcPr>
          <w:p w14:paraId="19DFEEB9">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032" w:type="pct"/>
            <w:gridSpan w:val="2"/>
            <w:vMerge w:val="restart"/>
            <w:noWrap w:val="0"/>
            <w:vAlign w:val="center"/>
          </w:tcPr>
          <w:p w14:paraId="43149736">
            <w:pPr>
              <w:pStyle w:val="69"/>
              <w:spacing w:line="242" w:lineRule="auto"/>
              <w:ind w:left="0" w:leftChars="0" w:right="-10" w:rightChars="0" w:firstLine="0" w:firstLineChars="0"/>
              <w:rPr>
                <w:rFonts w:hint="default" w:ascii="Times New Roman" w:hAnsi="Times New Roman" w:eastAsia="Times New Roman" w:cs="Times New Roman"/>
                <w:color w:val="FF0000"/>
                <w:sz w:val="21"/>
                <w:highlight w:val="none"/>
              </w:rPr>
            </w:pPr>
            <w:r>
              <w:rPr>
                <w:rFonts w:hint="default" w:ascii="Times New Roman" w:hAnsi="Times New Roman" w:cs="Times New Roman"/>
                <w:color w:val="FF0000"/>
                <w:sz w:val="21"/>
                <w:highlight w:val="none"/>
              </w:rPr>
              <w:t>干清粪工艺最高允许排水量</w:t>
            </w:r>
            <w:r>
              <w:rPr>
                <w:rFonts w:hint="default" w:ascii="Times New Roman" w:hAnsi="Times New Roman" w:cs="Times New Roman"/>
                <w:color w:val="FF0000"/>
                <w:sz w:val="21"/>
                <w:highlight w:val="none"/>
                <w:lang w:eastAsia="zh-CN"/>
              </w:rPr>
              <w:t>（</w:t>
            </w:r>
            <w:r>
              <w:rPr>
                <w:rFonts w:hint="default" w:ascii="Times New Roman" w:hAnsi="Times New Roman" w:eastAsia="Times New Roman" w:cs="Times New Roman"/>
                <w:color w:val="FF0000"/>
                <w:sz w:val="21"/>
                <w:highlight w:val="none"/>
              </w:rPr>
              <w:t>m</w:t>
            </w:r>
            <w:r>
              <w:rPr>
                <w:rFonts w:hint="default" w:ascii="Times New Roman" w:hAnsi="Times New Roman" w:eastAsia="Times New Roman" w:cs="Times New Roman"/>
                <w:color w:val="FF0000"/>
                <w:sz w:val="21"/>
                <w:highlight w:val="none"/>
                <w:vertAlign w:val="superscript"/>
              </w:rPr>
              <w:t>3</w:t>
            </w:r>
            <w:r>
              <w:rPr>
                <w:rFonts w:hint="default" w:ascii="Times New Roman" w:hAnsi="Times New Roman" w:cs="Times New Roman"/>
                <w:color w:val="FF0000"/>
                <w:sz w:val="21"/>
                <w:highlight w:val="none"/>
                <w:lang w:val="en-US" w:eastAsia="zh-CN"/>
              </w:rPr>
              <w:t>/</w:t>
            </w:r>
            <w:r>
              <w:rPr>
                <w:rFonts w:hint="default" w:ascii="Times New Roman" w:hAnsi="Times New Roman" w:cs="Times New Roman"/>
                <w:color w:val="FF0000"/>
                <w:sz w:val="21"/>
                <w:highlight w:val="none"/>
              </w:rPr>
              <w:t>百头</w:t>
            </w:r>
            <w:r>
              <w:rPr>
                <w:rFonts w:hint="default" w:ascii="Times New Roman" w:hAnsi="Times New Roman" w:eastAsia="Times New Roman" w:cs="Times New Roman"/>
                <w:color w:val="FF0000"/>
                <w:sz w:val="21"/>
                <w:highlight w:val="none"/>
              </w:rPr>
              <w:t>·</w:t>
            </w:r>
            <w:r>
              <w:rPr>
                <w:rFonts w:hint="default" w:ascii="Times New Roman" w:hAnsi="Times New Roman" w:cs="Times New Roman"/>
                <w:color w:val="FF0000"/>
                <w:sz w:val="21"/>
                <w:highlight w:val="none"/>
              </w:rPr>
              <w:t>天</w:t>
            </w:r>
            <w:r>
              <w:rPr>
                <w:rFonts w:hint="default" w:ascii="Times New Roman" w:hAnsi="Times New Roman" w:cs="Times New Roman"/>
                <w:color w:val="FF0000"/>
                <w:sz w:val="21"/>
                <w:highlight w:val="none"/>
                <w:lang w:eastAsia="zh-CN"/>
              </w:rPr>
              <w:t>）</w:t>
            </w:r>
          </w:p>
        </w:tc>
        <w:tc>
          <w:tcPr>
            <w:tcW w:w="638" w:type="pct"/>
            <w:noWrap w:val="0"/>
            <w:vAlign w:val="center"/>
          </w:tcPr>
          <w:p w14:paraId="22768838">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冬季</w:t>
            </w:r>
          </w:p>
        </w:tc>
        <w:tc>
          <w:tcPr>
            <w:tcW w:w="775" w:type="pct"/>
            <w:noWrap w:val="0"/>
            <w:vAlign w:val="center"/>
          </w:tcPr>
          <w:p w14:paraId="48B0A1CF">
            <w:pPr>
              <w:pStyle w:val="69"/>
              <w:ind w:left="0" w:leftChars="0" w:right="-10" w:rightChars="0" w:firstLine="0" w:firstLineChars="0"/>
              <w:rPr>
                <w:rFonts w:hint="default" w:ascii="Times New Roman" w:hAnsi="Times New Roman" w:eastAsia="Times New Roman" w:cs="Times New Roman"/>
                <w:color w:val="FF0000"/>
                <w:sz w:val="21"/>
                <w:highlight w:val="none"/>
              </w:rPr>
            </w:pPr>
            <w:r>
              <w:rPr>
                <w:rFonts w:hint="default" w:ascii="Times New Roman" w:hAnsi="Times New Roman" w:eastAsia="Times New Roman" w:cs="Times New Roman"/>
                <w:color w:val="FF0000"/>
                <w:sz w:val="21"/>
                <w:highlight w:val="none"/>
              </w:rPr>
              <w:t>17</w:t>
            </w:r>
          </w:p>
        </w:tc>
      </w:tr>
      <w:tr w14:paraId="2C7A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375" w:type="pct"/>
            <w:vMerge w:val="continue"/>
            <w:noWrap w:val="0"/>
            <w:vAlign w:val="center"/>
          </w:tcPr>
          <w:p w14:paraId="6C4CD477">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continue"/>
            <w:noWrap w:val="0"/>
            <w:vAlign w:val="center"/>
          </w:tcPr>
          <w:p w14:paraId="4C95BEDD">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771" w:type="pct"/>
            <w:vMerge w:val="continue"/>
            <w:noWrap w:val="0"/>
            <w:vAlign w:val="center"/>
          </w:tcPr>
          <w:p w14:paraId="5FA05A9A">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032" w:type="pct"/>
            <w:gridSpan w:val="2"/>
            <w:vMerge w:val="continue"/>
            <w:noWrap w:val="0"/>
            <w:vAlign w:val="center"/>
          </w:tcPr>
          <w:p w14:paraId="4B7273D3">
            <w:pPr>
              <w:ind w:left="0" w:leftChars="0" w:right="-10" w:rightChars="0" w:firstLine="0" w:firstLineChars="0"/>
              <w:jc w:val="center"/>
              <w:rPr>
                <w:rFonts w:hint="default" w:ascii="Times New Roman" w:hAnsi="Times New Roman" w:cs="Times New Roman"/>
                <w:color w:val="FF0000"/>
                <w:sz w:val="2"/>
                <w:szCs w:val="2"/>
                <w:highlight w:val="none"/>
              </w:rPr>
            </w:pPr>
          </w:p>
        </w:tc>
        <w:tc>
          <w:tcPr>
            <w:tcW w:w="638" w:type="pct"/>
            <w:noWrap w:val="0"/>
            <w:vAlign w:val="center"/>
          </w:tcPr>
          <w:p w14:paraId="526DEBAC">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夏季</w:t>
            </w:r>
          </w:p>
        </w:tc>
        <w:tc>
          <w:tcPr>
            <w:tcW w:w="775" w:type="pct"/>
            <w:noWrap w:val="0"/>
            <w:vAlign w:val="center"/>
          </w:tcPr>
          <w:p w14:paraId="1FB4F781">
            <w:pPr>
              <w:pStyle w:val="69"/>
              <w:ind w:left="0" w:leftChars="0" w:right="-10" w:rightChars="0" w:firstLine="0" w:firstLineChars="0"/>
              <w:rPr>
                <w:rFonts w:hint="default" w:ascii="Times New Roman" w:hAnsi="Times New Roman" w:eastAsia="Times New Roman" w:cs="Times New Roman"/>
                <w:color w:val="FF0000"/>
                <w:sz w:val="21"/>
                <w:highlight w:val="none"/>
              </w:rPr>
            </w:pPr>
            <w:r>
              <w:rPr>
                <w:rFonts w:hint="default" w:ascii="Times New Roman" w:hAnsi="Times New Roman" w:eastAsia="Times New Roman" w:cs="Times New Roman"/>
                <w:color w:val="FF0000"/>
                <w:sz w:val="21"/>
                <w:highlight w:val="none"/>
              </w:rPr>
              <w:t>20</w:t>
            </w:r>
          </w:p>
        </w:tc>
      </w:tr>
      <w:tr w14:paraId="62E8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375" w:type="pct"/>
            <w:vMerge w:val="continue"/>
            <w:noWrap w:val="0"/>
            <w:vAlign w:val="center"/>
          </w:tcPr>
          <w:p w14:paraId="1F01850C">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restart"/>
            <w:noWrap w:val="0"/>
            <w:vAlign w:val="center"/>
          </w:tcPr>
          <w:p w14:paraId="23157246">
            <w:pPr>
              <w:pStyle w:val="69"/>
              <w:spacing w:line="242"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噪声</w:t>
            </w:r>
          </w:p>
        </w:tc>
        <w:tc>
          <w:tcPr>
            <w:tcW w:w="1771" w:type="pct"/>
            <w:vMerge w:val="restart"/>
            <w:noWrap w:val="0"/>
            <w:vAlign w:val="center"/>
          </w:tcPr>
          <w:p w14:paraId="6FDBD9A1">
            <w:pPr>
              <w:pStyle w:val="69"/>
              <w:spacing w:line="242"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《建筑施工场界环境噪声排放标准》（</w:t>
            </w:r>
            <w:r>
              <w:rPr>
                <w:rFonts w:hint="default" w:ascii="Times New Roman" w:hAnsi="Times New Roman" w:eastAsia="Times New Roman" w:cs="Times New Roman"/>
                <w:color w:val="FF0000"/>
                <w:sz w:val="21"/>
                <w:highlight w:val="none"/>
              </w:rPr>
              <w:t>GB12523-2011</w:t>
            </w:r>
            <w:r>
              <w:rPr>
                <w:rFonts w:hint="default" w:ascii="Times New Roman" w:hAnsi="Times New Roman" w:cs="Times New Roman"/>
                <w:color w:val="FF0000"/>
                <w:sz w:val="21"/>
                <w:highlight w:val="none"/>
              </w:rPr>
              <w:t>）</w:t>
            </w:r>
          </w:p>
        </w:tc>
        <w:tc>
          <w:tcPr>
            <w:tcW w:w="1671" w:type="pct"/>
            <w:gridSpan w:val="3"/>
            <w:noWrap w:val="0"/>
            <w:vAlign w:val="center"/>
          </w:tcPr>
          <w:p w14:paraId="1DABC3E4">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昼间等效声级</w:t>
            </w:r>
            <w:r>
              <w:rPr>
                <w:rFonts w:hint="default" w:ascii="Times New Roman" w:hAnsi="Times New Roman" w:eastAsia="Times New Roman" w:cs="Times New Roman"/>
                <w:color w:val="FF0000"/>
                <w:sz w:val="21"/>
                <w:highlight w:val="none"/>
              </w:rPr>
              <w:t>dB</w:t>
            </w:r>
            <w:r>
              <w:rPr>
                <w:rFonts w:hint="default" w:ascii="Times New Roman" w:hAnsi="Times New Roman" w:cs="Times New Roman"/>
                <w:color w:val="FF0000"/>
                <w:sz w:val="21"/>
                <w:highlight w:val="none"/>
              </w:rPr>
              <w:t>（</w:t>
            </w:r>
            <w:r>
              <w:rPr>
                <w:rFonts w:hint="default" w:ascii="Times New Roman" w:hAnsi="Times New Roman" w:eastAsia="Times New Roman" w:cs="Times New Roman"/>
                <w:color w:val="FF0000"/>
                <w:sz w:val="21"/>
                <w:highlight w:val="none"/>
              </w:rPr>
              <w:t>A</w:t>
            </w:r>
            <w:r>
              <w:rPr>
                <w:rFonts w:hint="default" w:ascii="Times New Roman" w:hAnsi="Times New Roman" w:cs="Times New Roman"/>
                <w:color w:val="FF0000"/>
                <w:sz w:val="21"/>
                <w:highlight w:val="none"/>
              </w:rPr>
              <w:t>）</w:t>
            </w:r>
          </w:p>
        </w:tc>
        <w:tc>
          <w:tcPr>
            <w:tcW w:w="775" w:type="pct"/>
            <w:noWrap w:val="0"/>
            <w:vAlign w:val="center"/>
          </w:tcPr>
          <w:p w14:paraId="715C45D0">
            <w:pPr>
              <w:pStyle w:val="69"/>
              <w:ind w:left="0" w:leftChars="0" w:right="-10" w:rightChars="0" w:firstLine="0" w:firstLineChars="0"/>
              <w:rPr>
                <w:rFonts w:hint="default" w:ascii="Times New Roman" w:hAnsi="Times New Roman" w:eastAsia="Times New Roman" w:cs="Times New Roman"/>
                <w:color w:val="FF0000"/>
                <w:sz w:val="21"/>
                <w:highlight w:val="none"/>
              </w:rPr>
            </w:pPr>
            <w:r>
              <w:rPr>
                <w:rFonts w:hint="default" w:ascii="Times New Roman" w:hAnsi="Times New Roman" w:eastAsia="Times New Roman" w:cs="Times New Roman"/>
                <w:color w:val="FF0000"/>
                <w:sz w:val="21"/>
                <w:highlight w:val="none"/>
              </w:rPr>
              <w:t>70</w:t>
            </w:r>
          </w:p>
        </w:tc>
      </w:tr>
      <w:tr w14:paraId="382E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375" w:type="pct"/>
            <w:vMerge w:val="continue"/>
            <w:noWrap w:val="0"/>
            <w:vAlign w:val="center"/>
          </w:tcPr>
          <w:p w14:paraId="45943597">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continue"/>
            <w:noWrap w:val="0"/>
            <w:vAlign w:val="center"/>
          </w:tcPr>
          <w:p w14:paraId="703A001D">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771" w:type="pct"/>
            <w:vMerge w:val="continue"/>
            <w:noWrap w:val="0"/>
            <w:vAlign w:val="center"/>
          </w:tcPr>
          <w:p w14:paraId="5B34C9EE">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671" w:type="pct"/>
            <w:gridSpan w:val="3"/>
            <w:noWrap w:val="0"/>
            <w:vAlign w:val="center"/>
          </w:tcPr>
          <w:p w14:paraId="77225408">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夜间等效声级</w:t>
            </w:r>
            <w:r>
              <w:rPr>
                <w:rFonts w:hint="default" w:ascii="Times New Roman" w:hAnsi="Times New Roman" w:eastAsia="Times New Roman" w:cs="Times New Roman"/>
                <w:color w:val="FF0000"/>
                <w:sz w:val="21"/>
                <w:highlight w:val="none"/>
              </w:rPr>
              <w:t>dB</w:t>
            </w:r>
            <w:r>
              <w:rPr>
                <w:rFonts w:hint="default" w:ascii="Times New Roman" w:hAnsi="Times New Roman" w:cs="Times New Roman"/>
                <w:color w:val="FF0000"/>
                <w:sz w:val="21"/>
                <w:highlight w:val="none"/>
              </w:rPr>
              <w:t>（</w:t>
            </w:r>
            <w:r>
              <w:rPr>
                <w:rFonts w:hint="default" w:ascii="Times New Roman" w:hAnsi="Times New Roman" w:eastAsia="Times New Roman" w:cs="Times New Roman"/>
                <w:color w:val="FF0000"/>
                <w:sz w:val="21"/>
                <w:highlight w:val="none"/>
              </w:rPr>
              <w:t>A</w:t>
            </w:r>
            <w:r>
              <w:rPr>
                <w:rFonts w:hint="default" w:ascii="Times New Roman" w:hAnsi="Times New Roman" w:cs="Times New Roman"/>
                <w:color w:val="FF0000"/>
                <w:sz w:val="21"/>
                <w:highlight w:val="none"/>
              </w:rPr>
              <w:t>）</w:t>
            </w:r>
          </w:p>
        </w:tc>
        <w:tc>
          <w:tcPr>
            <w:tcW w:w="775" w:type="pct"/>
            <w:noWrap w:val="0"/>
            <w:vAlign w:val="center"/>
          </w:tcPr>
          <w:p w14:paraId="1B3055C4">
            <w:pPr>
              <w:pStyle w:val="69"/>
              <w:ind w:left="0" w:leftChars="0" w:right="-10" w:rightChars="0" w:firstLine="0" w:firstLineChars="0"/>
              <w:rPr>
                <w:rFonts w:hint="default" w:ascii="Times New Roman" w:hAnsi="Times New Roman" w:eastAsia="Times New Roman" w:cs="Times New Roman"/>
                <w:color w:val="FF0000"/>
                <w:sz w:val="21"/>
                <w:highlight w:val="none"/>
              </w:rPr>
            </w:pPr>
            <w:r>
              <w:rPr>
                <w:rFonts w:hint="default" w:ascii="Times New Roman" w:hAnsi="Times New Roman" w:eastAsia="Times New Roman" w:cs="Times New Roman"/>
                <w:color w:val="FF0000"/>
                <w:sz w:val="21"/>
                <w:highlight w:val="none"/>
              </w:rPr>
              <w:t>55</w:t>
            </w:r>
          </w:p>
        </w:tc>
      </w:tr>
      <w:tr w14:paraId="447C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375" w:type="pct"/>
            <w:vMerge w:val="continue"/>
            <w:noWrap w:val="0"/>
            <w:vAlign w:val="center"/>
          </w:tcPr>
          <w:p w14:paraId="54331779">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continue"/>
            <w:noWrap w:val="0"/>
            <w:vAlign w:val="center"/>
          </w:tcPr>
          <w:p w14:paraId="4DCA94A0">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771" w:type="pct"/>
            <w:vMerge w:val="restart"/>
            <w:noWrap w:val="0"/>
            <w:vAlign w:val="center"/>
          </w:tcPr>
          <w:p w14:paraId="5B606BFF">
            <w:pPr>
              <w:pStyle w:val="69"/>
              <w:spacing w:line="242"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《工业企业厂界环境噪声排放标准》（</w:t>
            </w:r>
            <w:r>
              <w:rPr>
                <w:rFonts w:hint="default" w:ascii="Times New Roman" w:hAnsi="Times New Roman" w:eastAsia="Times New Roman" w:cs="Times New Roman"/>
                <w:color w:val="FF0000"/>
                <w:sz w:val="21"/>
                <w:highlight w:val="none"/>
              </w:rPr>
              <w:t>GB12348-2008</w:t>
            </w:r>
            <w:r>
              <w:rPr>
                <w:rFonts w:hint="default" w:ascii="Times New Roman" w:hAnsi="Times New Roman" w:cs="Times New Roman"/>
                <w:color w:val="FF0000"/>
                <w:sz w:val="21"/>
                <w:highlight w:val="none"/>
              </w:rPr>
              <w:t>）</w:t>
            </w:r>
          </w:p>
        </w:tc>
        <w:tc>
          <w:tcPr>
            <w:tcW w:w="333" w:type="pct"/>
            <w:vMerge w:val="restart"/>
            <w:noWrap w:val="0"/>
            <w:vAlign w:val="center"/>
          </w:tcPr>
          <w:p w14:paraId="1468E2BD">
            <w:pPr>
              <w:pStyle w:val="69"/>
              <w:spacing w:line="235" w:lineRule="exact"/>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2类区</w:t>
            </w:r>
          </w:p>
        </w:tc>
        <w:tc>
          <w:tcPr>
            <w:tcW w:w="1337" w:type="pct"/>
            <w:gridSpan w:val="2"/>
            <w:noWrap w:val="0"/>
            <w:vAlign w:val="center"/>
          </w:tcPr>
          <w:p w14:paraId="424BA58F">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昼间等效声级</w:t>
            </w:r>
            <w:r>
              <w:rPr>
                <w:rFonts w:hint="default" w:ascii="Times New Roman" w:hAnsi="Times New Roman" w:eastAsia="Times New Roman" w:cs="Times New Roman"/>
                <w:color w:val="FF0000"/>
                <w:sz w:val="21"/>
                <w:highlight w:val="none"/>
              </w:rPr>
              <w:t>dB</w:t>
            </w:r>
            <w:r>
              <w:rPr>
                <w:rFonts w:hint="default" w:ascii="Times New Roman" w:hAnsi="Times New Roman" w:cs="Times New Roman"/>
                <w:color w:val="FF0000"/>
                <w:sz w:val="21"/>
                <w:highlight w:val="none"/>
              </w:rPr>
              <w:t>（</w:t>
            </w:r>
            <w:r>
              <w:rPr>
                <w:rFonts w:hint="default" w:ascii="Times New Roman" w:hAnsi="Times New Roman" w:eastAsia="Times New Roman" w:cs="Times New Roman"/>
                <w:color w:val="FF0000"/>
                <w:sz w:val="21"/>
                <w:highlight w:val="none"/>
              </w:rPr>
              <w:t>A</w:t>
            </w:r>
            <w:r>
              <w:rPr>
                <w:rFonts w:hint="default" w:ascii="Times New Roman" w:hAnsi="Times New Roman" w:cs="Times New Roman"/>
                <w:color w:val="FF0000"/>
                <w:sz w:val="21"/>
                <w:highlight w:val="none"/>
              </w:rPr>
              <w:t>）</w:t>
            </w:r>
          </w:p>
        </w:tc>
        <w:tc>
          <w:tcPr>
            <w:tcW w:w="775" w:type="pct"/>
            <w:noWrap w:val="0"/>
            <w:vAlign w:val="center"/>
          </w:tcPr>
          <w:p w14:paraId="064244E7">
            <w:pPr>
              <w:pStyle w:val="69"/>
              <w:ind w:left="0" w:leftChars="0" w:right="-10" w:rightChars="0" w:firstLine="0" w:firstLineChars="0"/>
              <w:rPr>
                <w:rFonts w:hint="default" w:ascii="Times New Roman" w:hAnsi="Times New Roman" w:eastAsia="Times New Roman" w:cs="Times New Roman"/>
                <w:color w:val="FF0000"/>
                <w:sz w:val="21"/>
                <w:highlight w:val="none"/>
              </w:rPr>
            </w:pPr>
            <w:r>
              <w:rPr>
                <w:rFonts w:hint="default" w:ascii="Times New Roman" w:hAnsi="Times New Roman" w:eastAsia="Times New Roman" w:cs="Times New Roman"/>
                <w:color w:val="FF0000"/>
                <w:sz w:val="21"/>
                <w:highlight w:val="none"/>
              </w:rPr>
              <w:t>60</w:t>
            </w:r>
          </w:p>
        </w:tc>
      </w:tr>
      <w:tr w14:paraId="4A0A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375" w:type="pct"/>
            <w:vMerge w:val="continue"/>
            <w:noWrap w:val="0"/>
            <w:vAlign w:val="center"/>
          </w:tcPr>
          <w:p w14:paraId="3B7FF8A8">
            <w:pPr>
              <w:ind w:left="0" w:leftChars="0" w:right="-10" w:rightChars="0" w:firstLine="0" w:firstLineChars="0"/>
              <w:jc w:val="center"/>
              <w:rPr>
                <w:rFonts w:hint="default" w:ascii="Times New Roman" w:hAnsi="Times New Roman" w:cs="Times New Roman"/>
                <w:color w:val="FF0000"/>
                <w:sz w:val="2"/>
                <w:szCs w:val="2"/>
                <w:highlight w:val="none"/>
              </w:rPr>
            </w:pPr>
          </w:p>
        </w:tc>
        <w:tc>
          <w:tcPr>
            <w:tcW w:w="405" w:type="pct"/>
            <w:vMerge w:val="continue"/>
            <w:noWrap w:val="0"/>
            <w:vAlign w:val="center"/>
          </w:tcPr>
          <w:p w14:paraId="2536915E">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771" w:type="pct"/>
            <w:vMerge w:val="continue"/>
            <w:noWrap w:val="0"/>
            <w:vAlign w:val="center"/>
          </w:tcPr>
          <w:p w14:paraId="178CBE51">
            <w:pPr>
              <w:ind w:left="0" w:leftChars="0" w:right="-10" w:rightChars="0" w:firstLine="0" w:firstLineChars="0"/>
              <w:jc w:val="center"/>
              <w:rPr>
                <w:rFonts w:hint="default" w:ascii="Times New Roman" w:hAnsi="Times New Roman" w:cs="Times New Roman"/>
                <w:color w:val="FF0000"/>
                <w:sz w:val="2"/>
                <w:szCs w:val="2"/>
                <w:highlight w:val="none"/>
              </w:rPr>
            </w:pPr>
          </w:p>
        </w:tc>
        <w:tc>
          <w:tcPr>
            <w:tcW w:w="333" w:type="pct"/>
            <w:vMerge w:val="continue"/>
            <w:noWrap w:val="0"/>
            <w:vAlign w:val="center"/>
          </w:tcPr>
          <w:p w14:paraId="67FA97B8">
            <w:pPr>
              <w:ind w:left="0" w:leftChars="0" w:right="-10" w:rightChars="0" w:firstLine="0" w:firstLineChars="0"/>
              <w:jc w:val="center"/>
              <w:rPr>
                <w:rFonts w:hint="default" w:ascii="Times New Roman" w:hAnsi="Times New Roman" w:cs="Times New Roman"/>
                <w:color w:val="FF0000"/>
                <w:sz w:val="2"/>
                <w:szCs w:val="2"/>
                <w:highlight w:val="none"/>
              </w:rPr>
            </w:pPr>
          </w:p>
        </w:tc>
        <w:tc>
          <w:tcPr>
            <w:tcW w:w="1337" w:type="pct"/>
            <w:gridSpan w:val="2"/>
            <w:noWrap w:val="0"/>
            <w:vAlign w:val="center"/>
          </w:tcPr>
          <w:p w14:paraId="4F8C2532">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夜间等效声级</w:t>
            </w:r>
            <w:r>
              <w:rPr>
                <w:rFonts w:hint="default" w:ascii="Times New Roman" w:hAnsi="Times New Roman" w:eastAsia="Times New Roman" w:cs="Times New Roman"/>
                <w:color w:val="FF0000"/>
                <w:sz w:val="21"/>
                <w:highlight w:val="none"/>
              </w:rPr>
              <w:t>dB</w:t>
            </w:r>
            <w:r>
              <w:rPr>
                <w:rFonts w:hint="default" w:ascii="Times New Roman" w:hAnsi="Times New Roman" w:cs="Times New Roman"/>
                <w:color w:val="FF0000"/>
                <w:sz w:val="21"/>
                <w:highlight w:val="none"/>
              </w:rPr>
              <w:t>（</w:t>
            </w:r>
            <w:r>
              <w:rPr>
                <w:rFonts w:hint="default" w:ascii="Times New Roman" w:hAnsi="Times New Roman" w:eastAsia="Times New Roman" w:cs="Times New Roman"/>
                <w:color w:val="FF0000"/>
                <w:sz w:val="21"/>
                <w:highlight w:val="none"/>
              </w:rPr>
              <w:t>A</w:t>
            </w:r>
            <w:r>
              <w:rPr>
                <w:rFonts w:hint="default" w:ascii="Times New Roman" w:hAnsi="Times New Roman" w:cs="Times New Roman"/>
                <w:color w:val="FF0000"/>
                <w:sz w:val="21"/>
                <w:highlight w:val="none"/>
              </w:rPr>
              <w:t>）</w:t>
            </w:r>
          </w:p>
        </w:tc>
        <w:tc>
          <w:tcPr>
            <w:tcW w:w="775" w:type="pct"/>
            <w:noWrap w:val="0"/>
            <w:vAlign w:val="center"/>
          </w:tcPr>
          <w:p w14:paraId="16E2716D">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50</w:t>
            </w:r>
          </w:p>
        </w:tc>
      </w:tr>
      <w:tr w14:paraId="2C67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1" w:hRule="atLeast"/>
          <w:jc w:val="center"/>
        </w:trPr>
        <w:tc>
          <w:tcPr>
            <w:tcW w:w="375" w:type="pct"/>
            <w:noWrap w:val="0"/>
            <w:vAlign w:val="center"/>
          </w:tcPr>
          <w:p w14:paraId="2A99BFEB">
            <w:pPr>
              <w:pStyle w:val="69"/>
              <w:spacing w:line="244" w:lineRule="auto"/>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其他标准</w:t>
            </w:r>
          </w:p>
        </w:tc>
        <w:tc>
          <w:tcPr>
            <w:tcW w:w="405" w:type="pct"/>
            <w:noWrap w:val="0"/>
            <w:vAlign w:val="center"/>
          </w:tcPr>
          <w:p w14:paraId="168F9D24">
            <w:pPr>
              <w:pStyle w:val="69"/>
              <w:ind w:left="0" w:leftChars="0" w:right="-10" w:rightChars="0" w:firstLine="0" w:firstLineChars="0"/>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固废</w:t>
            </w:r>
          </w:p>
        </w:tc>
        <w:tc>
          <w:tcPr>
            <w:tcW w:w="4218" w:type="pct"/>
            <w:gridSpan w:val="5"/>
            <w:noWrap w:val="0"/>
            <w:vAlign w:val="center"/>
          </w:tcPr>
          <w:p w14:paraId="567AB2EC">
            <w:pPr>
              <w:pStyle w:val="69"/>
              <w:ind w:left="0" w:leftChars="0" w:right="-10" w:rightChars="0" w:firstLine="0" w:firstLineChars="0"/>
              <w:jc w:val="both"/>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《一般工业固体废物贮存和填埋污染控制标准》（GB18599-2020）。</w:t>
            </w:r>
          </w:p>
          <w:p w14:paraId="3F1A3CA7">
            <w:pPr>
              <w:pStyle w:val="69"/>
              <w:ind w:left="0" w:leftChars="0" w:right="-10" w:rightChars="0" w:firstLine="0" w:firstLineChars="0"/>
              <w:jc w:val="both"/>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《危险废物贮存污染控制标准》（GB18597-20</w:t>
            </w:r>
            <w:r>
              <w:rPr>
                <w:rFonts w:hint="default" w:ascii="Times New Roman" w:hAnsi="Times New Roman" w:cs="Times New Roman"/>
                <w:color w:val="FF0000"/>
                <w:sz w:val="21"/>
                <w:highlight w:val="none"/>
                <w:lang w:val="en-US" w:eastAsia="zh-CN"/>
              </w:rPr>
              <w:t>23</w:t>
            </w:r>
            <w:r>
              <w:rPr>
                <w:rFonts w:hint="default" w:ascii="Times New Roman" w:hAnsi="Times New Roman" w:cs="Times New Roman"/>
                <w:color w:val="FF0000"/>
                <w:sz w:val="21"/>
                <w:highlight w:val="none"/>
              </w:rPr>
              <w:t>）。</w:t>
            </w:r>
          </w:p>
          <w:p w14:paraId="4DEC772A">
            <w:pPr>
              <w:pStyle w:val="69"/>
              <w:ind w:left="0" w:leftChars="0" w:right="-10" w:rightChars="0" w:firstLine="0" w:firstLineChars="0"/>
              <w:jc w:val="both"/>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《病死及病害动物无害化处理技术规范》（农医发</w:t>
            </w:r>
            <w:r>
              <w:rPr>
                <w:rFonts w:hint="default" w:ascii="Times New Roman" w:hAnsi="Times New Roman" w:cs="Times New Roman"/>
                <w:color w:val="FF0000"/>
                <w:sz w:val="21"/>
                <w:highlight w:val="none"/>
                <w:lang w:eastAsia="zh-CN"/>
              </w:rPr>
              <w:t>〔2017〕</w:t>
            </w:r>
            <w:r>
              <w:rPr>
                <w:rFonts w:hint="default" w:ascii="Times New Roman" w:hAnsi="Times New Roman" w:cs="Times New Roman"/>
                <w:color w:val="FF0000"/>
                <w:sz w:val="21"/>
                <w:highlight w:val="none"/>
              </w:rPr>
              <w:t>25号）。</w:t>
            </w:r>
          </w:p>
          <w:p w14:paraId="15CA16CC">
            <w:pPr>
              <w:pStyle w:val="69"/>
              <w:ind w:left="0" w:leftChars="0" w:right="-10" w:rightChars="0" w:firstLine="0" w:firstLineChars="0"/>
              <w:jc w:val="both"/>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《畜禽养殖业污染物排放标准》（GB18596-2001）中“畜禽养殖业废渣无害化环境标准”（蛔虫卵：死亡率≥95%；粪大肠菌群数：≤10</w:t>
            </w:r>
            <w:r>
              <w:rPr>
                <w:rFonts w:hint="default" w:ascii="Times New Roman" w:hAnsi="Times New Roman" w:cs="Times New Roman"/>
                <w:color w:val="FF0000"/>
                <w:sz w:val="21"/>
                <w:highlight w:val="none"/>
                <w:vertAlign w:val="superscript"/>
              </w:rPr>
              <w:t>5</w:t>
            </w:r>
            <w:r>
              <w:rPr>
                <w:rFonts w:hint="default" w:ascii="Times New Roman" w:hAnsi="Times New Roman" w:cs="Times New Roman"/>
                <w:color w:val="FF0000"/>
                <w:sz w:val="21"/>
                <w:highlight w:val="none"/>
              </w:rPr>
              <w:t>个/kg）</w:t>
            </w:r>
          </w:p>
        </w:tc>
      </w:tr>
    </w:tbl>
    <w:p w14:paraId="3CD372AD">
      <w:pPr>
        <w:pStyle w:val="3"/>
        <w:bidi w:val="0"/>
        <w:rPr>
          <w:rFonts w:hint="default" w:ascii="Times New Roman" w:hAnsi="Times New Roman" w:cs="Times New Roman"/>
          <w:color w:val="auto"/>
        </w:rPr>
      </w:pPr>
      <w:bookmarkStart w:id="24" w:name="_Toc15533"/>
      <w:bookmarkStart w:id="25" w:name="_Toc25199"/>
      <w:r>
        <w:rPr>
          <w:rFonts w:hint="default" w:ascii="Times New Roman" w:hAnsi="Times New Roman" w:cs="Times New Roman"/>
          <w:color w:val="auto"/>
        </w:rPr>
        <w:t>评价工作等级及评价重点</w:t>
      </w:r>
      <w:bookmarkEnd w:id="24"/>
      <w:bookmarkEnd w:id="25"/>
    </w:p>
    <w:p w14:paraId="3EADE611">
      <w:pPr>
        <w:pStyle w:val="4"/>
        <w:bidi w:val="0"/>
        <w:rPr>
          <w:rFonts w:hint="default" w:ascii="Times New Roman" w:hAnsi="Times New Roman" w:cs="Times New Roman"/>
          <w:color w:val="auto"/>
        </w:rPr>
      </w:pPr>
      <w:r>
        <w:rPr>
          <w:rFonts w:hint="default" w:ascii="Times New Roman" w:hAnsi="Times New Roman" w:cs="Times New Roman"/>
          <w:color w:val="auto"/>
        </w:rPr>
        <w:t>评价工作等级</w:t>
      </w:r>
    </w:p>
    <w:p w14:paraId="3190CD29">
      <w:pPr>
        <w:pStyle w:val="73"/>
        <w:keepNext w:val="0"/>
        <w:keepLines w:val="0"/>
        <w:pageBreakBefore w:val="0"/>
        <w:widowControl w:val="0"/>
        <w:numPr>
          <w:ilvl w:val="0"/>
          <w:numId w:val="0"/>
        </w:numPr>
        <w:tabs>
          <w:tab w:val="left" w:pos="1382"/>
        </w:tabs>
        <w:kinsoku/>
        <w:wordWrap/>
        <w:overflowPunct/>
        <w:topLinePunct w:val="0"/>
        <w:autoSpaceDE w:val="0"/>
        <w:autoSpaceDN w:val="0"/>
        <w:bidi w:val="0"/>
        <w:adjustRightInd/>
        <w:snapToGrid/>
        <w:spacing w:line="360" w:lineRule="auto"/>
        <w:ind w:leftChars="0" w:right="0"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环境空气</w:t>
      </w:r>
    </w:p>
    <w:p w14:paraId="25CF4F0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①判定依据</w:t>
      </w:r>
    </w:p>
    <w:p w14:paraId="78307C4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本项目废气排放源主要为</w:t>
      </w:r>
      <w:r>
        <w:rPr>
          <w:rFonts w:hint="default" w:ascii="Times New Roman" w:hAnsi="Times New Roman" w:cs="Times New Roman"/>
          <w:color w:val="auto"/>
          <w:lang w:val="en-US" w:eastAsia="zh-CN"/>
        </w:rPr>
        <w:t>饲料加工产生的颗粒物，</w:t>
      </w:r>
      <w:r>
        <w:rPr>
          <w:rFonts w:hint="default" w:ascii="Times New Roman" w:hAnsi="Times New Roman" w:cs="Times New Roman"/>
          <w:color w:val="auto"/>
          <w:lang w:eastAsia="zh-CN"/>
        </w:rPr>
        <w:t>鸡舍</w:t>
      </w:r>
      <w:r>
        <w:rPr>
          <w:rFonts w:hint="default" w:ascii="Times New Roman" w:hAnsi="Times New Roman" w:cs="Times New Roman"/>
          <w:color w:val="auto"/>
        </w:rPr>
        <w:t>、</w:t>
      </w:r>
      <w:r>
        <w:rPr>
          <w:rFonts w:hint="default" w:ascii="Times New Roman" w:hAnsi="Times New Roman" w:cs="Times New Roman"/>
          <w:color w:val="auto"/>
          <w:lang w:eastAsia="zh-CN"/>
        </w:rPr>
        <w:t>鸡粪发酵处理场、废水收集池</w:t>
      </w:r>
      <w:r>
        <w:rPr>
          <w:rFonts w:hint="default" w:ascii="Times New Roman" w:hAnsi="Times New Roman" w:cs="Times New Roman"/>
          <w:color w:val="auto"/>
        </w:rPr>
        <w:t>的恶臭</w:t>
      </w:r>
      <w:r>
        <w:rPr>
          <w:rFonts w:hint="default" w:ascii="Times New Roman" w:hAnsi="Times New Roman" w:cs="Times New Roman"/>
          <w:color w:val="auto"/>
          <w:lang w:val="en-US" w:eastAsia="zh-CN"/>
        </w:rPr>
        <w:t>和食堂油烟</w:t>
      </w:r>
      <w:r>
        <w:rPr>
          <w:rFonts w:hint="default" w:ascii="Times New Roman" w:hAnsi="Times New Roman" w:cs="Times New Roman"/>
          <w:color w:val="auto"/>
        </w:rPr>
        <w:t>。</w:t>
      </w:r>
      <w:r>
        <w:rPr>
          <w:rFonts w:hint="default" w:ascii="Times New Roman" w:hAnsi="Times New Roman" w:cs="Times New Roman"/>
          <w:color w:val="auto"/>
          <w:lang w:eastAsia="zh-CN"/>
        </w:rPr>
        <w:t>鸡舍</w:t>
      </w:r>
      <w:r>
        <w:rPr>
          <w:rFonts w:hint="default" w:ascii="Times New Roman" w:hAnsi="Times New Roman" w:cs="Times New Roman"/>
          <w:color w:val="auto"/>
        </w:rPr>
        <w:t>、</w:t>
      </w:r>
      <w:r>
        <w:rPr>
          <w:rFonts w:hint="default" w:ascii="Times New Roman" w:hAnsi="Times New Roman" w:cs="Times New Roman"/>
          <w:color w:val="auto"/>
          <w:lang w:eastAsia="zh-CN"/>
        </w:rPr>
        <w:t>鸡粪发酵处理场</w:t>
      </w:r>
      <w:r>
        <w:rPr>
          <w:rFonts w:hint="default" w:ascii="Times New Roman" w:hAnsi="Times New Roman" w:cs="Times New Roman"/>
          <w:color w:val="auto"/>
          <w:highlight w:val="none"/>
          <w:lang w:eastAsia="zh-CN"/>
        </w:rPr>
        <w:t>、废水收集池</w:t>
      </w:r>
      <w:r>
        <w:rPr>
          <w:rFonts w:hint="default" w:ascii="Times New Roman" w:hAnsi="Times New Roman" w:cs="Times New Roman"/>
          <w:color w:val="auto"/>
        </w:rPr>
        <w:t>主要污染物为NH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rPr>
        <w:t>和H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rPr>
        <w:t>S，以无组织排放为主</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饲料加工产生的粉尘为颗粒物，以有组织为主</w:t>
      </w:r>
      <w:r>
        <w:rPr>
          <w:rFonts w:hint="default" w:ascii="Times New Roman" w:hAnsi="Times New Roman" w:cs="Times New Roman"/>
          <w:color w:val="auto"/>
        </w:rPr>
        <w:t>。</w:t>
      </w:r>
    </w:p>
    <w:p w14:paraId="00634C5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根据《环境影响评价技术导则大气环境》（HJ2.2-2018）中推荐模型</w:t>
      </w:r>
      <w:r>
        <w:rPr>
          <w:rFonts w:hint="default" w:ascii="Times New Roman" w:hAnsi="Times New Roman" w:cs="Times New Roman"/>
          <w:color w:val="auto"/>
          <w:lang w:eastAsia="zh-CN"/>
        </w:rPr>
        <w:t>中的</w:t>
      </w:r>
      <w:r>
        <w:rPr>
          <w:rFonts w:hint="default" w:ascii="Times New Roman" w:hAnsi="Times New Roman" w:cs="Times New Roman"/>
          <w:color w:val="auto"/>
        </w:rPr>
        <w:t>估算模型—AERSCREEN，选择NH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颗粒物</w:t>
      </w:r>
      <w:r>
        <w:rPr>
          <w:rFonts w:hint="default" w:ascii="Times New Roman" w:hAnsi="Times New Roman" w:cs="Times New Roman"/>
          <w:color w:val="auto"/>
        </w:rPr>
        <w:t>作为主要污染物，分别计算每一种污染物的最大地面浓度占标率Pi（第i个污染物）。</w:t>
      </w:r>
    </w:p>
    <w:p w14:paraId="2A3ABF1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其中Pi定义为：Pi=Ci/C0i</w:t>
      </w:r>
    </w:p>
    <w:p w14:paraId="1F5CFD8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式中：Pi——第i个污染物的最大地面空气质量浓度占标率，%；</w:t>
      </w:r>
    </w:p>
    <w:p w14:paraId="5BDA736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Ci——采用估算模型计算出来的第i个污染物的最大1h地面空气质量浓度，mg/m3；</w:t>
      </w:r>
    </w:p>
    <w:p w14:paraId="53F76AE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Coi——第i个污染物的环境空气质量浓度标准，µg/m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05C5F5A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COi——一般选用《环境空气质量标准》GB3095中1小时平均质量浓度的二级浓度限值；对该标准中未包含的污染物，使用5.2确定的各评价因子1h平均质量浓度限值</w:t>
      </w:r>
      <w:r>
        <w:rPr>
          <w:rFonts w:hint="default" w:ascii="Times New Roman" w:hAnsi="Times New Roman" w:cs="Times New Roman"/>
          <w:color w:val="auto"/>
          <w:lang w:eastAsia="zh-CN"/>
        </w:rPr>
        <w:t>，对于</w:t>
      </w:r>
      <w:r>
        <w:rPr>
          <w:rFonts w:hint="default" w:ascii="Times New Roman" w:hAnsi="Times New Roman" w:cs="Times New Roman"/>
          <w:color w:val="auto"/>
          <w:lang w:val="en-US" w:eastAsia="zh-CN"/>
        </w:rPr>
        <w:t>TSP</w:t>
      </w:r>
      <w:r>
        <w:rPr>
          <w:rFonts w:hint="default" w:ascii="Times New Roman" w:hAnsi="Times New Roman" w:cs="Times New Roman"/>
          <w:color w:val="auto"/>
          <w:lang w:eastAsia="zh-CN"/>
        </w:rPr>
        <w:t>日平均质量浓度限值的，按3倍折算为1h平均质量浓度限值</w:t>
      </w:r>
      <w:r>
        <w:rPr>
          <w:rFonts w:hint="default" w:ascii="Times New Roman" w:hAnsi="Times New Roman" w:cs="Times New Roman"/>
          <w:color w:val="auto"/>
        </w:rPr>
        <w:t>。</w:t>
      </w:r>
    </w:p>
    <w:p w14:paraId="7E83B1C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w:t>
      </w:r>
      <w:r>
        <w:rPr>
          <w:rFonts w:hint="default" w:ascii="Times New Roman" w:hAnsi="Times New Roman" w:cs="Times New Roman"/>
          <w:color w:val="auto"/>
          <w:lang w:val="en-US" w:eastAsia="zh-CN"/>
        </w:rPr>
        <w:t>大气环境</w:t>
      </w:r>
      <w:r>
        <w:rPr>
          <w:rFonts w:hint="default" w:ascii="Times New Roman" w:hAnsi="Times New Roman" w:cs="Times New Roman"/>
          <w:color w:val="auto"/>
        </w:rPr>
        <w:t>》（</w:t>
      </w:r>
      <w:r>
        <w:rPr>
          <w:rFonts w:hint="default" w:ascii="Times New Roman" w:hAnsi="Times New Roman" w:cs="Times New Roman"/>
          <w:color w:val="auto"/>
          <w:lang w:eastAsia="zh-CN"/>
        </w:rPr>
        <w:t>HJ2.2-2018</w:t>
      </w:r>
      <w:r>
        <w:rPr>
          <w:rFonts w:hint="default" w:ascii="Times New Roman" w:hAnsi="Times New Roman" w:cs="Times New Roman"/>
          <w:color w:val="auto"/>
        </w:rPr>
        <w:t>）中评价等级判据见表</w:t>
      </w:r>
      <w:r>
        <w:rPr>
          <w:rFonts w:hint="default" w:ascii="Times New Roman" w:hAnsi="Times New Roman" w:cs="Times New Roman"/>
          <w:color w:val="auto"/>
          <w:lang w:val="en-US"/>
        </w:rPr>
        <w:t>2</w:t>
      </w:r>
      <w:r>
        <w:rPr>
          <w:rFonts w:hint="default" w:ascii="Times New Roman" w:hAnsi="Times New Roman" w:cs="Times New Roman"/>
          <w:color w:val="auto"/>
        </w:rPr>
        <w:t>.5-1。</w:t>
      </w:r>
    </w:p>
    <w:p w14:paraId="26858FA4">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评价工作等级</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51"/>
        <w:gridCol w:w="6273"/>
      </w:tblGrid>
      <w:tr w14:paraId="59D8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2" w:type="pct"/>
            <w:noWrap w:val="0"/>
            <w:vAlign w:val="center"/>
          </w:tcPr>
          <w:p w14:paraId="7082B4ED">
            <w:pPr>
              <w:pStyle w:val="69"/>
              <w:spacing w:line="252"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评价工作等级</w:t>
            </w:r>
          </w:p>
        </w:tc>
        <w:tc>
          <w:tcPr>
            <w:tcW w:w="3767" w:type="pct"/>
            <w:noWrap w:val="0"/>
            <w:vAlign w:val="center"/>
          </w:tcPr>
          <w:p w14:paraId="7461B437">
            <w:pPr>
              <w:pStyle w:val="69"/>
              <w:spacing w:line="252"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评价工作级别判据</w:t>
            </w:r>
          </w:p>
        </w:tc>
      </w:tr>
      <w:tr w14:paraId="0146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2" w:type="pct"/>
            <w:noWrap w:val="0"/>
            <w:vAlign w:val="center"/>
          </w:tcPr>
          <w:p w14:paraId="79F21EC7">
            <w:pPr>
              <w:pStyle w:val="69"/>
              <w:spacing w:before="1" w:line="250"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一级评价</w:t>
            </w:r>
          </w:p>
        </w:tc>
        <w:tc>
          <w:tcPr>
            <w:tcW w:w="3767" w:type="pct"/>
            <w:noWrap w:val="0"/>
            <w:vAlign w:val="center"/>
          </w:tcPr>
          <w:p w14:paraId="46B58991">
            <w:pPr>
              <w:pStyle w:val="69"/>
              <w:spacing w:before="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P</w:t>
            </w:r>
            <w:r>
              <w:rPr>
                <w:rFonts w:hint="default" w:ascii="Times New Roman" w:hAnsi="Times New Roman" w:cs="Times New Roman"/>
                <w:color w:val="auto"/>
                <w:sz w:val="21"/>
                <w:highlight w:val="none"/>
                <w:vertAlign w:val="subscript"/>
              </w:rPr>
              <w:t>max</w:t>
            </w:r>
            <w:r>
              <w:rPr>
                <w:rFonts w:hint="default" w:ascii="Times New Roman" w:hAnsi="Times New Roman" w:cs="Times New Roman"/>
                <w:color w:val="auto"/>
                <w:sz w:val="21"/>
                <w:highlight w:val="none"/>
              </w:rPr>
              <w:t>≥10%</w:t>
            </w:r>
          </w:p>
        </w:tc>
      </w:tr>
      <w:tr w14:paraId="032F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2" w:type="pct"/>
            <w:noWrap w:val="0"/>
            <w:vAlign w:val="center"/>
          </w:tcPr>
          <w:p w14:paraId="69A2390C">
            <w:pPr>
              <w:pStyle w:val="69"/>
              <w:spacing w:before="3" w:line="250"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二级评价</w:t>
            </w:r>
          </w:p>
        </w:tc>
        <w:tc>
          <w:tcPr>
            <w:tcW w:w="3767" w:type="pct"/>
            <w:noWrap w:val="0"/>
            <w:vAlign w:val="center"/>
          </w:tcPr>
          <w:p w14:paraId="1BE65FEE">
            <w:pPr>
              <w:pStyle w:val="69"/>
              <w:spacing w:before="3" w:line="250" w:lineRule="exact"/>
              <w:ind w:left="0" w:leftChars="0" w:right="-10" w:rightChars="0" w:firstLine="0" w:firstLineChars="0"/>
              <w:rPr>
                <w:rFonts w:hint="default" w:ascii="Times New Roman" w:hAnsi="Times New Roman" w:eastAsia="Times New Roman" w:cs="Times New Roman"/>
                <w:color w:val="auto"/>
                <w:sz w:val="21"/>
                <w:highlight w:val="none"/>
              </w:rPr>
            </w:pPr>
            <w:bookmarkStart w:id="26" w:name="_Hlk63533102"/>
            <w:r>
              <w:rPr>
                <w:rFonts w:hint="default" w:ascii="Times New Roman" w:hAnsi="Times New Roman" w:eastAsia="Times New Roman" w:cs="Times New Roman"/>
                <w:color w:val="auto"/>
                <w:sz w:val="21"/>
                <w:highlight w:val="none"/>
              </w:rPr>
              <w:t>1%≤P</w:t>
            </w:r>
            <w:r>
              <w:rPr>
                <w:rFonts w:hint="default" w:ascii="Times New Roman" w:hAnsi="Times New Roman" w:eastAsia="Times New Roman" w:cs="Times New Roman"/>
                <w:color w:val="auto"/>
                <w:sz w:val="21"/>
                <w:highlight w:val="none"/>
                <w:vertAlign w:val="subscript"/>
              </w:rPr>
              <w:t>max</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10%</w:t>
            </w:r>
            <w:bookmarkEnd w:id="26"/>
          </w:p>
        </w:tc>
      </w:tr>
      <w:tr w14:paraId="26BB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2" w:type="pct"/>
            <w:noWrap w:val="0"/>
            <w:vAlign w:val="center"/>
          </w:tcPr>
          <w:p w14:paraId="075544C5">
            <w:pPr>
              <w:pStyle w:val="69"/>
              <w:spacing w:before="1" w:line="252"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三级评价</w:t>
            </w:r>
          </w:p>
        </w:tc>
        <w:tc>
          <w:tcPr>
            <w:tcW w:w="3767" w:type="pct"/>
            <w:noWrap w:val="0"/>
            <w:vAlign w:val="center"/>
          </w:tcPr>
          <w:p w14:paraId="048BD351">
            <w:pPr>
              <w:pStyle w:val="69"/>
              <w:spacing w:before="10"/>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P</w:t>
            </w:r>
            <w:r>
              <w:rPr>
                <w:rFonts w:hint="default" w:ascii="Times New Roman" w:hAnsi="Times New Roman" w:cs="Times New Roman"/>
                <w:color w:val="auto"/>
                <w:sz w:val="21"/>
                <w:highlight w:val="none"/>
                <w:vertAlign w:val="subscript"/>
              </w:rPr>
              <w:t>max</w:t>
            </w:r>
            <w:r>
              <w:rPr>
                <w:rFonts w:hint="default" w:ascii="Times New Roman" w:hAnsi="Times New Roman" w:cs="Times New Roman"/>
                <w:color w:val="auto"/>
                <w:sz w:val="21"/>
                <w:highlight w:val="none"/>
              </w:rPr>
              <w:t>&lt;1%</w:t>
            </w:r>
          </w:p>
        </w:tc>
      </w:tr>
    </w:tbl>
    <w:p w14:paraId="5CC5F21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本项目大气评价因子及评价标准见表</w:t>
      </w:r>
      <w:r>
        <w:rPr>
          <w:rFonts w:hint="default" w:ascii="Times New Roman" w:hAnsi="Times New Roman" w:cs="Times New Roman"/>
          <w:color w:val="auto"/>
          <w:lang w:val="en-US"/>
        </w:rPr>
        <w:t>2</w:t>
      </w:r>
      <w:r>
        <w:rPr>
          <w:rFonts w:hint="default" w:ascii="Times New Roman" w:hAnsi="Times New Roman" w:cs="Times New Roman"/>
          <w:color w:val="auto"/>
        </w:rPr>
        <w:t>.5-2。</w:t>
      </w:r>
    </w:p>
    <w:p w14:paraId="5F330C9A">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评价因子和评价标准表</w:t>
      </w:r>
    </w:p>
    <w:tbl>
      <w:tblPr>
        <w:tblStyle w:val="33"/>
        <w:tblW w:w="50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4"/>
        <w:gridCol w:w="1089"/>
        <w:gridCol w:w="1587"/>
        <w:gridCol w:w="4613"/>
      </w:tblGrid>
      <w:tr w14:paraId="11DF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63" w:type="pct"/>
            <w:noWrap w:val="0"/>
            <w:vAlign w:val="center"/>
          </w:tcPr>
          <w:p w14:paraId="751BE2D0">
            <w:pPr>
              <w:pStyle w:val="69"/>
              <w:spacing w:before="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评价因子</w:t>
            </w:r>
          </w:p>
        </w:tc>
        <w:tc>
          <w:tcPr>
            <w:tcW w:w="648" w:type="pct"/>
            <w:noWrap w:val="0"/>
            <w:vAlign w:val="center"/>
          </w:tcPr>
          <w:p w14:paraId="4E8C4400">
            <w:pPr>
              <w:pStyle w:val="69"/>
              <w:spacing w:before="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平均时段</w:t>
            </w:r>
          </w:p>
        </w:tc>
        <w:tc>
          <w:tcPr>
            <w:tcW w:w="944" w:type="pct"/>
            <w:noWrap w:val="0"/>
            <w:vAlign w:val="center"/>
          </w:tcPr>
          <w:p w14:paraId="48F9CCE4">
            <w:pPr>
              <w:pStyle w:val="69"/>
              <w:spacing w:before="1"/>
              <w:ind w:left="0" w:leftChars="0" w:right="-10" w:rightChars="0" w:firstLine="0" w:firstLineChars="0"/>
              <w:rPr>
                <w:rFonts w:hint="default" w:ascii="Times New Roman" w:hAnsi="Times New Roman" w:eastAsia="Times New Roman" w:cs="Times New Roman"/>
                <w:color w:val="auto"/>
                <w:sz w:val="24"/>
                <w:highlight w:val="none"/>
              </w:rPr>
            </w:pPr>
            <w:r>
              <w:rPr>
                <w:rFonts w:hint="default" w:ascii="Times New Roman" w:hAnsi="Times New Roman" w:cs="Times New Roman"/>
                <w:color w:val="auto"/>
                <w:sz w:val="21"/>
                <w:highlight w:val="none"/>
              </w:rPr>
              <w:t>标准值</w:t>
            </w:r>
            <w:r>
              <w:rPr>
                <w:rFonts w:hint="default" w:ascii="Times New Roman" w:hAnsi="Times New Roman" w:eastAsia="Times New Roman" w:cs="Times New Roman"/>
                <w:color w:val="auto"/>
                <w:sz w:val="24"/>
                <w:highlight w:val="none"/>
              </w:rPr>
              <w:t>/</w:t>
            </w:r>
            <w:r>
              <w:rPr>
                <w:rFonts w:hint="default" w:ascii="Times New Roman" w:hAnsi="Times New Roman" w:eastAsia="Times New Roman" w:cs="Times New Roman"/>
                <w:color w:val="auto"/>
                <w:sz w:val="21"/>
                <w:highlight w:val="none"/>
              </w:rPr>
              <w:t>µg</w:t>
            </w:r>
            <w:r>
              <w:rPr>
                <w:rFonts w:hint="default" w:ascii="Times New Roman" w:hAnsi="Times New Roman" w:eastAsia="Times New Roman" w:cs="Times New Roman"/>
                <w:color w:val="auto"/>
                <w:sz w:val="24"/>
                <w:highlight w:val="none"/>
              </w:rPr>
              <w:t>/m</w:t>
            </w:r>
            <w:r>
              <w:rPr>
                <w:rFonts w:hint="default" w:ascii="Times New Roman" w:hAnsi="Times New Roman" w:eastAsia="Times New Roman" w:cs="Times New Roman"/>
                <w:color w:val="auto"/>
                <w:sz w:val="24"/>
                <w:highlight w:val="none"/>
                <w:vertAlign w:val="superscript"/>
              </w:rPr>
              <w:t>3</w:t>
            </w:r>
          </w:p>
        </w:tc>
        <w:tc>
          <w:tcPr>
            <w:tcW w:w="2744" w:type="pct"/>
            <w:noWrap w:val="0"/>
            <w:vAlign w:val="center"/>
          </w:tcPr>
          <w:p w14:paraId="06EECBEB">
            <w:pPr>
              <w:pStyle w:val="69"/>
              <w:spacing w:before="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标准来源</w:t>
            </w:r>
          </w:p>
        </w:tc>
      </w:tr>
      <w:tr w14:paraId="116E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trPr>
        <w:tc>
          <w:tcPr>
            <w:tcW w:w="663" w:type="pct"/>
            <w:noWrap w:val="0"/>
            <w:vAlign w:val="center"/>
          </w:tcPr>
          <w:p w14:paraId="76830CD3">
            <w:pPr>
              <w:pStyle w:val="69"/>
              <w:spacing w:before="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NH</w:t>
            </w:r>
            <w:r>
              <w:rPr>
                <w:rFonts w:hint="default" w:ascii="Times New Roman" w:hAnsi="Times New Roman" w:cs="Times New Roman"/>
                <w:color w:val="auto"/>
                <w:sz w:val="21"/>
                <w:highlight w:val="none"/>
                <w:vertAlign w:val="subscript"/>
              </w:rPr>
              <w:t>3</w:t>
            </w:r>
          </w:p>
        </w:tc>
        <w:tc>
          <w:tcPr>
            <w:tcW w:w="648" w:type="pct"/>
            <w:noWrap w:val="0"/>
            <w:vAlign w:val="center"/>
          </w:tcPr>
          <w:p w14:paraId="092A340F">
            <w:pPr>
              <w:pStyle w:val="69"/>
              <w:spacing w:before="3"/>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21"/>
                <w:highlight w:val="none"/>
              </w:rPr>
              <w:t>1h</w:t>
            </w:r>
            <w:r>
              <w:rPr>
                <w:rFonts w:hint="default" w:ascii="Times New Roman" w:hAnsi="Times New Roman" w:cs="Times New Roman"/>
                <w:color w:val="auto"/>
                <w:sz w:val="21"/>
                <w:highlight w:val="none"/>
              </w:rPr>
              <w:t>平均</w:t>
            </w:r>
          </w:p>
        </w:tc>
        <w:tc>
          <w:tcPr>
            <w:tcW w:w="944" w:type="pct"/>
            <w:noWrap w:val="0"/>
            <w:vAlign w:val="center"/>
          </w:tcPr>
          <w:p w14:paraId="343EF839">
            <w:pPr>
              <w:pStyle w:val="69"/>
              <w:spacing w:before="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200</w:t>
            </w:r>
          </w:p>
        </w:tc>
        <w:tc>
          <w:tcPr>
            <w:tcW w:w="2744" w:type="pct"/>
            <w:vMerge w:val="restart"/>
            <w:noWrap w:val="0"/>
            <w:vAlign w:val="center"/>
          </w:tcPr>
          <w:p w14:paraId="16F62F52">
            <w:pPr>
              <w:pStyle w:val="69"/>
              <w:spacing w:before="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《环境影响评价技术导则大气环境》（HJ2.2-2018）附录D中其他污染物空气质量浓度参考限值</w:t>
            </w:r>
          </w:p>
        </w:tc>
      </w:tr>
      <w:tr w14:paraId="4176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trPr>
        <w:tc>
          <w:tcPr>
            <w:tcW w:w="663" w:type="pct"/>
            <w:noWrap w:val="0"/>
            <w:vAlign w:val="center"/>
          </w:tcPr>
          <w:p w14:paraId="0A860198">
            <w:pPr>
              <w:pStyle w:val="69"/>
              <w:spacing w:before="3"/>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H</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S</w:t>
            </w:r>
          </w:p>
        </w:tc>
        <w:tc>
          <w:tcPr>
            <w:tcW w:w="648" w:type="pct"/>
            <w:noWrap w:val="0"/>
            <w:vAlign w:val="center"/>
          </w:tcPr>
          <w:p w14:paraId="3CF474E4">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21"/>
                <w:highlight w:val="none"/>
              </w:rPr>
              <w:t>1h</w:t>
            </w:r>
            <w:r>
              <w:rPr>
                <w:rFonts w:hint="default" w:ascii="Times New Roman" w:hAnsi="Times New Roman" w:cs="Times New Roman"/>
                <w:color w:val="auto"/>
                <w:sz w:val="21"/>
                <w:highlight w:val="none"/>
              </w:rPr>
              <w:t>平均</w:t>
            </w:r>
          </w:p>
        </w:tc>
        <w:tc>
          <w:tcPr>
            <w:tcW w:w="944" w:type="pct"/>
            <w:noWrap w:val="0"/>
            <w:vAlign w:val="center"/>
          </w:tcPr>
          <w:p w14:paraId="097917A6">
            <w:pPr>
              <w:pStyle w:val="69"/>
              <w:spacing w:before="3"/>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c>
          <w:tcPr>
            <w:tcW w:w="2744" w:type="pct"/>
            <w:vMerge w:val="continue"/>
            <w:noWrap w:val="0"/>
            <w:vAlign w:val="center"/>
          </w:tcPr>
          <w:p w14:paraId="77386598">
            <w:pPr>
              <w:ind w:left="0" w:leftChars="0" w:right="-10" w:rightChars="0" w:firstLine="0" w:firstLineChars="0"/>
              <w:jc w:val="center"/>
              <w:rPr>
                <w:rFonts w:hint="default" w:ascii="Times New Roman" w:hAnsi="Times New Roman" w:cs="Times New Roman"/>
                <w:color w:val="auto"/>
                <w:sz w:val="2"/>
                <w:szCs w:val="2"/>
                <w:highlight w:val="none"/>
              </w:rPr>
            </w:pPr>
          </w:p>
        </w:tc>
      </w:tr>
      <w:tr w14:paraId="0899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3" w:type="pct"/>
            <w:noWrap w:val="0"/>
            <w:vAlign w:val="center"/>
          </w:tcPr>
          <w:p w14:paraId="28BB7BFE">
            <w:pPr>
              <w:pStyle w:val="69"/>
              <w:spacing w:before="3"/>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PM</w:t>
            </w:r>
            <w:r>
              <w:rPr>
                <w:rFonts w:hint="default" w:ascii="Times New Roman" w:hAnsi="Times New Roman" w:cs="Times New Roman"/>
                <w:color w:val="auto"/>
                <w:sz w:val="21"/>
                <w:highlight w:val="none"/>
                <w:vertAlign w:val="subscript"/>
                <w:lang w:val="en-US" w:eastAsia="zh-CN"/>
              </w:rPr>
              <w:t>10</w:t>
            </w:r>
          </w:p>
        </w:tc>
        <w:tc>
          <w:tcPr>
            <w:tcW w:w="648" w:type="pct"/>
            <w:noWrap w:val="0"/>
            <w:vAlign w:val="center"/>
          </w:tcPr>
          <w:p w14:paraId="585B28F7">
            <w:pPr>
              <w:pStyle w:val="69"/>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lang w:val="en-US" w:eastAsia="zh-CN"/>
              </w:rPr>
              <w:t>日均</w:t>
            </w:r>
          </w:p>
        </w:tc>
        <w:tc>
          <w:tcPr>
            <w:tcW w:w="944" w:type="pct"/>
            <w:noWrap w:val="0"/>
            <w:vAlign w:val="center"/>
          </w:tcPr>
          <w:p w14:paraId="535F82E6">
            <w:pPr>
              <w:pStyle w:val="69"/>
              <w:spacing w:before="3"/>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150</w:t>
            </w:r>
          </w:p>
        </w:tc>
        <w:tc>
          <w:tcPr>
            <w:tcW w:w="2744" w:type="pct"/>
            <w:noWrap w:val="0"/>
            <w:vAlign w:val="center"/>
          </w:tcPr>
          <w:p w14:paraId="3AF61F47">
            <w:pPr>
              <w:pStyle w:val="129"/>
              <w:bidi w:val="0"/>
              <w:rPr>
                <w:rFonts w:hint="default" w:ascii="Times New Roman" w:hAnsi="Times New Roman" w:cs="Times New Roman"/>
                <w:color w:val="auto"/>
                <w:sz w:val="2"/>
                <w:szCs w:val="2"/>
                <w:highlight w:val="none"/>
              </w:rPr>
            </w:pPr>
            <w:r>
              <w:rPr>
                <w:rFonts w:hint="default" w:ascii="Times New Roman" w:hAnsi="Times New Roman" w:cs="Times New Roman"/>
                <w:color w:val="auto"/>
                <w:lang w:val="zh-CN" w:eastAsia="zh-CN"/>
              </w:rPr>
              <w:t>环境空气质量标准</w:t>
            </w:r>
            <w:r>
              <w:rPr>
                <w:rFonts w:hint="eastAsia" w:ascii="Times New Roman" w:hAnsi="Times New Roman" w:cs="Times New Roman"/>
                <w:color w:val="auto"/>
                <w:lang w:val="zh-CN" w:eastAsia="zh-CN"/>
              </w:rPr>
              <w:t>（</w:t>
            </w:r>
            <w:r>
              <w:rPr>
                <w:rFonts w:hint="default" w:ascii="Times New Roman" w:hAnsi="Times New Roman" w:cs="Times New Roman"/>
                <w:color w:val="auto"/>
                <w:lang w:val="zh-CN" w:eastAsia="zh-CN"/>
              </w:rPr>
              <w:t>GB3095-2012)二级标准</w:t>
            </w:r>
          </w:p>
        </w:tc>
      </w:tr>
    </w:tbl>
    <w:p w14:paraId="56C7456F">
      <w:pPr>
        <w:pStyle w:val="73"/>
        <w:keepNext w:val="0"/>
        <w:keepLines w:val="0"/>
        <w:pageBreakBefore w:val="0"/>
        <w:widowControl w:val="0"/>
        <w:tabs>
          <w:tab w:val="left" w:pos="1382"/>
        </w:tabs>
        <w:kinsoku/>
        <w:wordWrap/>
        <w:overflowPunct/>
        <w:topLinePunct w:val="0"/>
        <w:autoSpaceDE w:val="0"/>
        <w:autoSpaceDN w:val="0"/>
        <w:bidi w:val="0"/>
        <w:adjustRightInd/>
        <w:snapToGrid/>
        <w:spacing w:line="360" w:lineRule="auto"/>
        <w:ind w:left="0" w:leftChars="0" w:right="0" w:rightChars="0" w:firstLine="44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②</w:t>
      </w:r>
      <w:r>
        <w:rPr>
          <w:rFonts w:hint="default" w:ascii="Times New Roman" w:hAnsi="Times New Roman" w:cs="Times New Roman"/>
          <w:color w:val="auto"/>
          <w:sz w:val="24"/>
          <w:highlight w:val="none"/>
        </w:rPr>
        <w:t>判别估算过程</w:t>
      </w:r>
    </w:p>
    <w:p w14:paraId="1DFD2853">
      <w:pPr>
        <w:pStyle w:val="73"/>
        <w:keepNext w:val="0"/>
        <w:keepLines w:val="0"/>
        <w:pageBreakBefore w:val="0"/>
        <w:widowControl w:val="0"/>
        <w:tabs>
          <w:tab w:val="left" w:pos="1382"/>
        </w:tabs>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估算模型参数见表</w:t>
      </w:r>
      <w:r>
        <w:rPr>
          <w:rFonts w:hint="default" w:ascii="Times New Roman" w:hAnsi="Times New Roman" w:cs="Times New Roman"/>
          <w:color w:val="auto"/>
          <w:sz w:val="24"/>
          <w:highlight w:val="none"/>
          <w:lang w:val="en-US"/>
        </w:rPr>
        <w:t>2.5-3</w:t>
      </w:r>
      <w:r>
        <w:rPr>
          <w:rFonts w:hint="default" w:ascii="Times New Roman" w:hAnsi="Times New Roman" w:cs="Times New Roman"/>
          <w:lang w:val="en-US" w:eastAsia="zh-CN"/>
        </w:rPr>
        <w:t>~</w:t>
      </w:r>
      <w:r>
        <w:rPr>
          <w:rFonts w:hint="default" w:ascii="Times New Roman" w:hAnsi="Times New Roman" w:cs="Times New Roman"/>
          <w:color w:val="auto"/>
          <w:sz w:val="24"/>
          <w:highlight w:val="none"/>
          <w:lang w:val="en-US"/>
        </w:rPr>
        <w:t>2.5-</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p>
    <w:p w14:paraId="0E6A3FAC">
      <w:pPr>
        <w:pStyle w:val="14"/>
        <w:jc w:val="center"/>
        <w:rPr>
          <w:rFonts w:hint="default" w:ascii="Times New Roman" w:hAnsi="Times New Roman" w:eastAsia="宋体" w:cs="Times New Roman"/>
          <w:b/>
          <w:sz w:val="21"/>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宋体" w:cs="Times New Roman"/>
          <w:b/>
          <w:sz w:val="21"/>
        </w:rPr>
        <w:t>主要废气污染源参数一览表</w:t>
      </w:r>
      <w:r>
        <w:rPr>
          <w:rFonts w:hint="eastAsia" w:ascii="Times New Roman" w:hAnsi="Times New Roman" w:cs="Times New Roman"/>
          <w:b/>
          <w:sz w:val="21"/>
          <w:lang w:eastAsia="zh-CN"/>
        </w:rPr>
        <w:t>（</w:t>
      </w:r>
      <w:r>
        <w:rPr>
          <w:rFonts w:hint="default" w:ascii="Times New Roman" w:hAnsi="Times New Roman" w:eastAsia="宋体" w:cs="Times New Roman"/>
          <w:b/>
          <w:sz w:val="21"/>
        </w:rPr>
        <w:t>点源)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862"/>
        <w:gridCol w:w="780"/>
        <w:gridCol w:w="849"/>
        <w:gridCol w:w="694"/>
        <w:gridCol w:w="643"/>
        <w:gridCol w:w="677"/>
        <w:gridCol w:w="686"/>
        <w:gridCol w:w="685"/>
        <w:gridCol w:w="455"/>
        <w:gridCol w:w="651"/>
        <w:gridCol w:w="713"/>
      </w:tblGrid>
      <w:tr w14:paraId="51BE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vMerge w:val="restart"/>
            <w:tcBorders>
              <w:top w:val="single" w:color="auto" w:sz="2" w:space="0"/>
              <w:left w:val="single" w:color="auto" w:sz="2" w:space="0"/>
              <w:bottom w:val="single" w:color="auto" w:sz="2" w:space="0"/>
              <w:right w:val="single" w:color="auto" w:sz="2" w:space="0"/>
            </w:tcBorders>
            <w:noWrap w:val="0"/>
            <w:vAlign w:val="center"/>
          </w:tcPr>
          <w:p w14:paraId="134905AF">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污染源名称</w:t>
            </w:r>
          </w:p>
        </w:tc>
        <w:tc>
          <w:tcPr>
            <w:tcW w:w="1642" w:type="dxa"/>
            <w:gridSpan w:val="2"/>
            <w:tcBorders>
              <w:top w:val="single" w:color="auto" w:sz="2" w:space="0"/>
              <w:left w:val="single" w:color="auto" w:sz="2" w:space="0"/>
              <w:bottom w:val="single" w:color="auto" w:sz="2" w:space="0"/>
              <w:right w:val="single" w:color="auto" w:sz="2" w:space="0"/>
            </w:tcBorders>
            <w:noWrap w:val="0"/>
            <w:vAlign w:val="center"/>
          </w:tcPr>
          <w:p w14:paraId="2275B35C">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排气筒底部中心坐标/°</w:t>
            </w:r>
          </w:p>
        </w:tc>
        <w:tc>
          <w:tcPr>
            <w:tcW w:w="849" w:type="dxa"/>
            <w:vMerge w:val="restart"/>
            <w:tcBorders>
              <w:top w:val="single" w:color="auto" w:sz="2" w:space="0"/>
              <w:left w:val="single" w:color="auto" w:sz="2" w:space="0"/>
              <w:bottom w:val="single" w:color="auto" w:sz="2" w:space="0"/>
              <w:right w:val="single" w:color="auto" w:sz="2" w:space="0"/>
            </w:tcBorders>
            <w:noWrap w:val="0"/>
            <w:vAlign w:val="center"/>
          </w:tcPr>
          <w:p w14:paraId="3F15835A">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排气筒底部</w:t>
            </w:r>
            <w:r>
              <w:rPr>
                <w:rFonts w:hint="default" w:ascii="Times New Roman" w:hAnsi="Times New Roman" w:eastAsia="宋体" w:cs="Times New Roman"/>
                <w:b w:val="0"/>
                <w:bCs w:val="0"/>
                <w:sz w:val="21"/>
                <w:szCs w:val="21"/>
                <w:lang w:eastAsia="zh-CN"/>
              </w:rPr>
              <w:t>海拔</w:t>
            </w:r>
            <w:r>
              <w:rPr>
                <w:rFonts w:hint="default" w:ascii="Times New Roman" w:hAnsi="Times New Roman" w:eastAsia="宋体" w:cs="Times New Roman"/>
                <w:b w:val="0"/>
                <w:bCs w:val="0"/>
                <w:sz w:val="21"/>
                <w:szCs w:val="21"/>
              </w:rPr>
              <w:t>/m</w:t>
            </w:r>
          </w:p>
        </w:tc>
        <w:tc>
          <w:tcPr>
            <w:tcW w:w="694" w:type="dxa"/>
            <w:vMerge w:val="restart"/>
            <w:tcBorders>
              <w:top w:val="single" w:color="auto" w:sz="2" w:space="0"/>
              <w:left w:val="single" w:color="auto" w:sz="2" w:space="0"/>
              <w:bottom w:val="single" w:color="auto" w:sz="2" w:space="0"/>
              <w:right w:val="single" w:color="auto" w:sz="2" w:space="0"/>
            </w:tcBorders>
            <w:noWrap w:val="0"/>
            <w:vAlign w:val="center"/>
          </w:tcPr>
          <w:p w14:paraId="07952E71">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排气筒高度/m</w:t>
            </w:r>
          </w:p>
        </w:tc>
        <w:tc>
          <w:tcPr>
            <w:tcW w:w="643" w:type="dxa"/>
            <w:vMerge w:val="restart"/>
            <w:tcBorders>
              <w:top w:val="single" w:color="auto" w:sz="2" w:space="0"/>
              <w:left w:val="single" w:color="auto" w:sz="2" w:space="0"/>
              <w:bottom w:val="single" w:color="auto" w:sz="2" w:space="0"/>
              <w:right w:val="single" w:color="auto" w:sz="2" w:space="0"/>
            </w:tcBorders>
            <w:noWrap w:val="0"/>
            <w:vAlign w:val="center"/>
          </w:tcPr>
          <w:p w14:paraId="6C212A89">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排气筒内径/m</w:t>
            </w:r>
          </w:p>
        </w:tc>
        <w:tc>
          <w:tcPr>
            <w:tcW w:w="677" w:type="dxa"/>
            <w:vMerge w:val="restart"/>
            <w:tcBorders>
              <w:top w:val="single" w:color="auto" w:sz="2" w:space="0"/>
              <w:left w:val="single" w:color="auto" w:sz="2" w:space="0"/>
              <w:bottom w:val="single" w:color="auto" w:sz="2" w:space="0"/>
              <w:right w:val="single" w:color="auto" w:sz="2" w:space="0"/>
            </w:tcBorders>
            <w:noWrap w:val="0"/>
            <w:vAlign w:val="center"/>
          </w:tcPr>
          <w:p w14:paraId="451FCC2B">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烟气温度/℃</w:t>
            </w:r>
          </w:p>
        </w:tc>
        <w:tc>
          <w:tcPr>
            <w:tcW w:w="686" w:type="dxa"/>
            <w:vMerge w:val="restart"/>
            <w:tcBorders>
              <w:top w:val="single" w:color="auto" w:sz="2" w:space="0"/>
              <w:left w:val="single" w:color="auto" w:sz="2" w:space="0"/>
              <w:bottom w:val="single" w:color="auto" w:sz="2" w:space="0"/>
              <w:right w:val="single" w:color="auto" w:sz="2" w:space="0"/>
            </w:tcBorders>
            <w:noWrap w:val="0"/>
            <w:vAlign w:val="center"/>
          </w:tcPr>
          <w:p w14:paraId="446DA88F">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烟气流速/</w:t>
            </w:r>
            <w:r>
              <w:rPr>
                <w:rFonts w:hint="eastAsia"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m/s)</w:t>
            </w:r>
          </w:p>
        </w:tc>
        <w:tc>
          <w:tcPr>
            <w:tcW w:w="685" w:type="dxa"/>
            <w:vMerge w:val="restart"/>
            <w:tcBorders>
              <w:top w:val="single" w:color="auto" w:sz="2" w:space="0"/>
              <w:left w:val="single" w:color="auto" w:sz="2" w:space="0"/>
              <w:bottom w:val="single" w:color="auto" w:sz="2" w:space="0"/>
              <w:right w:val="single" w:color="auto" w:sz="2" w:space="0"/>
            </w:tcBorders>
            <w:noWrap w:val="0"/>
            <w:vAlign w:val="center"/>
          </w:tcPr>
          <w:p w14:paraId="2D9303B1">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年排放小时数/h</w:t>
            </w:r>
          </w:p>
        </w:tc>
        <w:tc>
          <w:tcPr>
            <w:tcW w:w="455" w:type="dxa"/>
            <w:vMerge w:val="restart"/>
            <w:tcBorders>
              <w:top w:val="single" w:color="auto" w:sz="2" w:space="0"/>
              <w:left w:val="single" w:color="auto" w:sz="2" w:space="0"/>
              <w:bottom w:val="single" w:color="auto" w:sz="2" w:space="0"/>
              <w:right w:val="single" w:color="auto" w:sz="2" w:space="0"/>
            </w:tcBorders>
            <w:noWrap w:val="0"/>
            <w:vAlign w:val="center"/>
          </w:tcPr>
          <w:p w14:paraId="126EA38C">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排放工况</w:t>
            </w:r>
          </w:p>
        </w:tc>
        <w:tc>
          <w:tcPr>
            <w:tcW w:w="651" w:type="dxa"/>
            <w:vMerge w:val="restart"/>
            <w:tcBorders>
              <w:top w:val="single" w:color="auto" w:sz="2" w:space="0"/>
              <w:left w:val="single" w:color="auto" w:sz="2" w:space="0"/>
              <w:bottom w:val="single" w:color="auto" w:sz="2" w:space="0"/>
              <w:right w:val="single" w:color="auto" w:sz="2" w:space="0"/>
            </w:tcBorders>
            <w:noWrap w:val="0"/>
            <w:vAlign w:val="center"/>
          </w:tcPr>
          <w:p w14:paraId="6AAB05BE">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污染物名称</w:t>
            </w:r>
          </w:p>
        </w:tc>
        <w:tc>
          <w:tcPr>
            <w:tcW w:w="713" w:type="dxa"/>
            <w:vMerge w:val="restart"/>
            <w:tcBorders>
              <w:top w:val="single" w:color="auto" w:sz="2" w:space="0"/>
              <w:left w:val="single" w:color="auto" w:sz="2" w:space="0"/>
              <w:bottom w:val="single" w:color="auto" w:sz="2" w:space="0"/>
              <w:right w:val="single" w:color="auto" w:sz="2" w:space="0"/>
            </w:tcBorders>
            <w:noWrap w:val="0"/>
            <w:vAlign w:val="center"/>
          </w:tcPr>
          <w:p w14:paraId="13DBEC7A">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排放速率/</w:t>
            </w:r>
            <w:r>
              <w:rPr>
                <w:rFonts w:hint="eastAsia"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kg/h)</w:t>
            </w:r>
          </w:p>
        </w:tc>
      </w:tr>
      <w:tr w14:paraId="11B9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vMerge w:val="continue"/>
            <w:tcBorders>
              <w:top w:val="single" w:color="auto" w:sz="2" w:space="0"/>
              <w:left w:val="single" w:color="auto" w:sz="2" w:space="0"/>
              <w:bottom w:val="single" w:color="auto" w:sz="2" w:space="0"/>
              <w:right w:val="single" w:color="auto" w:sz="2" w:space="0"/>
            </w:tcBorders>
            <w:noWrap w:val="0"/>
            <w:vAlign w:val="center"/>
          </w:tcPr>
          <w:p w14:paraId="7227D6CB">
            <w:pPr>
              <w:jc w:val="center"/>
              <w:rPr>
                <w:rFonts w:hint="default" w:ascii="Times New Roman" w:hAnsi="Times New Roman" w:eastAsia="宋体" w:cs="Times New Roman"/>
                <w:b w:val="0"/>
                <w:sz w:val="21"/>
                <w:szCs w:val="21"/>
              </w:rPr>
            </w:pPr>
          </w:p>
        </w:tc>
        <w:tc>
          <w:tcPr>
            <w:tcW w:w="862" w:type="dxa"/>
            <w:tcBorders>
              <w:top w:val="single" w:color="auto" w:sz="2" w:space="0"/>
              <w:left w:val="single" w:color="auto" w:sz="2" w:space="0"/>
              <w:bottom w:val="single" w:color="auto" w:sz="2" w:space="0"/>
              <w:right w:val="single" w:color="auto" w:sz="2" w:space="0"/>
            </w:tcBorders>
            <w:noWrap w:val="0"/>
            <w:vAlign w:val="center"/>
          </w:tcPr>
          <w:p w14:paraId="4921EED3">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经度</w:t>
            </w:r>
          </w:p>
        </w:tc>
        <w:tc>
          <w:tcPr>
            <w:tcW w:w="780" w:type="dxa"/>
            <w:tcBorders>
              <w:top w:val="single" w:color="auto" w:sz="2" w:space="0"/>
              <w:left w:val="single" w:color="auto" w:sz="2" w:space="0"/>
              <w:bottom w:val="single" w:color="auto" w:sz="2" w:space="0"/>
              <w:right w:val="single" w:color="auto" w:sz="2" w:space="0"/>
            </w:tcBorders>
            <w:noWrap w:val="0"/>
            <w:vAlign w:val="center"/>
          </w:tcPr>
          <w:p w14:paraId="0AA6E707">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纬度</w:t>
            </w:r>
          </w:p>
        </w:tc>
        <w:tc>
          <w:tcPr>
            <w:tcW w:w="849" w:type="dxa"/>
            <w:vMerge w:val="continue"/>
            <w:tcBorders>
              <w:top w:val="single" w:color="auto" w:sz="2" w:space="0"/>
              <w:left w:val="single" w:color="auto" w:sz="2" w:space="0"/>
              <w:bottom w:val="single" w:color="auto" w:sz="2" w:space="0"/>
              <w:right w:val="single" w:color="auto" w:sz="2" w:space="0"/>
            </w:tcBorders>
            <w:noWrap w:val="0"/>
            <w:vAlign w:val="center"/>
          </w:tcPr>
          <w:p w14:paraId="1B8C7928">
            <w:pPr>
              <w:jc w:val="center"/>
              <w:rPr>
                <w:rFonts w:hint="default" w:ascii="Times New Roman" w:hAnsi="Times New Roman" w:eastAsia="宋体" w:cs="Times New Roman"/>
                <w:b w:val="0"/>
                <w:sz w:val="21"/>
                <w:szCs w:val="21"/>
              </w:rPr>
            </w:pPr>
          </w:p>
        </w:tc>
        <w:tc>
          <w:tcPr>
            <w:tcW w:w="694" w:type="dxa"/>
            <w:vMerge w:val="continue"/>
            <w:tcBorders>
              <w:top w:val="single" w:color="auto" w:sz="2" w:space="0"/>
              <w:left w:val="single" w:color="auto" w:sz="2" w:space="0"/>
              <w:bottom w:val="single" w:color="auto" w:sz="2" w:space="0"/>
              <w:right w:val="single" w:color="auto" w:sz="2" w:space="0"/>
            </w:tcBorders>
            <w:noWrap w:val="0"/>
            <w:vAlign w:val="center"/>
          </w:tcPr>
          <w:p w14:paraId="0ADD80AC">
            <w:pPr>
              <w:jc w:val="center"/>
              <w:rPr>
                <w:rFonts w:hint="default" w:ascii="Times New Roman" w:hAnsi="Times New Roman" w:eastAsia="宋体" w:cs="Times New Roman"/>
                <w:b w:val="0"/>
                <w:sz w:val="21"/>
                <w:szCs w:val="21"/>
              </w:rPr>
            </w:pPr>
          </w:p>
        </w:tc>
        <w:tc>
          <w:tcPr>
            <w:tcW w:w="643" w:type="dxa"/>
            <w:vMerge w:val="continue"/>
            <w:tcBorders>
              <w:top w:val="single" w:color="auto" w:sz="2" w:space="0"/>
              <w:left w:val="single" w:color="auto" w:sz="2" w:space="0"/>
              <w:bottom w:val="single" w:color="auto" w:sz="2" w:space="0"/>
              <w:right w:val="single" w:color="auto" w:sz="2" w:space="0"/>
            </w:tcBorders>
            <w:noWrap w:val="0"/>
            <w:vAlign w:val="center"/>
          </w:tcPr>
          <w:p w14:paraId="5B0E44E0">
            <w:pPr>
              <w:jc w:val="center"/>
              <w:rPr>
                <w:rFonts w:hint="default" w:ascii="Times New Roman" w:hAnsi="Times New Roman" w:eastAsia="宋体" w:cs="Times New Roman"/>
                <w:b w:val="0"/>
                <w:sz w:val="21"/>
                <w:szCs w:val="21"/>
              </w:rPr>
            </w:pPr>
          </w:p>
        </w:tc>
        <w:tc>
          <w:tcPr>
            <w:tcW w:w="677" w:type="dxa"/>
            <w:vMerge w:val="continue"/>
            <w:tcBorders>
              <w:top w:val="single" w:color="auto" w:sz="2" w:space="0"/>
              <w:left w:val="single" w:color="auto" w:sz="2" w:space="0"/>
              <w:bottom w:val="single" w:color="auto" w:sz="2" w:space="0"/>
              <w:right w:val="single" w:color="auto" w:sz="2" w:space="0"/>
            </w:tcBorders>
            <w:noWrap w:val="0"/>
            <w:vAlign w:val="center"/>
          </w:tcPr>
          <w:p w14:paraId="61B82935">
            <w:pPr>
              <w:jc w:val="center"/>
              <w:rPr>
                <w:rFonts w:hint="default" w:ascii="Times New Roman" w:hAnsi="Times New Roman" w:eastAsia="宋体" w:cs="Times New Roman"/>
                <w:b w:val="0"/>
                <w:sz w:val="21"/>
                <w:szCs w:val="21"/>
              </w:rPr>
            </w:pPr>
          </w:p>
        </w:tc>
        <w:tc>
          <w:tcPr>
            <w:tcW w:w="686" w:type="dxa"/>
            <w:vMerge w:val="continue"/>
            <w:tcBorders>
              <w:top w:val="single" w:color="auto" w:sz="2" w:space="0"/>
              <w:left w:val="single" w:color="auto" w:sz="2" w:space="0"/>
              <w:bottom w:val="single" w:color="auto" w:sz="2" w:space="0"/>
              <w:right w:val="single" w:color="auto" w:sz="2" w:space="0"/>
            </w:tcBorders>
            <w:noWrap w:val="0"/>
            <w:vAlign w:val="center"/>
          </w:tcPr>
          <w:p w14:paraId="6A04E673">
            <w:pPr>
              <w:jc w:val="center"/>
              <w:rPr>
                <w:rFonts w:hint="default" w:ascii="Times New Roman" w:hAnsi="Times New Roman" w:eastAsia="宋体" w:cs="Times New Roman"/>
                <w:b w:val="0"/>
                <w:sz w:val="21"/>
                <w:szCs w:val="21"/>
              </w:rPr>
            </w:pPr>
          </w:p>
        </w:tc>
        <w:tc>
          <w:tcPr>
            <w:tcW w:w="685" w:type="dxa"/>
            <w:vMerge w:val="continue"/>
            <w:tcBorders>
              <w:top w:val="single" w:color="auto" w:sz="2" w:space="0"/>
              <w:left w:val="single" w:color="auto" w:sz="2" w:space="0"/>
              <w:bottom w:val="single" w:color="auto" w:sz="2" w:space="0"/>
              <w:right w:val="single" w:color="auto" w:sz="2" w:space="0"/>
            </w:tcBorders>
            <w:noWrap w:val="0"/>
            <w:vAlign w:val="center"/>
          </w:tcPr>
          <w:p w14:paraId="51FDECEB">
            <w:pPr>
              <w:jc w:val="center"/>
              <w:rPr>
                <w:rFonts w:hint="default" w:ascii="Times New Roman" w:hAnsi="Times New Roman" w:eastAsia="宋体" w:cs="Times New Roman"/>
                <w:b w:val="0"/>
                <w:sz w:val="21"/>
                <w:szCs w:val="21"/>
              </w:rPr>
            </w:pPr>
          </w:p>
        </w:tc>
        <w:tc>
          <w:tcPr>
            <w:tcW w:w="455" w:type="dxa"/>
            <w:vMerge w:val="continue"/>
            <w:tcBorders>
              <w:top w:val="single" w:color="auto" w:sz="2" w:space="0"/>
              <w:left w:val="single" w:color="auto" w:sz="2" w:space="0"/>
              <w:bottom w:val="single" w:color="auto" w:sz="2" w:space="0"/>
              <w:right w:val="single" w:color="auto" w:sz="2" w:space="0"/>
            </w:tcBorders>
            <w:noWrap w:val="0"/>
            <w:vAlign w:val="center"/>
          </w:tcPr>
          <w:p w14:paraId="4DA38069">
            <w:pPr>
              <w:jc w:val="center"/>
              <w:rPr>
                <w:rFonts w:hint="default" w:ascii="Times New Roman" w:hAnsi="Times New Roman" w:eastAsia="宋体" w:cs="Times New Roman"/>
                <w:b w:val="0"/>
                <w:sz w:val="21"/>
                <w:szCs w:val="21"/>
              </w:rPr>
            </w:pPr>
          </w:p>
        </w:tc>
        <w:tc>
          <w:tcPr>
            <w:tcW w:w="651" w:type="dxa"/>
            <w:vMerge w:val="continue"/>
            <w:tcBorders>
              <w:top w:val="single" w:color="auto" w:sz="2" w:space="0"/>
              <w:left w:val="single" w:color="auto" w:sz="2" w:space="0"/>
              <w:bottom w:val="single" w:color="auto" w:sz="2" w:space="0"/>
              <w:right w:val="single" w:color="auto" w:sz="2" w:space="0"/>
            </w:tcBorders>
            <w:noWrap w:val="0"/>
            <w:vAlign w:val="center"/>
          </w:tcPr>
          <w:p w14:paraId="3FBFFC31">
            <w:pPr>
              <w:jc w:val="center"/>
              <w:rPr>
                <w:rFonts w:hint="default" w:ascii="Times New Roman" w:hAnsi="Times New Roman" w:eastAsia="宋体" w:cs="Times New Roman"/>
                <w:b w:val="0"/>
                <w:sz w:val="21"/>
                <w:szCs w:val="21"/>
              </w:rPr>
            </w:pPr>
          </w:p>
        </w:tc>
        <w:tc>
          <w:tcPr>
            <w:tcW w:w="713" w:type="dxa"/>
            <w:vMerge w:val="continue"/>
            <w:tcBorders>
              <w:top w:val="single" w:color="auto" w:sz="2" w:space="0"/>
              <w:left w:val="single" w:color="auto" w:sz="2" w:space="0"/>
              <w:bottom w:val="single" w:color="auto" w:sz="2" w:space="0"/>
              <w:right w:val="single" w:color="auto" w:sz="2" w:space="0"/>
            </w:tcBorders>
            <w:noWrap w:val="0"/>
            <w:vAlign w:val="center"/>
          </w:tcPr>
          <w:p w14:paraId="0A0F27AC">
            <w:pPr>
              <w:jc w:val="center"/>
              <w:rPr>
                <w:rFonts w:hint="default" w:ascii="Times New Roman" w:hAnsi="Times New Roman" w:eastAsia="宋体" w:cs="Times New Roman"/>
                <w:b w:val="0"/>
                <w:sz w:val="21"/>
                <w:szCs w:val="21"/>
              </w:rPr>
            </w:pPr>
          </w:p>
        </w:tc>
      </w:tr>
      <w:tr w14:paraId="564E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tcBorders>
              <w:top w:val="single" w:color="auto" w:sz="2" w:space="0"/>
              <w:left w:val="single" w:color="auto" w:sz="2" w:space="0"/>
              <w:bottom w:val="single" w:color="auto" w:sz="2" w:space="0"/>
              <w:right w:val="single" w:color="auto" w:sz="2" w:space="0"/>
            </w:tcBorders>
            <w:noWrap w:val="0"/>
            <w:vAlign w:val="center"/>
          </w:tcPr>
          <w:p w14:paraId="0BBE6F1B">
            <w:pPr>
              <w:keepNext w:val="0"/>
              <w:keepLines w:val="0"/>
              <w:widowControl/>
              <w:suppressLineNumbers w:val="0"/>
              <w:jc w:val="center"/>
              <w:textAlignment w:val="center"/>
              <w:rPr>
                <w:rFonts w:hint="default" w:ascii="Times New Roman" w:hAnsi="Times New Roman" w:eastAsia="宋体" w:cs="Times New Roman"/>
                <w:b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DA001饲料加工</w:t>
            </w:r>
          </w:p>
        </w:tc>
        <w:tc>
          <w:tcPr>
            <w:tcW w:w="862" w:type="dxa"/>
            <w:tcBorders>
              <w:top w:val="single" w:color="auto" w:sz="2" w:space="0"/>
              <w:left w:val="single" w:color="auto" w:sz="2" w:space="0"/>
              <w:bottom w:val="single" w:color="auto" w:sz="2" w:space="0"/>
              <w:right w:val="single" w:color="auto" w:sz="2" w:space="0"/>
            </w:tcBorders>
            <w:noWrap w:val="0"/>
            <w:vAlign w:val="center"/>
          </w:tcPr>
          <w:p w14:paraId="777D3ABC">
            <w:pPr>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val="en-US" w:eastAsia="zh-CN"/>
              </w:rPr>
              <w:t>87.672332</w:t>
            </w:r>
          </w:p>
        </w:tc>
        <w:tc>
          <w:tcPr>
            <w:tcW w:w="780" w:type="dxa"/>
            <w:tcBorders>
              <w:top w:val="single" w:color="auto" w:sz="2" w:space="0"/>
              <w:left w:val="single" w:color="auto" w:sz="2" w:space="0"/>
              <w:bottom w:val="single" w:color="auto" w:sz="2" w:space="0"/>
              <w:right w:val="single" w:color="auto" w:sz="2" w:space="0"/>
            </w:tcBorders>
            <w:noWrap w:val="0"/>
            <w:vAlign w:val="center"/>
          </w:tcPr>
          <w:p w14:paraId="6C47BF19">
            <w:pPr>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val="en-US" w:eastAsia="zh-CN"/>
              </w:rPr>
              <w:t>47.333057</w:t>
            </w:r>
          </w:p>
        </w:tc>
        <w:tc>
          <w:tcPr>
            <w:tcW w:w="849" w:type="dxa"/>
            <w:tcBorders>
              <w:top w:val="single" w:color="auto" w:sz="2" w:space="0"/>
              <w:left w:val="single" w:color="auto" w:sz="2" w:space="0"/>
              <w:bottom w:val="single" w:color="auto" w:sz="2" w:space="0"/>
              <w:right w:val="single" w:color="auto" w:sz="2" w:space="0"/>
            </w:tcBorders>
            <w:noWrap w:val="0"/>
            <w:vAlign w:val="center"/>
          </w:tcPr>
          <w:p w14:paraId="43D0A7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513.36</w:t>
            </w:r>
          </w:p>
        </w:tc>
        <w:tc>
          <w:tcPr>
            <w:tcW w:w="694" w:type="dxa"/>
            <w:tcBorders>
              <w:top w:val="single" w:color="auto" w:sz="2" w:space="0"/>
              <w:left w:val="single" w:color="auto" w:sz="2" w:space="0"/>
              <w:bottom w:val="single" w:color="auto" w:sz="2" w:space="0"/>
              <w:right w:val="single" w:color="auto" w:sz="2" w:space="0"/>
            </w:tcBorders>
            <w:noWrap w:val="0"/>
            <w:vAlign w:val="center"/>
          </w:tcPr>
          <w:p w14:paraId="39CEC1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43" w:type="dxa"/>
            <w:tcBorders>
              <w:top w:val="single" w:color="auto" w:sz="2" w:space="0"/>
              <w:left w:val="single" w:color="auto" w:sz="2" w:space="0"/>
              <w:bottom w:val="single" w:color="auto" w:sz="2" w:space="0"/>
              <w:right w:val="single" w:color="auto" w:sz="2" w:space="0"/>
            </w:tcBorders>
            <w:noWrap w:val="0"/>
            <w:vAlign w:val="center"/>
          </w:tcPr>
          <w:p w14:paraId="7D8F00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7"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63AFB9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zh-CN" w:eastAsia="zh-CN" w:bidi="ar"/>
              </w:rPr>
            </w:pPr>
            <w:r>
              <w:rPr>
                <w:rFonts w:hint="default" w:ascii="Times New Roman" w:hAnsi="Times New Roman" w:eastAsia="宋体" w:cs="Times New Roman"/>
                <w:i w:val="0"/>
                <w:iCs w:val="0"/>
                <w:color w:val="000000"/>
                <w:kern w:val="0"/>
                <w:sz w:val="21"/>
                <w:szCs w:val="21"/>
                <w:u w:val="none"/>
                <w:lang w:val="en-US" w:eastAsia="zh-CN" w:bidi="ar"/>
              </w:rPr>
              <w:t>298</w:t>
            </w:r>
          </w:p>
        </w:tc>
        <w:tc>
          <w:tcPr>
            <w:tcW w:w="686" w:type="dxa"/>
            <w:tcBorders>
              <w:top w:val="single" w:color="auto" w:sz="2" w:space="0"/>
              <w:left w:val="single" w:color="auto" w:sz="2" w:space="0"/>
              <w:bottom w:val="single" w:color="auto" w:sz="2" w:space="0"/>
              <w:right w:val="single" w:color="auto" w:sz="2" w:space="0"/>
            </w:tcBorders>
            <w:noWrap w:val="0"/>
            <w:vAlign w:val="center"/>
          </w:tcPr>
          <w:p w14:paraId="7C622F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0.71</w:t>
            </w:r>
          </w:p>
        </w:tc>
        <w:tc>
          <w:tcPr>
            <w:tcW w:w="685" w:type="dxa"/>
            <w:tcBorders>
              <w:top w:val="single" w:color="auto" w:sz="2" w:space="0"/>
              <w:left w:val="single" w:color="auto" w:sz="2" w:space="0"/>
              <w:bottom w:val="single" w:color="auto" w:sz="2" w:space="0"/>
              <w:right w:val="single" w:color="auto" w:sz="2" w:space="0"/>
            </w:tcBorders>
            <w:noWrap w:val="0"/>
            <w:vAlign w:val="center"/>
          </w:tcPr>
          <w:p w14:paraId="042B23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1460</w:t>
            </w:r>
          </w:p>
        </w:tc>
        <w:tc>
          <w:tcPr>
            <w:tcW w:w="455" w:type="dxa"/>
            <w:tcBorders>
              <w:top w:val="single" w:color="auto" w:sz="2" w:space="0"/>
              <w:left w:val="single" w:color="auto" w:sz="2" w:space="0"/>
              <w:bottom w:val="single" w:color="auto" w:sz="2" w:space="0"/>
              <w:right w:val="single" w:color="auto" w:sz="2" w:space="0"/>
            </w:tcBorders>
            <w:noWrap w:val="0"/>
            <w:vAlign w:val="center"/>
          </w:tcPr>
          <w:p w14:paraId="0D75D8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正常</w:t>
            </w:r>
          </w:p>
        </w:tc>
        <w:tc>
          <w:tcPr>
            <w:tcW w:w="651" w:type="dxa"/>
            <w:tcBorders>
              <w:top w:val="single" w:color="auto" w:sz="2" w:space="0"/>
              <w:left w:val="single" w:color="auto" w:sz="2" w:space="0"/>
              <w:bottom w:val="single" w:color="auto" w:sz="2" w:space="0"/>
              <w:right w:val="single" w:color="auto" w:sz="2" w:space="0"/>
            </w:tcBorders>
            <w:noWrap w:val="0"/>
            <w:vAlign w:val="center"/>
          </w:tcPr>
          <w:p w14:paraId="13008F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713" w:type="dxa"/>
            <w:tcBorders>
              <w:top w:val="single" w:color="auto" w:sz="2" w:space="0"/>
              <w:left w:val="single" w:color="auto" w:sz="2" w:space="0"/>
              <w:bottom w:val="single" w:color="auto" w:sz="2" w:space="0"/>
              <w:right w:val="single" w:color="auto" w:sz="2" w:space="0"/>
            </w:tcBorders>
            <w:noWrap w:val="0"/>
            <w:vAlign w:val="center"/>
          </w:tcPr>
          <w:p w14:paraId="0DF5CF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0.053</w:t>
            </w:r>
          </w:p>
        </w:tc>
      </w:tr>
      <w:tr w14:paraId="15E9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vMerge w:val="restart"/>
            <w:tcBorders>
              <w:top w:val="single" w:color="auto" w:sz="2" w:space="0"/>
              <w:left w:val="single" w:color="auto" w:sz="2" w:space="0"/>
              <w:right w:val="single" w:color="auto" w:sz="2" w:space="0"/>
            </w:tcBorders>
            <w:noWrap w:val="0"/>
            <w:vAlign w:val="center"/>
          </w:tcPr>
          <w:p w14:paraId="2064DD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DA002</w:t>
            </w:r>
            <w:r>
              <w:rPr>
                <w:rFonts w:hint="default" w:ascii="Times New Roman" w:hAnsi="Times New Roman" w:eastAsia="宋体" w:cs="Times New Roman"/>
                <w:b w:val="0"/>
                <w:color w:val="auto"/>
                <w:sz w:val="21"/>
                <w:szCs w:val="21"/>
                <w:lang w:val="zh-CN" w:eastAsia="zh-CN" w:bidi="zh-CN"/>
              </w:rPr>
              <w:t>鸡粪发酵处理场</w:t>
            </w:r>
          </w:p>
        </w:tc>
        <w:tc>
          <w:tcPr>
            <w:tcW w:w="862" w:type="dxa"/>
            <w:vMerge w:val="restart"/>
            <w:tcBorders>
              <w:top w:val="single" w:color="auto" w:sz="2" w:space="0"/>
              <w:left w:val="single" w:color="auto" w:sz="2" w:space="0"/>
              <w:right w:val="single" w:color="auto" w:sz="2" w:space="0"/>
            </w:tcBorders>
            <w:noWrap w:val="0"/>
            <w:vAlign w:val="center"/>
          </w:tcPr>
          <w:p w14:paraId="2B4E4511">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87.670731</w:t>
            </w:r>
          </w:p>
        </w:tc>
        <w:tc>
          <w:tcPr>
            <w:tcW w:w="780" w:type="dxa"/>
            <w:vMerge w:val="restart"/>
            <w:tcBorders>
              <w:top w:val="single" w:color="auto" w:sz="2" w:space="0"/>
              <w:left w:val="single" w:color="auto" w:sz="2" w:space="0"/>
              <w:right w:val="single" w:color="auto" w:sz="2" w:space="0"/>
            </w:tcBorders>
            <w:noWrap w:val="0"/>
            <w:vAlign w:val="center"/>
          </w:tcPr>
          <w:p w14:paraId="24417039">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47.333052</w:t>
            </w:r>
          </w:p>
        </w:tc>
        <w:tc>
          <w:tcPr>
            <w:tcW w:w="849" w:type="dxa"/>
            <w:vMerge w:val="restart"/>
            <w:tcBorders>
              <w:top w:val="single" w:color="auto" w:sz="2" w:space="0"/>
              <w:left w:val="single" w:color="auto" w:sz="2" w:space="0"/>
              <w:right w:val="single" w:color="auto" w:sz="2" w:space="0"/>
            </w:tcBorders>
            <w:noWrap w:val="0"/>
            <w:vAlign w:val="center"/>
          </w:tcPr>
          <w:p w14:paraId="307623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513.31</w:t>
            </w:r>
          </w:p>
        </w:tc>
        <w:tc>
          <w:tcPr>
            <w:tcW w:w="694" w:type="dxa"/>
            <w:vMerge w:val="restart"/>
            <w:tcBorders>
              <w:top w:val="single" w:color="auto" w:sz="2" w:space="0"/>
              <w:left w:val="single" w:color="auto" w:sz="2" w:space="0"/>
              <w:right w:val="single" w:color="auto" w:sz="2" w:space="0"/>
            </w:tcBorders>
            <w:noWrap w:val="0"/>
            <w:vAlign w:val="center"/>
          </w:tcPr>
          <w:p w14:paraId="206C7F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43" w:type="dxa"/>
            <w:vMerge w:val="restart"/>
            <w:tcBorders>
              <w:top w:val="single" w:color="auto" w:sz="2" w:space="0"/>
              <w:left w:val="single" w:color="auto" w:sz="2" w:space="0"/>
              <w:right w:val="single" w:color="auto" w:sz="2" w:space="0"/>
            </w:tcBorders>
            <w:noWrap w:val="0"/>
            <w:vAlign w:val="center"/>
          </w:tcPr>
          <w:p w14:paraId="64C694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7" w:type="dxa"/>
            <w:vMerge w:val="restart"/>
            <w:tcBorders>
              <w:top w:val="single" w:color="auto" w:sz="2" w:space="0"/>
              <w:left w:val="single" w:color="auto" w:sz="2" w:space="0"/>
              <w:right w:val="single" w:color="auto" w:sz="2" w:space="0"/>
            </w:tcBorders>
            <w:shd w:val="clear" w:color="auto" w:fill="auto"/>
            <w:noWrap w:val="0"/>
            <w:vAlign w:val="center"/>
          </w:tcPr>
          <w:p w14:paraId="4D66C8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298</w:t>
            </w:r>
          </w:p>
        </w:tc>
        <w:tc>
          <w:tcPr>
            <w:tcW w:w="686" w:type="dxa"/>
            <w:vMerge w:val="restart"/>
            <w:tcBorders>
              <w:top w:val="single" w:color="auto" w:sz="2" w:space="0"/>
              <w:left w:val="single" w:color="auto" w:sz="2" w:space="0"/>
              <w:right w:val="single" w:color="auto" w:sz="2" w:space="0"/>
            </w:tcBorders>
            <w:noWrap w:val="0"/>
            <w:vAlign w:val="center"/>
          </w:tcPr>
          <w:p w14:paraId="1C4D45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0.71</w:t>
            </w:r>
          </w:p>
        </w:tc>
        <w:tc>
          <w:tcPr>
            <w:tcW w:w="685" w:type="dxa"/>
            <w:vMerge w:val="restart"/>
            <w:tcBorders>
              <w:top w:val="single" w:color="auto" w:sz="2" w:space="0"/>
              <w:left w:val="single" w:color="auto" w:sz="2" w:space="0"/>
              <w:right w:val="single" w:color="auto" w:sz="2" w:space="0"/>
            </w:tcBorders>
            <w:noWrap w:val="0"/>
            <w:vAlign w:val="center"/>
          </w:tcPr>
          <w:p w14:paraId="6E647D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8760</w:t>
            </w:r>
          </w:p>
        </w:tc>
        <w:tc>
          <w:tcPr>
            <w:tcW w:w="455" w:type="dxa"/>
            <w:vMerge w:val="restart"/>
            <w:tcBorders>
              <w:top w:val="single" w:color="auto" w:sz="2" w:space="0"/>
              <w:left w:val="single" w:color="auto" w:sz="2" w:space="0"/>
              <w:right w:val="single" w:color="auto" w:sz="2" w:space="0"/>
            </w:tcBorders>
            <w:noWrap w:val="0"/>
            <w:vAlign w:val="center"/>
          </w:tcPr>
          <w:p w14:paraId="71910A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正常</w:t>
            </w:r>
          </w:p>
        </w:tc>
        <w:tc>
          <w:tcPr>
            <w:tcW w:w="651" w:type="dxa"/>
            <w:tcBorders>
              <w:top w:val="single" w:color="auto" w:sz="2" w:space="0"/>
              <w:left w:val="single" w:color="auto" w:sz="2" w:space="0"/>
              <w:bottom w:val="single" w:color="auto" w:sz="2" w:space="0"/>
              <w:right w:val="single" w:color="auto" w:sz="2" w:space="0"/>
            </w:tcBorders>
            <w:noWrap w:val="0"/>
            <w:vAlign w:val="center"/>
          </w:tcPr>
          <w:p w14:paraId="630FCD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p>
        </w:tc>
        <w:tc>
          <w:tcPr>
            <w:tcW w:w="713" w:type="dxa"/>
            <w:tcBorders>
              <w:top w:val="single" w:color="auto" w:sz="2" w:space="0"/>
              <w:left w:val="single" w:color="auto" w:sz="2" w:space="0"/>
              <w:bottom w:val="single" w:color="auto" w:sz="2" w:space="0"/>
              <w:right w:val="single" w:color="auto" w:sz="2" w:space="0"/>
            </w:tcBorders>
            <w:noWrap w:val="0"/>
            <w:vAlign w:val="center"/>
          </w:tcPr>
          <w:p w14:paraId="172464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0.002</w:t>
            </w:r>
          </w:p>
        </w:tc>
      </w:tr>
      <w:tr w14:paraId="388F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vMerge w:val="continue"/>
            <w:tcBorders>
              <w:left w:val="single" w:color="auto" w:sz="2" w:space="0"/>
              <w:bottom w:val="single" w:color="auto" w:sz="2" w:space="0"/>
              <w:right w:val="single" w:color="auto" w:sz="2" w:space="0"/>
            </w:tcBorders>
            <w:noWrap w:val="0"/>
            <w:vAlign w:val="center"/>
          </w:tcPr>
          <w:p w14:paraId="660028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62" w:type="dxa"/>
            <w:vMerge w:val="continue"/>
            <w:tcBorders>
              <w:left w:val="single" w:color="auto" w:sz="2" w:space="0"/>
              <w:bottom w:val="single" w:color="auto" w:sz="2" w:space="0"/>
              <w:right w:val="single" w:color="auto" w:sz="2" w:space="0"/>
            </w:tcBorders>
            <w:noWrap w:val="0"/>
            <w:vAlign w:val="center"/>
          </w:tcPr>
          <w:p w14:paraId="44E33CC5">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780" w:type="dxa"/>
            <w:vMerge w:val="continue"/>
            <w:tcBorders>
              <w:left w:val="single" w:color="auto" w:sz="2" w:space="0"/>
              <w:bottom w:val="single" w:color="auto" w:sz="2" w:space="0"/>
              <w:right w:val="single" w:color="auto" w:sz="2" w:space="0"/>
            </w:tcBorders>
            <w:noWrap w:val="0"/>
            <w:vAlign w:val="center"/>
          </w:tcPr>
          <w:p w14:paraId="26229986">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849" w:type="dxa"/>
            <w:vMerge w:val="continue"/>
            <w:tcBorders>
              <w:left w:val="single" w:color="auto" w:sz="2" w:space="0"/>
              <w:bottom w:val="single" w:color="auto" w:sz="2" w:space="0"/>
              <w:right w:val="single" w:color="auto" w:sz="2" w:space="0"/>
            </w:tcBorders>
            <w:noWrap w:val="0"/>
            <w:vAlign w:val="center"/>
          </w:tcPr>
          <w:p w14:paraId="229D70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4" w:type="dxa"/>
            <w:vMerge w:val="continue"/>
            <w:tcBorders>
              <w:left w:val="single" w:color="auto" w:sz="2" w:space="0"/>
              <w:bottom w:val="single" w:color="auto" w:sz="2" w:space="0"/>
              <w:right w:val="single" w:color="auto" w:sz="2" w:space="0"/>
            </w:tcBorders>
            <w:noWrap w:val="0"/>
            <w:vAlign w:val="center"/>
          </w:tcPr>
          <w:p w14:paraId="412CE5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43" w:type="dxa"/>
            <w:vMerge w:val="continue"/>
            <w:tcBorders>
              <w:left w:val="single" w:color="auto" w:sz="2" w:space="0"/>
              <w:bottom w:val="single" w:color="auto" w:sz="2" w:space="0"/>
              <w:right w:val="single" w:color="auto" w:sz="2" w:space="0"/>
            </w:tcBorders>
            <w:noWrap w:val="0"/>
            <w:vAlign w:val="center"/>
          </w:tcPr>
          <w:p w14:paraId="05358A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77" w:type="dxa"/>
            <w:vMerge w:val="continue"/>
            <w:tcBorders>
              <w:left w:val="single" w:color="auto" w:sz="2" w:space="0"/>
              <w:bottom w:val="single" w:color="auto" w:sz="2" w:space="0"/>
              <w:right w:val="single" w:color="auto" w:sz="2" w:space="0"/>
            </w:tcBorders>
            <w:shd w:val="clear" w:color="auto" w:fill="auto"/>
            <w:noWrap w:val="0"/>
            <w:vAlign w:val="center"/>
          </w:tcPr>
          <w:p w14:paraId="361A6B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6" w:type="dxa"/>
            <w:vMerge w:val="continue"/>
            <w:tcBorders>
              <w:left w:val="single" w:color="auto" w:sz="2" w:space="0"/>
              <w:bottom w:val="single" w:color="auto" w:sz="2" w:space="0"/>
              <w:right w:val="single" w:color="auto" w:sz="2" w:space="0"/>
            </w:tcBorders>
            <w:noWrap w:val="0"/>
            <w:vAlign w:val="center"/>
          </w:tcPr>
          <w:p w14:paraId="5DC3E0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5" w:type="dxa"/>
            <w:vMerge w:val="continue"/>
            <w:tcBorders>
              <w:left w:val="single" w:color="auto" w:sz="2" w:space="0"/>
              <w:bottom w:val="single" w:color="auto" w:sz="2" w:space="0"/>
              <w:right w:val="single" w:color="auto" w:sz="2" w:space="0"/>
            </w:tcBorders>
            <w:noWrap w:val="0"/>
            <w:vAlign w:val="center"/>
          </w:tcPr>
          <w:p w14:paraId="3121F0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vMerge w:val="continue"/>
            <w:tcBorders>
              <w:left w:val="single" w:color="auto" w:sz="2" w:space="0"/>
              <w:bottom w:val="single" w:color="auto" w:sz="2" w:space="0"/>
              <w:right w:val="single" w:color="auto" w:sz="2" w:space="0"/>
            </w:tcBorders>
            <w:noWrap w:val="0"/>
            <w:vAlign w:val="center"/>
          </w:tcPr>
          <w:p w14:paraId="25C4C3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51" w:type="dxa"/>
            <w:tcBorders>
              <w:top w:val="single" w:color="auto" w:sz="2" w:space="0"/>
              <w:left w:val="single" w:color="auto" w:sz="2" w:space="0"/>
              <w:bottom w:val="single" w:color="auto" w:sz="2" w:space="0"/>
              <w:right w:val="single" w:color="auto" w:sz="2" w:space="0"/>
            </w:tcBorders>
            <w:noWrap w:val="0"/>
            <w:vAlign w:val="center"/>
          </w:tcPr>
          <w:p w14:paraId="134E56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S</w:t>
            </w:r>
          </w:p>
        </w:tc>
        <w:tc>
          <w:tcPr>
            <w:tcW w:w="713" w:type="dxa"/>
            <w:tcBorders>
              <w:top w:val="single" w:color="auto" w:sz="2" w:space="0"/>
              <w:left w:val="single" w:color="auto" w:sz="2" w:space="0"/>
              <w:bottom w:val="single" w:color="auto" w:sz="2" w:space="0"/>
              <w:right w:val="single" w:color="auto" w:sz="2" w:space="0"/>
            </w:tcBorders>
            <w:noWrap w:val="0"/>
            <w:vAlign w:val="center"/>
          </w:tcPr>
          <w:p w14:paraId="451F6A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0.0002</w:t>
            </w:r>
          </w:p>
        </w:tc>
      </w:tr>
    </w:tbl>
    <w:p w14:paraId="77EFF504">
      <w:pPr>
        <w:pStyle w:val="14"/>
        <w:bidi w:val="0"/>
        <w:rPr>
          <w:rFonts w:hint="default" w:ascii="Times New Roman" w:hAnsi="Times New Roman" w:cs="Times New Roman"/>
          <w:color w:val="auto"/>
          <w:lang w:eastAsia="zh-C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color w:val="auto"/>
        </w:rPr>
        <w:t>估算模型参数表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面源</w:t>
      </w:r>
      <w:r>
        <w:rPr>
          <w:rFonts w:hint="default" w:ascii="Times New Roman" w:hAnsi="Times New Roman" w:cs="Times New Roman"/>
          <w:color w:val="auto"/>
          <w:lang w:eastAsia="zh-CN"/>
        </w:rPr>
        <w:t>）</w:t>
      </w:r>
    </w:p>
    <w:tbl>
      <w:tblPr>
        <w:tblStyle w:val="33"/>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23"/>
        <w:gridCol w:w="1109"/>
        <w:gridCol w:w="1109"/>
        <w:gridCol w:w="800"/>
        <w:gridCol w:w="800"/>
        <w:gridCol w:w="800"/>
        <w:gridCol w:w="800"/>
        <w:gridCol w:w="794"/>
        <w:gridCol w:w="794"/>
        <w:gridCol w:w="698"/>
      </w:tblGrid>
      <w:tr w14:paraId="210C9E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80" w:hRule="atLeast"/>
        </w:trPr>
        <w:tc>
          <w:tcPr>
            <w:tcW w:w="503" w:type="pct"/>
            <w:vMerge w:val="restart"/>
            <w:noWrap w:val="0"/>
            <w:vAlign w:val="center"/>
          </w:tcPr>
          <w:p w14:paraId="2FDF5F05">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污染源名称</w:t>
            </w:r>
          </w:p>
        </w:tc>
        <w:tc>
          <w:tcPr>
            <w:tcW w:w="1300" w:type="pct"/>
            <w:gridSpan w:val="2"/>
            <w:noWrap w:val="0"/>
            <w:vAlign w:val="center"/>
          </w:tcPr>
          <w:p w14:paraId="4E7F7650">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坐标</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w:t>
            </w:r>
            <w:r>
              <w:rPr>
                <w:rFonts w:hint="default" w:ascii="Times New Roman" w:hAnsi="Times New Roman" w:eastAsia="宋体" w:cs="Times New Roman"/>
                <w:b w:val="0"/>
                <w:color w:val="auto"/>
                <w:sz w:val="21"/>
                <w:szCs w:val="21"/>
                <w:lang w:eastAsia="zh-CN"/>
              </w:rPr>
              <w:t>）</w:t>
            </w:r>
          </w:p>
        </w:tc>
        <w:tc>
          <w:tcPr>
            <w:tcW w:w="469" w:type="pct"/>
            <w:vMerge w:val="restart"/>
            <w:noWrap w:val="0"/>
            <w:vAlign w:val="center"/>
          </w:tcPr>
          <w:p w14:paraId="1050533E">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lang w:eastAsia="zh-CN"/>
              </w:rPr>
              <w:t>海拔（</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val="0"/>
                <w:color w:val="auto"/>
                <w:sz w:val="21"/>
                <w:szCs w:val="21"/>
                <w:lang w:eastAsia="zh-CN"/>
              </w:rPr>
              <w:t>）</w:t>
            </w:r>
          </w:p>
        </w:tc>
        <w:tc>
          <w:tcPr>
            <w:tcW w:w="1407" w:type="pct"/>
            <w:gridSpan w:val="3"/>
            <w:noWrap w:val="0"/>
            <w:vAlign w:val="center"/>
          </w:tcPr>
          <w:p w14:paraId="009CF3DA">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矩形面源</w:t>
            </w:r>
          </w:p>
        </w:tc>
        <w:tc>
          <w:tcPr>
            <w:tcW w:w="1319" w:type="pct"/>
            <w:gridSpan w:val="3"/>
            <w:noWrap w:val="0"/>
            <w:vAlign w:val="center"/>
          </w:tcPr>
          <w:p w14:paraId="04B0B39A">
            <w:pPr>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污染物排放速率</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kg/h</w:t>
            </w:r>
            <w:r>
              <w:rPr>
                <w:rFonts w:hint="default" w:ascii="Times New Roman" w:hAnsi="Times New Roman" w:eastAsia="宋体" w:cs="Times New Roman"/>
                <w:b w:val="0"/>
                <w:color w:val="auto"/>
                <w:sz w:val="21"/>
                <w:szCs w:val="21"/>
                <w:lang w:eastAsia="zh-CN"/>
              </w:rPr>
              <w:t>）</w:t>
            </w:r>
          </w:p>
        </w:tc>
      </w:tr>
      <w:tr w14:paraId="2D9CD8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22" w:hRule="atLeast"/>
        </w:trPr>
        <w:tc>
          <w:tcPr>
            <w:tcW w:w="503" w:type="pct"/>
            <w:vMerge w:val="continue"/>
            <w:noWrap w:val="0"/>
            <w:vAlign w:val="center"/>
          </w:tcPr>
          <w:p w14:paraId="0F541E92">
            <w:pPr>
              <w:jc w:val="center"/>
              <w:rPr>
                <w:rFonts w:hint="default" w:ascii="Times New Roman" w:hAnsi="Times New Roman" w:cs="Times New Roman"/>
                <w:color w:val="auto"/>
                <w:sz w:val="21"/>
                <w:szCs w:val="21"/>
              </w:rPr>
            </w:pPr>
          </w:p>
        </w:tc>
        <w:tc>
          <w:tcPr>
            <w:tcW w:w="650" w:type="pct"/>
            <w:noWrap w:val="0"/>
            <w:vAlign w:val="center"/>
          </w:tcPr>
          <w:p w14:paraId="117B460F">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经度</w:t>
            </w:r>
          </w:p>
        </w:tc>
        <w:tc>
          <w:tcPr>
            <w:tcW w:w="650" w:type="pct"/>
            <w:noWrap w:val="0"/>
            <w:vAlign w:val="center"/>
          </w:tcPr>
          <w:p w14:paraId="59AE6365">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纬度</w:t>
            </w:r>
          </w:p>
        </w:tc>
        <w:tc>
          <w:tcPr>
            <w:tcW w:w="469" w:type="pct"/>
            <w:vMerge w:val="continue"/>
            <w:noWrap w:val="0"/>
            <w:vAlign w:val="center"/>
          </w:tcPr>
          <w:p w14:paraId="49A8D3EE">
            <w:pPr>
              <w:jc w:val="center"/>
              <w:rPr>
                <w:rFonts w:hint="default" w:ascii="Times New Roman" w:hAnsi="Times New Roman" w:cs="Times New Roman"/>
                <w:color w:val="auto"/>
                <w:sz w:val="21"/>
                <w:szCs w:val="21"/>
              </w:rPr>
            </w:pPr>
          </w:p>
        </w:tc>
        <w:tc>
          <w:tcPr>
            <w:tcW w:w="469" w:type="pct"/>
            <w:noWrap w:val="0"/>
            <w:vAlign w:val="center"/>
          </w:tcPr>
          <w:p w14:paraId="1A6AB85D">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长度</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val="0"/>
                <w:color w:val="auto"/>
                <w:sz w:val="21"/>
                <w:szCs w:val="21"/>
                <w:lang w:eastAsia="zh-CN"/>
              </w:rPr>
              <w:t>）</w:t>
            </w:r>
          </w:p>
        </w:tc>
        <w:tc>
          <w:tcPr>
            <w:tcW w:w="469" w:type="pct"/>
            <w:noWrap w:val="0"/>
            <w:vAlign w:val="center"/>
          </w:tcPr>
          <w:p w14:paraId="79520AB1">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宽度</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val="0"/>
                <w:color w:val="auto"/>
                <w:sz w:val="21"/>
                <w:szCs w:val="21"/>
                <w:lang w:eastAsia="zh-CN"/>
              </w:rPr>
              <w:t>）</w:t>
            </w:r>
          </w:p>
        </w:tc>
        <w:tc>
          <w:tcPr>
            <w:tcW w:w="469" w:type="pct"/>
            <w:noWrap w:val="0"/>
            <w:vAlign w:val="center"/>
          </w:tcPr>
          <w:p w14:paraId="05B06D29">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有效高度</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val="0"/>
                <w:color w:val="auto"/>
                <w:sz w:val="21"/>
                <w:szCs w:val="21"/>
                <w:lang w:eastAsia="zh-CN"/>
              </w:rPr>
              <w:t>）</w:t>
            </w:r>
          </w:p>
        </w:tc>
        <w:tc>
          <w:tcPr>
            <w:tcW w:w="404" w:type="pct"/>
            <w:noWrap w:val="0"/>
            <w:vAlign w:val="center"/>
          </w:tcPr>
          <w:p w14:paraId="69BE4CC3">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H</w:t>
            </w:r>
            <w:r>
              <w:rPr>
                <w:rFonts w:hint="default" w:ascii="Times New Roman" w:hAnsi="Times New Roman" w:eastAsia="宋体" w:cs="Times New Roman"/>
                <w:b w:val="0"/>
                <w:color w:val="auto"/>
                <w:sz w:val="21"/>
                <w:szCs w:val="21"/>
                <w:vertAlign w:val="subscript"/>
              </w:rPr>
              <w:t>2</w:t>
            </w:r>
            <w:r>
              <w:rPr>
                <w:rFonts w:hint="default" w:ascii="Times New Roman" w:hAnsi="Times New Roman" w:eastAsia="宋体" w:cs="Times New Roman"/>
                <w:b w:val="0"/>
                <w:color w:val="auto"/>
                <w:sz w:val="21"/>
                <w:szCs w:val="21"/>
              </w:rPr>
              <w:t>S</w:t>
            </w:r>
          </w:p>
        </w:tc>
        <w:tc>
          <w:tcPr>
            <w:tcW w:w="466" w:type="pct"/>
            <w:noWrap w:val="0"/>
            <w:vAlign w:val="center"/>
          </w:tcPr>
          <w:p w14:paraId="2E9BD575">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NH</w:t>
            </w:r>
            <w:r>
              <w:rPr>
                <w:rFonts w:hint="default" w:ascii="Times New Roman" w:hAnsi="Times New Roman" w:eastAsia="宋体" w:cs="Times New Roman"/>
                <w:b w:val="0"/>
                <w:color w:val="auto"/>
                <w:sz w:val="21"/>
                <w:szCs w:val="21"/>
                <w:vertAlign w:val="subscript"/>
              </w:rPr>
              <w:t>3</w:t>
            </w:r>
          </w:p>
        </w:tc>
        <w:tc>
          <w:tcPr>
            <w:tcW w:w="449" w:type="pct"/>
            <w:noWrap w:val="0"/>
            <w:vAlign w:val="center"/>
          </w:tcPr>
          <w:p w14:paraId="2D43C7B6">
            <w:pPr>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TSP</w:t>
            </w:r>
          </w:p>
        </w:tc>
      </w:tr>
      <w:tr w14:paraId="6C9CDA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5" w:hRule="atLeast"/>
        </w:trPr>
        <w:tc>
          <w:tcPr>
            <w:tcW w:w="503" w:type="pct"/>
            <w:noWrap w:val="0"/>
            <w:vAlign w:val="center"/>
          </w:tcPr>
          <w:p w14:paraId="1539A5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鸡舍</w:t>
            </w:r>
          </w:p>
        </w:tc>
        <w:tc>
          <w:tcPr>
            <w:tcW w:w="650" w:type="pct"/>
            <w:noWrap w:val="0"/>
            <w:vAlign w:val="center"/>
          </w:tcPr>
          <w:p w14:paraId="68FE1A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87.670338</w:t>
            </w:r>
          </w:p>
        </w:tc>
        <w:tc>
          <w:tcPr>
            <w:tcW w:w="650" w:type="pct"/>
            <w:noWrap w:val="0"/>
            <w:vAlign w:val="center"/>
          </w:tcPr>
          <w:p w14:paraId="5E5FEB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47.333871</w:t>
            </w:r>
          </w:p>
        </w:tc>
        <w:tc>
          <w:tcPr>
            <w:tcW w:w="469" w:type="pct"/>
            <w:noWrap w:val="0"/>
            <w:vAlign w:val="center"/>
          </w:tcPr>
          <w:p w14:paraId="1584DF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512.45</w:t>
            </w:r>
          </w:p>
        </w:tc>
        <w:tc>
          <w:tcPr>
            <w:tcW w:w="469" w:type="pct"/>
            <w:noWrap w:val="0"/>
            <w:vAlign w:val="center"/>
          </w:tcPr>
          <w:p w14:paraId="691293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469" w:type="pct"/>
            <w:noWrap w:val="0"/>
            <w:vAlign w:val="center"/>
          </w:tcPr>
          <w:p w14:paraId="2A5718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469" w:type="pct"/>
            <w:noWrap w:val="0"/>
            <w:vAlign w:val="center"/>
          </w:tcPr>
          <w:p w14:paraId="51E172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04" w:type="pct"/>
            <w:noWrap w:val="0"/>
            <w:vAlign w:val="center"/>
          </w:tcPr>
          <w:p w14:paraId="2A6897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0.075</w:t>
            </w:r>
          </w:p>
        </w:tc>
        <w:tc>
          <w:tcPr>
            <w:tcW w:w="466" w:type="pct"/>
            <w:noWrap w:val="0"/>
            <w:vAlign w:val="center"/>
          </w:tcPr>
          <w:p w14:paraId="27454D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0.0075</w:t>
            </w:r>
          </w:p>
        </w:tc>
        <w:tc>
          <w:tcPr>
            <w:tcW w:w="449" w:type="pct"/>
            <w:noWrap w:val="0"/>
            <w:vAlign w:val="center"/>
          </w:tcPr>
          <w:p w14:paraId="5D40E0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2EB2E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5" w:hRule="atLeast"/>
        </w:trPr>
        <w:tc>
          <w:tcPr>
            <w:tcW w:w="503" w:type="pct"/>
            <w:noWrap w:val="0"/>
            <w:vAlign w:val="center"/>
          </w:tcPr>
          <w:p w14:paraId="3284AC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饲料加工</w:t>
            </w:r>
          </w:p>
        </w:tc>
        <w:tc>
          <w:tcPr>
            <w:tcW w:w="650" w:type="pct"/>
            <w:noWrap w:val="0"/>
            <w:vAlign w:val="center"/>
          </w:tcPr>
          <w:p w14:paraId="215671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87.672233</w:t>
            </w:r>
          </w:p>
        </w:tc>
        <w:tc>
          <w:tcPr>
            <w:tcW w:w="650" w:type="pct"/>
            <w:noWrap w:val="0"/>
            <w:vAlign w:val="center"/>
          </w:tcPr>
          <w:p w14:paraId="1025C1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47.333106</w:t>
            </w:r>
          </w:p>
        </w:tc>
        <w:tc>
          <w:tcPr>
            <w:tcW w:w="469" w:type="pct"/>
            <w:noWrap w:val="0"/>
            <w:vAlign w:val="center"/>
          </w:tcPr>
          <w:p w14:paraId="2A31B2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513.00</w:t>
            </w:r>
          </w:p>
        </w:tc>
        <w:tc>
          <w:tcPr>
            <w:tcW w:w="469" w:type="pct"/>
            <w:noWrap w:val="0"/>
            <w:vAlign w:val="center"/>
          </w:tcPr>
          <w:p w14:paraId="7F8767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469" w:type="pct"/>
            <w:noWrap w:val="0"/>
            <w:vAlign w:val="center"/>
          </w:tcPr>
          <w:p w14:paraId="7D8569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469" w:type="pct"/>
            <w:noWrap w:val="0"/>
            <w:vAlign w:val="center"/>
          </w:tcPr>
          <w:p w14:paraId="11DBDE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404" w:type="pct"/>
            <w:noWrap w:val="0"/>
            <w:vAlign w:val="center"/>
          </w:tcPr>
          <w:p w14:paraId="09D12FD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66" w:type="pct"/>
            <w:noWrap w:val="0"/>
            <w:vAlign w:val="center"/>
          </w:tcPr>
          <w:p w14:paraId="4FFED5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noWrap w:val="0"/>
            <w:vAlign w:val="center"/>
          </w:tcPr>
          <w:p w14:paraId="13AC7E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0.086</w:t>
            </w:r>
          </w:p>
        </w:tc>
      </w:tr>
      <w:tr w14:paraId="65027F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5" w:hRule="atLeast"/>
        </w:trPr>
        <w:tc>
          <w:tcPr>
            <w:tcW w:w="503" w:type="pct"/>
            <w:noWrap w:val="0"/>
            <w:vAlign w:val="center"/>
          </w:tcPr>
          <w:p w14:paraId="39D80A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封闭堆粪场</w:t>
            </w:r>
          </w:p>
        </w:tc>
        <w:tc>
          <w:tcPr>
            <w:tcW w:w="1109" w:type="dxa"/>
            <w:noWrap w:val="0"/>
            <w:vAlign w:val="center"/>
          </w:tcPr>
          <w:p w14:paraId="163EF0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87.670731</w:t>
            </w:r>
          </w:p>
        </w:tc>
        <w:tc>
          <w:tcPr>
            <w:tcW w:w="1109" w:type="dxa"/>
            <w:noWrap w:val="0"/>
            <w:vAlign w:val="center"/>
          </w:tcPr>
          <w:p w14:paraId="15E004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47.333052</w:t>
            </w:r>
          </w:p>
        </w:tc>
        <w:tc>
          <w:tcPr>
            <w:tcW w:w="800" w:type="dxa"/>
            <w:noWrap w:val="0"/>
            <w:vAlign w:val="center"/>
          </w:tcPr>
          <w:p w14:paraId="7ECE88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513.00</w:t>
            </w:r>
          </w:p>
        </w:tc>
        <w:tc>
          <w:tcPr>
            <w:tcW w:w="800" w:type="dxa"/>
            <w:noWrap w:val="0"/>
            <w:vAlign w:val="center"/>
          </w:tcPr>
          <w:p w14:paraId="14AACA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800" w:type="dxa"/>
            <w:noWrap w:val="0"/>
            <w:vAlign w:val="center"/>
          </w:tcPr>
          <w:p w14:paraId="752290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800" w:type="dxa"/>
            <w:noWrap w:val="0"/>
            <w:vAlign w:val="center"/>
          </w:tcPr>
          <w:p w14:paraId="0A2B66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89" w:type="dxa"/>
            <w:noWrap w:val="0"/>
            <w:vAlign w:val="center"/>
          </w:tcPr>
          <w:p w14:paraId="2038FC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795" w:type="dxa"/>
            <w:noWrap w:val="0"/>
            <w:vAlign w:val="center"/>
          </w:tcPr>
          <w:p w14:paraId="2C2668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767" w:type="dxa"/>
            <w:noWrap w:val="0"/>
            <w:vAlign w:val="center"/>
          </w:tcPr>
          <w:p w14:paraId="4F9016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bl>
    <w:p w14:paraId="41AAF986">
      <w:pPr>
        <w:pStyle w:val="16"/>
        <w:bidi w:val="0"/>
        <w:rPr>
          <w:rFonts w:hint="default" w:ascii="Times New Roman" w:hAnsi="Times New Roman" w:cs="Times New Roman"/>
          <w:color w:val="auto"/>
          <w:lang w:eastAsia="zh-CN"/>
        </w:rPr>
      </w:pPr>
      <w:r>
        <w:rPr>
          <w:rFonts w:hint="default" w:ascii="Times New Roman" w:hAnsi="Times New Roman" w:cs="Times New Roman"/>
          <w:color w:val="auto"/>
        </w:rPr>
        <w:t>采用估算模型分别计算上述大气污染物最大地面质量浓度（Ci）和占标率（Pi）及对应距离（D），计算结果见表</w:t>
      </w:r>
      <w:r>
        <w:rPr>
          <w:rFonts w:hint="default" w:ascii="Times New Roman" w:hAnsi="Times New Roman" w:cs="Times New Roman"/>
          <w:color w:val="auto"/>
          <w:lang w:val="en-US"/>
        </w:rPr>
        <w:t>2</w:t>
      </w:r>
      <w:r>
        <w:rPr>
          <w:rFonts w:hint="default" w:ascii="Times New Roman" w:hAnsi="Times New Roman" w:cs="Times New Roman"/>
          <w:color w:val="auto"/>
        </w:rPr>
        <w:t>.5-</w:t>
      </w:r>
      <w:r>
        <w:rPr>
          <w:rFonts w:hint="default" w:ascii="Times New Roman" w:hAnsi="Times New Roman" w:cs="Times New Roman"/>
          <w:color w:val="auto"/>
          <w:lang w:val="en-US" w:eastAsia="zh-CN"/>
        </w:rPr>
        <w:t>5</w:t>
      </w:r>
      <w:r>
        <w:rPr>
          <w:rFonts w:hint="default" w:ascii="Times New Roman" w:hAnsi="Times New Roman" w:cs="Times New Roman"/>
          <w:color w:val="auto"/>
        </w:rPr>
        <w:t>。</w:t>
      </w:r>
    </w:p>
    <w:p w14:paraId="11806974">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废气污染物估算结果</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养殖场</w:t>
      </w:r>
      <w:r>
        <w:rPr>
          <w:rFonts w:hint="default" w:ascii="Times New Roman" w:hAnsi="Times New Roman" w:cs="Times New Roman"/>
          <w:color w:val="auto"/>
          <w:lang w:eastAsia="zh-CN"/>
        </w:rPr>
        <w:t>）</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763"/>
        <w:gridCol w:w="1097"/>
        <w:gridCol w:w="1072"/>
        <w:gridCol w:w="874"/>
        <w:gridCol w:w="1243"/>
        <w:gridCol w:w="662"/>
        <w:gridCol w:w="1105"/>
      </w:tblGrid>
      <w:tr w14:paraId="25BA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729" w:type="dxa"/>
            <w:tcBorders>
              <w:top w:val="single" w:color="auto" w:sz="2" w:space="0"/>
              <w:left w:val="single" w:color="auto" w:sz="2" w:space="0"/>
              <w:bottom w:val="single" w:color="auto" w:sz="2" w:space="0"/>
              <w:right w:val="single" w:color="auto" w:sz="2" w:space="0"/>
            </w:tcBorders>
            <w:noWrap w:val="0"/>
            <w:vAlign w:val="center"/>
          </w:tcPr>
          <w:p w14:paraId="60515FC9">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污染源</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227B26B5">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污染物名称</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317A6A34">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评价标准/</w:t>
            </w:r>
            <w:r>
              <w:rPr>
                <w:rFonts w:hint="default" w:ascii="Times New Roman" w:hAnsi="Times New Roman" w:eastAsia="宋体" w:cs="Times New Roman"/>
                <w:b w:val="0"/>
                <w:bCs w:val="0"/>
                <w:color w:val="FF0000"/>
                <w:sz w:val="21"/>
                <w:szCs w:val="21"/>
                <w:lang w:eastAsia="zh-CN"/>
              </w:rPr>
              <w:t>（</w:t>
            </w:r>
            <w:r>
              <w:rPr>
                <w:rFonts w:hint="default" w:ascii="Times New Roman" w:hAnsi="Times New Roman" w:eastAsia="宋体" w:cs="Times New Roman"/>
                <w:b w:val="0"/>
                <w:bCs w:val="0"/>
                <w:color w:val="FF0000"/>
                <w:sz w:val="21"/>
                <w:szCs w:val="21"/>
              </w:rPr>
              <w:t>μg/m³)</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6DC502F5">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最大落地浓度/</w:t>
            </w:r>
            <w:r>
              <w:rPr>
                <w:rFonts w:hint="default" w:ascii="Times New Roman" w:hAnsi="Times New Roman" w:eastAsia="宋体" w:cs="Times New Roman"/>
                <w:b w:val="0"/>
                <w:bCs w:val="0"/>
                <w:color w:val="FF0000"/>
                <w:sz w:val="21"/>
                <w:szCs w:val="21"/>
                <w:lang w:eastAsia="zh-CN"/>
              </w:rPr>
              <w:t>（</w:t>
            </w:r>
            <w:r>
              <w:rPr>
                <w:rFonts w:hint="default" w:ascii="Times New Roman" w:hAnsi="Times New Roman" w:eastAsia="宋体" w:cs="Times New Roman"/>
                <w:b w:val="0"/>
                <w:bCs w:val="0"/>
                <w:color w:val="FF0000"/>
                <w:sz w:val="21"/>
                <w:szCs w:val="21"/>
              </w:rPr>
              <w:t>μg/m³)</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1E2E3EDC">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最大浓度落地点/m</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4CC888A5">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最大地面浓度占标率Pmax/%</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791CDCC6">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D</w:t>
            </w:r>
            <w:r>
              <w:rPr>
                <w:rFonts w:hint="default" w:ascii="Times New Roman" w:hAnsi="Times New Roman" w:eastAsia="宋体" w:cs="Times New Roman"/>
                <w:b w:val="0"/>
                <w:bCs w:val="0"/>
                <w:color w:val="FF0000"/>
                <w:sz w:val="21"/>
                <w:szCs w:val="21"/>
                <w:vertAlign w:val="subscript"/>
              </w:rPr>
              <w:t>10%/m</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43239AAA">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推荐评价等级</w:t>
            </w:r>
          </w:p>
        </w:tc>
      </w:tr>
      <w:tr w14:paraId="4314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1729" w:type="dxa"/>
            <w:tcBorders>
              <w:top w:val="single" w:color="auto" w:sz="2" w:space="0"/>
              <w:left w:val="single" w:color="auto" w:sz="2" w:space="0"/>
              <w:right w:val="single" w:color="auto" w:sz="2" w:space="0"/>
            </w:tcBorders>
            <w:noWrap w:val="0"/>
            <w:vAlign w:val="center"/>
          </w:tcPr>
          <w:p w14:paraId="3090F01D">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饲料加工</w:t>
            </w:r>
            <w:r>
              <w:rPr>
                <w:rFonts w:hint="default" w:ascii="Times New Roman" w:hAnsi="Times New Roman" w:eastAsia="宋体" w:cs="Times New Roman"/>
                <w:b w:val="0"/>
                <w:color w:val="FF0000"/>
                <w:sz w:val="21"/>
                <w:szCs w:val="21"/>
                <w:lang w:val="zh-CN" w:eastAsia="zh-CN" w:bidi="zh-CN"/>
              </w:rPr>
              <w:t>DA001</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4D1BB2DA">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PM10</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4B561F2A">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450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53342BBD">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7.572</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6023E7A4">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125.00</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5B200F44">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1.68</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41E591E0">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32912C0B">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en-US" w:eastAsia="zh-CN" w:bidi="zh-CN"/>
              </w:rPr>
              <w:t>二</w:t>
            </w:r>
            <w:r>
              <w:rPr>
                <w:rFonts w:hint="default" w:ascii="Times New Roman" w:hAnsi="Times New Roman" w:eastAsia="宋体" w:cs="Times New Roman"/>
                <w:b w:val="0"/>
                <w:color w:val="FF0000"/>
                <w:sz w:val="21"/>
                <w:szCs w:val="21"/>
                <w:lang w:val="zh-CN" w:eastAsia="zh-CN" w:bidi="zh-CN"/>
              </w:rPr>
              <w:t>级评价</w:t>
            </w:r>
          </w:p>
        </w:tc>
      </w:tr>
      <w:tr w14:paraId="705F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1729" w:type="dxa"/>
            <w:vMerge w:val="restart"/>
            <w:tcBorders>
              <w:top w:val="single" w:color="auto" w:sz="2" w:space="0"/>
              <w:left w:val="single" w:color="auto" w:sz="2" w:space="0"/>
              <w:right w:val="single" w:color="auto" w:sz="2" w:space="0"/>
            </w:tcBorders>
            <w:shd w:val="clear" w:color="auto" w:fill="auto"/>
            <w:noWrap w:val="0"/>
            <w:vAlign w:val="center"/>
          </w:tcPr>
          <w:p w14:paraId="49814EEA">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鸡粪发酵处理场DA00</w:t>
            </w:r>
            <w:r>
              <w:rPr>
                <w:rFonts w:hint="default" w:ascii="Times New Roman" w:hAnsi="Times New Roman" w:eastAsia="宋体" w:cs="Times New Roman"/>
                <w:b w:val="0"/>
                <w:color w:val="FF0000"/>
                <w:sz w:val="21"/>
                <w:szCs w:val="21"/>
                <w:lang w:val="en-US" w:eastAsia="zh-CN" w:bidi="zh-CN"/>
              </w:rPr>
              <w:t>2</w:t>
            </w:r>
          </w:p>
        </w:tc>
        <w:tc>
          <w:tcPr>
            <w:tcW w:w="769"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59805B8">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NH</w:t>
            </w:r>
            <w:r>
              <w:rPr>
                <w:rFonts w:hint="default" w:ascii="Times New Roman" w:hAnsi="Times New Roman" w:eastAsia="宋体" w:cs="Times New Roman"/>
                <w:b w:val="0"/>
                <w:color w:val="FF0000"/>
                <w:sz w:val="21"/>
                <w:szCs w:val="21"/>
                <w:vertAlign w:val="subscript"/>
                <w:lang w:val="zh-CN" w:eastAsia="zh-CN" w:bidi="zh-CN"/>
              </w:rPr>
              <w:t>3</w:t>
            </w:r>
          </w:p>
        </w:tc>
        <w:tc>
          <w:tcPr>
            <w:tcW w:w="1105"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773023FE">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200</w:t>
            </w:r>
          </w:p>
        </w:tc>
        <w:tc>
          <w:tcPr>
            <w:tcW w:w="108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C6D7676">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0.291</w:t>
            </w:r>
          </w:p>
        </w:tc>
        <w:tc>
          <w:tcPr>
            <w:tcW w:w="881"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2DDB038">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125.00</w:t>
            </w:r>
          </w:p>
        </w:tc>
        <w:tc>
          <w:tcPr>
            <w:tcW w:w="12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E9D2D3B">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0.15</w:t>
            </w:r>
          </w:p>
        </w:tc>
        <w:tc>
          <w:tcPr>
            <w:tcW w:w="667"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4B953C8">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6998F1A9">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r w14:paraId="1DF1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1729" w:type="dxa"/>
            <w:vMerge w:val="continue"/>
            <w:tcBorders>
              <w:left w:val="single" w:color="auto" w:sz="2" w:space="0"/>
              <w:right w:val="single" w:color="auto" w:sz="2" w:space="0"/>
            </w:tcBorders>
            <w:noWrap w:val="0"/>
            <w:vAlign w:val="center"/>
          </w:tcPr>
          <w:p w14:paraId="0D9DFC50">
            <w:pPr>
              <w:jc w:val="center"/>
              <w:rPr>
                <w:rFonts w:hint="default" w:ascii="Times New Roman" w:hAnsi="Times New Roman" w:eastAsia="宋体" w:cs="Times New Roman"/>
                <w:b w:val="0"/>
                <w:color w:val="FF0000"/>
                <w:sz w:val="21"/>
                <w:szCs w:val="21"/>
                <w:lang w:val="en-US" w:eastAsia="zh-CN" w:bidi="zh-CN"/>
              </w:rPr>
            </w:pPr>
          </w:p>
        </w:tc>
        <w:tc>
          <w:tcPr>
            <w:tcW w:w="769"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30055F4">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H</w:t>
            </w:r>
            <w:r>
              <w:rPr>
                <w:rFonts w:hint="default" w:ascii="Times New Roman" w:hAnsi="Times New Roman" w:eastAsia="宋体" w:cs="Times New Roman"/>
                <w:b w:val="0"/>
                <w:color w:val="FF0000"/>
                <w:sz w:val="21"/>
                <w:szCs w:val="21"/>
                <w:vertAlign w:val="subscript"/>
                <w:lang w:val="zh-CN" w:eastAsia="zh-CN" w:bidi="zh-CN"/>
              </w:rPr>
              <w:t>2</w:t>
            </w:r>
            <w:r>
              <w:rPr>
                <w:rFonts w:hint="default" w:ascii="Times New Roman" w:hAnsi="Times New Roman" w:eastAsia="宋体" w:cs="Times New Roman"/>
                <w:b w:val="0"/>
                <w:color w:val="FF0000"/>
                <w:sz w:val="21"/>
                <w:szCs w:val="21"/>
                <w:lang w:val="zh-CN" w:eastAsia="zh-CN" w:bidi="zh-CN"/>
              </w:rPr>
              <w:t>S</w:t>
            </w:r>
          </w:p>
        </w:tc>
        <w:tc>
          <w:tcPr>
            <w:tcW w:w="1105"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309AED8A">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10</w:t>
            </w:r>
          </w:p>
        </w:tc>
        <w:tc>
          <w:tcPr>
            <w:tcW w:w="108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7DE6863">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0.0861</w:t>
            </w:r>
          </w:p>
        </w:tc>
        <w:tc>
          <w:tcPr>
            <w:tcW w:w="881"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57CF3C5A">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125.00</w:t>
            </w:r>
          </w:p>
        </w:tc>
        <w:tc>
          <w:tcPr>
            <w:tcW w:w="12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AF262A3">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0.29</w:t>
            </w:r>
          </w:p>
        </w:tc>
        <w:tc>
          <w:tcPr>
            <w:tcW w:w="667"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528CC0F9">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6FABCC8">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r w14:paraId="5C30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29" w:type="dxa"/>
            <w:vMerge w:val="restart"/>
            <w:tcBorders>
              <w:top w:val="single" w:color="auto" w:sz="2" w:space="0"/>
              <w:left w:val="single" w:color="auto" w:sz="2" w:space="0"/>
              <w:right w:val="single" w:color="auto" w:sz="2" w:space="0"/>
            </w:tcBorders>
            <w:noWrap w:val="0"/>
            <w:vAlign w:val="center"/>
          </w:tcPr>
          <w:p w14:paraId="54E49742">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en-US" w:eastAsia="zh-CN" w:bidi="zh-CN"/>
              </w:rPr>
              <w:t>鸡舍</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6FC74E4E">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NH</w:t>
            </w:r>
            <w:r>
              <w:rPr>
                <w:rFonts w:hint="default" w:ascii="Times New Roman" w:hAnsi="Times New Roman" w:eastAsia="宋体" w:cs="Times New Roman"/>
                <w:b w:val="0"/>
                <w:color w:val="FF0000"/>
                <w:sz w:val="21"/>
                <w:szCs w:val="21"/>
                <w:vertAlign w:val="subscript"/>
                <w:lang w:val="zh-CN" w:eastAsia="zh-CN" w:bidi="zh-CN"/>
              </w:rPr>
              <w:t>3</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14717C12">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200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5729F71C">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4.9270</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452F5577">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88</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1C08E87F">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2.4635</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19BC5C50">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1A9550D9">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二级评价</w:t>
            </w:r>
          </w:p>
        </w:tc>
      </w:tr>
      <w:tr w14:paraId="38BF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29" w:type="dxa"/>
            <w:vMerge w:val="continue"/>
            <w:tcBorders>
              <w:left w:val="single" w:color="auto" w:sz="2" w:space="0"/>
              <w:right w:val="single" w:color="auto" w:sz="2" w:space="0"/>
            </w:tcBorders>
            <w:noWrap w:val="0"/>
            <w:vAlign w:val="center"/>
          </w:tcPr>
          <w:p w14:paraId="7AB3420E">
            <w:pPr>
              <w:jc w:val="center"/>
              <w:rPr>
                <w:rFonts w:hint="default" w:ascii="Times New Roman" w:hAnsi="Times New Roman" w:eastAsia="宋体" w:cs="Times New Roman"/>
                <w:b w:val="0"/>
                <w:color w:val="FF0000"/>
                <w:sz w:val="21"/>
                <w:szCs w:val="21"/>
                <w:lang w:val="zh-CN" w:eastAsia="zh-CN" w:bidi="zh-CN"/>
              </w:rPr>
            </w:pPr>
          </w:p>
        </w:tc>
        <w:tc>
          <w:tcPr>
            <w:tcW w:w="769" w:type="dxa"/>
            <w:tcBorders>
              <w:top w:val="single" w:color="auto" w:sz="2" w:space="0"/>
              <w:left w:val="single" w:color="auto" w:sz="2" w:space="0"/>
              <w:bottom w:val="single" w:color="auto" w:sz="2" w:space="0"/>
              <w:right w:val="single" w:color="auto" w:sz="2" w:space="0"/>
            </w:tcBorders>
            <w:noWrap w:val="0"/>
            <w:vAlign w:val="center"/>
          </w:tcPr>
          <w:p w14:paraId="58457036">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H</w:t>
            </w:r>
            <w:r>
              <w:rPr>
                <w:rFonts w:hint="default" w:ascii="Times New Roman" w:hAnsi="Times New Roman" w:eastAsia="宋体" w:cs="Times New Roman"/>
                <w:b w:val="0"/>
                <w:color w:val="FF0000"/>
                <w:sz w:val="21"/>
                <w:szCs w:val="21"/>
                <w:vertAlign w:val="subscript"/>
                <w:lang w:val="zh-CN" w:eastAsia="zh-CN" w:bidi="zh-CN"/>
              </w:rPr>
              <w:t>2</w:t>
            </w:r>
            <w:r>
              <w:rPr>
                <w:rFonts w:hint="default" w:ascii="Times New Roman" w:hAnsi="Times New Roman" w:eastAsia="宋体" w:cs="Times New Roman"/>
                <w:b w:val="0"/>
                <w:color w:val="FF0000"/>
                <w:sz w:val="21"/>
                <w:szCs w:val="21"/>
                <w:lang w:val="zh-CN" w:eastAsia="zh-CN" w:bidi="zh-CN"/>
              </w:rPr>
              <w:t>S</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4BF94F28">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10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35D8AE87">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0.4927</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42E95CC2">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88</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66E9929E">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4.9270</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29D1EB10">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354038B7">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二级评价</w:t>
            </w:r>
          </w:p>
        </w:tc>
      </w:tr>
      <w:tr w14:paraId="75E5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29" w:type="dxa"/>
            <w:tcBorders>
              <w:left w:val="single" w:color="auto" w:sz="2" w:space="0"/>
              <w:right w:val="single" w:color="auto" w:sz="2" w:space="0"/>
            </w:tcBorders>
            <w:noWrap w:val="0"/>
            <w:vAlign w:val="center"/>
          </w:tcPr>
          <w:p w14:paraId="0D542160">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en-US" w:eastAsia="zh-CN" w:bidi="zh-CN"/>
              </w:rPr>
              <w:t>饲料加工</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544F35E2">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TSP</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23FBFC96">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900.0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7FF92073">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8.2414</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56C24992">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22</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6B136CB0">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0.9157</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1B3AD259">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04E64BD5">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r w14:paraId="12EC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1729" w:type="dxa"/>
            <w:vMerge w:val="restart"/>
            <w:tcBorders>
              <w:left w:val="single" w:color="auto" w:sz="2" w:space="0"/>
              <w:right w:val="single" w:color="auto" w:sz="2" w:space="0"/>
            </w:tcBorders>
            <w:noWrap w:val="0"/>
            <w:vAlign w:val="center"/>
          </w:tcPr>
          <w:p w14:paraId="07CDAA4C">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鸡粪发酵处理场</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0F52CAB6">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NH</w:t>
            </w:r>
            <w:r>
              <w:rPr>
                <w:rFonts w:hint="default" w:ascii="Times New Roman" w:hAnsi="Times New Roman" w:eastAsia="宋体" w:cs="Times New Roman"/>
                <w:b w:val="0"/>
                <w:color w:val="FF0000"/>
                <w:sz w:val="21"/>
                <w:szCs w:val="21"/>
                <w:vertAlign w:val="subscript"/>
                <w:lang w:val="zh-CN" w:eastAsia="zh-CN" w:bidi="zh-CN"/>
              </w:rPr>
              <w:t>3</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763F48CC">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200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1751DE2B">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0.1279</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7F555FCB">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22</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0ADD91D3">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0.0639</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0D9A285E">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5A084BDD">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r w14:paraId="6173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29" w:type="dxa"/>
            <w:vMerge w:val="continue"/>
            <w:tcBorders>
              <w:left w:val="single" w:color="auto" w:sz="2" w:space="0"/>
              <w:bottom w:val="single" w:color="auto" w:sz="2" w:space="0"/>
              <w:right w:val="single" w:color="auto" w:sz="2" w:space="0"/>
            </w:tcBorders>
            <w:noWrap w:val="0"/>
            <w:vAlign w:val="center"/>
          </w:tcPr>
          <w:p w14:paraId="63EB8248">
            <w:pPr>
              <w:jc w:val="center"/>
              <w:rPr>
                <w:rFonts w:hint="default" w:ascii="Times New Roman" w:hAnsi="Times New Roman" w:eastAsia="宋体" w:cs="Times New Roman"/>
                <w:b w:val="0"/>
                <w:color w:val="FF0000"/>
                <w:sz w:val="21"/>
                <w:szCs w:val="21"/>
                <w:lang w:val="en-US" w:eastAsia="zh-CN" w:bidi="zh-CN"/>
              </w:rPr>
            </w:pPr>
          </w:p>
        </w:tc>
        <w:tc>
          <w:tcPr>
            <w:tcW w:w="769" w:type="dxa"/>
            <w:tcBorders>
              <w:top w:val="single" w:color="auto" w:sz="2" w:space="0"/>
              <w:left w:val="single" w:color="auto" w:sz="2" w:space="0"/>
              <w:bottom w:val="single" w:color="auto" w:sz="2" w:space="0"/>
              <w:right w:val="single" w:color="auto" w:sz="2" w:space="0"/>
            </w:tcBorders>
            <w:noWrap w:val="0"/>
            <w:vAlign w:val="center"/>
          </w:tcPr>
          <w:p w14:paraId="551DE571">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H</w:t>
            </w:r>
            <w:r>
              <w:rPr>
                <w:rFonts w:hint="default" w:ascii="Times New Roman" w:hAnsi="Times New Roman" w:eastAsia="宋体" w:cs="Times New Roman"/>
                <w:b w:val="0"/>
                <w:color w:val="FF0000"/>
                <w:sz w:val="21"/>
                <w:szCs w:val="21"/>
                <w:vertAlign w:val="subscript"/>
                <w:lang w:val="zh-CN" w:eastAsia="zh-CN" w:bidi="zh-CN"/>
              </w:rPr>
              <w:t>2</w:t>
            </w:r>
            <w:r>
              <w:rPr>
                <w:rFonts w:hint="default" w:ascii="Times New Roman" w:hAnsi="Times New Roman" w:eastAsia="宋体" w:cs="Times New Roman"/>
                <w:b w:val="0"/>
                <w:color w:val="FF0000"/>
                <w:sz w:val="21"/>
                <w:szCs w:val="21"/>
                <w:lang w:val="zh-CN" w:eastAsia="zh-CN" w:bidi="zh-CN"/>
              </w:rPr>
              <w:t>S</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40137174">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10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4260A709">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0.0142</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63422495">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22</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3B38B763">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0.1421</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0C087A21">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748FBC0D">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bl>
    <w:p w14:paraId="309E63B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lang w:eastAsia="zh-CN"/>
        </w:rPr>
      </w:pPr>
      <w:r>
        <w:rPr>
          <w:rFonts w:hint="default" w:ascii="Times New Roman" w:hAnsi="Times New Roman" w:eastAsia="宋体" w:cs="Times New Roman"/>
          <w:color w:val="auto"/>
          <w:sz w:val="24"/>
          <w:szCs w:val="24"/>
        </w:rPr>
        <w:t>本项目Pmax最大值出现为</w:t>
      </w:r>
      <w:r>
        <w:rPr>
          <w:rFonts w:hint="default" w:ascii="Times New Roman" w:hAnsi="Times New Roman" w:eastAsia="宋体" w:cs="Times New Roman"/>
          <w:color w:val="auto"/>
          <w:sz w:val="24"/>
          <w:szCs w:val="24"/>
          <w:lang w:eastAsia="zh-CN"/>
        </w:rPr>
        <w:t>鸡粪发酵</w:t>
      </w:r>
      <w:r>
        <w:rPr>
          <w:rFonts w:hint="eastAsia" w:ascii="Times New Roman" w:hAnsi="Times New Roman" w:cs="Times New Roman"/>
          <w:color w:val="auto"/>
          <w:sz w:val="24"/>
          <w:szCs w:val="24"/>
          <w:lang w:eastAsia="zh-CN"/>
        </w:rPr>
        <w:t>处理厂</w:t>
      </w:r>
      <w:r>
        <w:rPr>
          <w:rFonts w:hint="default" w:ascii="Times New Roman" w:hAnsi="Times New Roman" w:eastAsia="宋体" w:cs="Times New Roman"/>
          <w:color w:val="auto"/>
          <w:sz w:val="24"/>
          <w:szCs w:val="24"/>
        </w:rPr>
        <w:t>排放的NH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Pmax值为</w:t>
      </w:r>
      <w:r>
        <w:rPr>
          <w:rFonts w:hint="default" w:ascii="Times New Roman" w:hAnsi="Times New Roman" w:eastAsia="宋体" w:cs="Times New Roman"/>
          <w:color w:val="auto"/>
          <w:sz w:val="24"/>
          <w:szCs w:val="24"/>
          <w:lang w:val="en-US" w:eastAsia="zh-CN"/>
        </w:rPr>
        <w:t>4.927</w:t>
      </w:r>
      <w:r>
        <w:rPr>
          <w:rFonts w:hint="default" w:ascii="Times New Roman" w:hAnsi="Times New Roman" w:eastAsia="宋体" w:cs="Times New Roman"/>
          <w:color w:val="auto"/>
          <w:sz w:val="24"/>
          <w:szCs w:val="24"/>
        </w:rPr>
        <w:t>%，Cmax为</w:t>
      </w:r>
      <w:r>
        <w:rPr>
          <w:rFonts w:hint="default" w:ascii="Times New Roman" w:hAnsi="Times New Roman" w:eastAsia="宋体" w:cs="Times New Roman"/>
          <w:color w:val="auto"/>
          <w:sz w:val="24"/>
          <w:szCs w:val="24"/>
          <w:lang w:val="en-US" w:eastAsia="zh-CN"/>
        </w:rPr>
        <w:t>0.4927</w:t>
      </w:r>
      <w:r>
        <w:rPr>
          <w:rFonts w:hint="default" w:ascii="Times New Roman" w:hAnsi="Times New Roman" w:eastAsia="宋体" w:cs="Times New Roman"/>
          <w:color w:val="auto"/>
          <w:sz w:val="24"/>
          <w:szCs w:val="24"/>
        </w:rPr>
        <w:t>μg/m³。根据《环境影响评价技术导则大气环境》（HJ2.2-2018）分级判据，确定本项目大气环境影响评价工作等级为二级。</w:t>
      </w:r>
      <w:r>
        <w:rPr>
          <w:rFonts w:hint="default" w:ascii="Times New Roman" w:hAnsi="Times New Roman" w:cs="Times New Roman"/>
          <w:color w:val="auto"/>
          <w:sz w:val="24"/>
          <w:szCs w:val="24"/>
          <w:highlight w:val="none"/>
          <w:lang w:eastAsia="zh-CN"/>
        </w:rPr>
        <w:t>根据《环境影响评价技术导则大气环境》（HJ2.2-2018）内容，二级评价只对污染源排放量进行核算，不进行进一步预测与评价。</w:t>
      </w:r>
    </w:p>
    <w:p w14:paraId="5EDBACE2">
      <w:pPr>
        <w:pStyle w:val="73"/>
        <w:keepNext w:val="0"/>
        <w:keepLines w:val="0"/>
        <w:pageBreakBefore w:val="0"/>
        <w:widowControl w:val="0"/>
        <w:numPr>
          <w:ilvl w:val="0"/>
          <w:numId w:val="0"/>
        </w:numPr>
        <w:tabs>
          <w:tab w:val="left" w:pos="1382"/>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水环境</w:t>
      </w:r>
    </w:p>
    <w:p w14:paraId="33F802D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①</w:t>
      </w:r>
      <w:r>
        <w:rPr>
          <w:rFonts w:hint="default" w:ascii="Times New Roman" w:hAnsi="Times New Roman" w:cs="Times New Roman"/>
          <w:color w:val="auto"/>
          <w:lang w:val="en-US"/>
        </w:rPr>
        <w:t>地表水</w:t>
      </w:r>
    </w:p>
    <w:p w14:paraId="44A44A7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根据《环境影响评价技术导则地表水环境》（HJ2.3-2018），地表水评价工作等级分级表见表2.5-</w:t>
      </w:r>
      <w:r>
        <w:rPr>
          <w:rFonts w:hint="default" w:ascii="Times New Roman" w:hAnsi="Times New Roman" w:cs="Times New Roman"/>
          <w:color w:val="auto"/>
          <w:lang w:val="en-US" w:eastAsia="zh-CN"/>
        </w:rPr>
        <w:t>6</w:t>
      </w:r>
      <w:r>
        <w:rPr>
          <w:rFonts w:hint="default" w:ascii="Times New Roman" w:hAnsi="Times New Roman" w:cs="Times New Roman"/>
          <w:color w:val="auto"/>
          <w:lang w:val="en-US"/>
        </w:rPr>
        <w:t>。</w:t>
      </w:r>
    </w:p>
    <w:p w14:paraId="6FADBBE5">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地表水评价工作等级分级表</w:t>
      </w:r>
    </w:p>
    <w:tbl>
      <w:tblPr>
        <w:tblStyle w:val="33"/>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25"/>
        <w:gridCol w:w="1922"/>
        <w:gridCol w:w="5196"/>
      </w:tblGrid>
      <w:tr w14:paraId="03D4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734" w:type="pct"/>
            <w:vMerge w:val="restart"/>
            <w:noWrap w:val="0"/>
            <w:vAlign w:val="center"/>
          </w:tcPr>
          <w:p w14:paraId="2BA49DE3">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评价等级</w:t>
            </w:r>
          </w:p>
        </w:tc>
        <w:tc>
          <w:tcPr>
            <w:tcW w:w="4265" w:type="pct"/>
            <w:gridSpan w:val="2"/>
            <w:noWrap w:val="0"/>
            <w:vAlign w:val="center"/>
          </w:tcPr>
          <w:p w14:paraId="0A517F7C">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判定依据</w:t>
            </w:r>
          </w:p>
        </w:tc>
      </w:tr>
      <w:tr w14:paraId="0E65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34" w:type="pct"/>
            <w:vMerge w:val="continue"/>
            <w:noWrap w:val="0"/>
            <w:vAlign w:val="center"/>
          </w:tcPr>
          <w:p w14:paraId="7B459F98">
            <w:pPr>
              <w:pStyle w:val="69"/>
              <w:spacing w:before="46"/>
              <w:ind w:left="0" w:leftChars="0" w:right="-10" w:rightChars="0" w:firstLine="0" w:firstLineChars="0"/>
              <w:rPr>
                <w:rFonts w:hint="default" w:ascii="Times New Roman" w:hAnsi="Times New Roman" w:cs="Times New Roman"/>
                <w:color w:val="auto"/>
                <w:sz w:val="21"/>
                <w:highlight w:val="none"/>
              </w:rPr>
            </w:pPr>
          </w:p>
        </w:tc>
        <w:tc>
          <w:tcPr>
            <w:tcW w:w="1152" w:type="pct"/>
            <w:noWrap w:val="0"/>
            <w:vAlign w:val="center"/>
          </w:tcPr>
          <w:p w14:paraId="5E38E38F">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排放方式</w:t>
            </w:r>
          </w:p>
        </w:tc>
        <w:tc>
          <w:tcPr>
            <w:tcW w:w="3113" w:type="pct"/>
            <w:noWrap w:val="0"/>
            <w:vAlign w:val="center"/>
          </w:tcPr>
          <w:p w14:paraId="4FBA8761">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废水排放量Q/（m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rPr>
              <w:t>/d）；水污染物当量数W/（无量纲）</w:t>
            </w:r>
          </w:p>
        </w:tc>
      </w:tr>
      <w:tr w14:paraId="25D3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734" w:type="pct"/>
            <w:noWrap w:val="0"/>
            <w:vAlign w:val="center"/>
          </w:tcPr>
          <w:p w14:paraId="4AB59C02">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一级</w:t>
            </w:r>
          </w:p>
        </w:tc>
        <w:tc>
          <w:tcPr>
            <w:tcW w:w="1152" w:type="pct"/>
            <w:noWrap w:val="0"/>
            <w:vAlign w:val="center"/>
          </w:tcPr>
          <w:p w14:paraId="56A26F8E">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直接排放</w:t>
            </w:r>
          </w:p>
        </w:tc>
        <w:tc>
          <w:tcPr>
            <w:tcW w:w="3113" w:type="pct"/>
            <w:noWrap w:val="0"/>
            <w:vAlign w:val="center"/>
          </w:tcPr>
          <w:p w14:paraId="3FE6767A">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Q≥20000或W≥</w:t>
            </w:r>
            <w:r>
              <w:rPr>
                <w:rFonts w:hint="default" w:ascii="Times New Roman" w:hAnsi="Times New Roman" w:cs="Times New Roman"/>
                <w:color w:val="auto"/>
                <w:sz w:val="21"/>
                <w:highlight w:val="none"/>
                <w:lang w:eastAsia="zh-CN"/>
              </w:rPr>
              <w:t>10000</w:t>
            </w:r>
            <w:r>
              <w:rPr>
                <w:rFonts w:hint="default" w:ascii="Times New Roman" w:hAnsi="Times New Roman" w:cs="Times New Roman"/>
                <w:color w:val="auto"/>
                <w:sz w:val="21"/>
                <w:highlight w:val="none"/>
              </w:rPr>
              <w:t>0</w:t>
            </w:r>
          </w:p>
        </w:tc>
      </w:tr>
      <w:tr w14:paraId="3421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734" w:type="pct"/>
            <w:noWrap w:val="0"/>
            <w:vAlign w:val="center"/>
          </w:tcPr>
          <w:p w14:paraId="740A114F">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1152" w:type="pct"/>
            <w:noWrap w:val="0"/>
            <w:vAlign w:val="center"/>
          </w:tcPr>
          <w:p w14:paraId="08A816EF">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直接排放</w:t>
            </w:r>
          </w:p>
        </w:tc>
        <w:tc>
          <w:tcPr>
            <w:tcW w:w="3113" w:type="pct"/>
            <w:noWrap w:val="0"/>
            <w:vAlign w:val="center"/>
          </w:tcPr>
          <w:p w14:paraId="174B9CC3">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其他</w:t>
            </w:r>
          </w:p>
        </w:tc>
      </w:tr>
      <w:tr w14:paraId="6FF5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734" w:type="pct"/>
            <w:noWrap w:val="0"/>
            <w:vAlign w:val="center"/>
          </w:tcPr>
          <w:p w14:paraId="3202F175">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三级A</w:t>
            </w:r>
          </w:p>
        </w:tc>
        <w:tc>
          <w:tcPr>
            <w:tcW w:w="1152" w:type="pct"/>
            <w:noWrap w:val="0"/>
            <w:vAlign w:val="center"/>
          </w:tcPr>
          <w:p w14:paraId="264660D9">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直接排放</w:t>
            </w:r>
          </w:p>
        </w:tc>
        <w:tc>
          <w:tcPr>
            <w:tcW w:w="3113" w:type="pct"/>
            <w:noWrap w:val="0"/>
            <w:vAlign w:val="center"/>
          </w:tcPr>
          <w:p w14:paraId="06147D9E">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Q＜200且W＜6000</w:t>
            </w:r>
          </w:p>
        </w:tc>
      </w:tr>
      <w:tr w14:paraId="1312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734" w:type="pct"/>
            <w:noWrap w:val="0"/>
            <w:vAlign w:val="center"/>
          </w:tcPr>
          <w:p w14:paraId="62FFAFFD">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三级B</w:t>
            </w:r>
          </w:p>
        </w:tc>
        <w:tc>
          <w:tcPr>
            <w:tcW w:w="1152" w:type="pct"/>
            <w:noWrap w:val="0"/>
            <w:vAlign w:val="center"/>
          </w:tcPr>
          <w:p w14:paraId="04FC66D6">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间接排放</w:t>
            </w:r>
          </w:p>
        </w:tc>
        <w:tc>
          <w:tcPr>
            <w:tcW w:w="3113" w:type="pct"/>
            <w:noWrap w:val="0"/>
            <w:vAlign w:val="center"/>
          </w:tcPr>
          <w:p w14:paraId="0D97A698">
            <w:pPr>
              <w:pStyle w:val="69"/>
              <w:spacing w:before="60"/>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5D89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5000" w:type="pct"/>
            <w:gridSpan w:val="3"/>
            <w:noWrap w:val="0"/>
            <w:vAlign w:val="center"/>
          </w:tcPr>
          <w:p w14:paraId="1A02D687">
            <w:pPr>
              <w:pStyle w:val="69"/>
              <w:spacing w:before="4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18"/>
                <w:szCs w:val="18"/>
                <w:highlight w:val="none"/>
              </w:rPr>
              <w:t>注：建设项目</w:t>
            </w:r>
            <w:r>
              <w:rPr>
                <w:rFonts w:hint="default" w:ascii="Times New Roman" w:hAnsi="Times New Roman" w:cs="Times New Roman"/>
                <w:color w:val="auto"/>
                <w:sz w:val="18"/>
                <w:szCs w:val="18"/>
                <w:highlight w:val="none"/>
                <w:lang w:eastAsia="zh-CN"/>
              </w:rPr>
              <w:t>生产</w:t>
            </w:r>
            <w:r>
              <w:rPr>
                <w:rFonts w:hint="default" w:ascii="Times New Roman" w:hAnsi="Times New Roman" w:cs="Times New Roman"/>
                <w:color w:val="auto"/>
                <w:sz w:val="18"/>
                <w:szCs w:val="18"/>
                <w:highlight w:val="none"/>
              </w:rPr>
              <w:t>工艺中有废水产生，但作为回水利用，不排放到外环境的，按三级B评价。</w:t>
            </w:r>
          </w:p>
        </w:tc>
      </w:tr>
    </w:tbl>
    <w:p w14:paraId="10C4B4C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建设项目地表水环境影响评价等级按照影响类型、排放方式、排放量或影响情况、受纳水体环境质量现状、水环境保护目标等综合确定。根据工程分析可知，本项目运营期产生的废水主要为</w:t>
      </w:r>
      <w:r>
        <w:rPr>
          <w:rFonts w:hint="default" w:ascii="Times New Roman" w:hAnsi="Times New Roman" w:cs="Times New Roman"/>
          <w:snapToGrid w:val="0"/>
          <w:color w:val="auto"/>
          <w:kern w:val="0"/>
          <w:sz w:val="24"/>
          <w:lang w:val="en-US" w:eastAsia="zh-CN"/>
        </w:rPr>
        <w:t>鸡舍粪便收集设施（</w:t>
      </w:r>
      <w:r>
        <w:rPr>
          <w:rFonts w:hint="eastAsia" w:ascii="Times New Roman" w:hAnsi="Times New Roman" w:cs="Times New Roman"/>
          <w:snapToGrid w:val="0"/>
          <w:color w:val="auto"/>
          <w:kern w:val="0"/>
          <w:sz w:val="24"/>
          <w:lang w:val="en-US" w:eastAsia="zh-CN"/>
        </w:rPr>
        <w:t>粪便传送带</w:t>
      </w:r>
      <w:r>
        <w:rPr>
          <w:rFonts w:hint="default" w:ascii="Times New Roman" w:hAnsi="Times New Roman" w:cs="Times New Roman"/>
          <w:snapToGrid w:val="0"/>
          <w:color w:val="auto"/>
          <w:kern w:val="0"/>
          <w:sz w:val="24"/>
          <w:lang w:val="en-US" w:eastAsia="zh-CN"/>
        </w:rPr>
        <w:t>和清粪机）清洗废水和工作人员生活污水，</w:t>
      </w:r>
      <w:r>
        <w:rPr>
          <w:rFonts w:hint="default" w:ascii="Times New Roman" w:hAnsi="Times New Roman" w:cs="Times New Roman"/>
          <w:snapToGrid w:val="0"/>
          <w:color w:val="auto"/>
          <w:kern w:val="0"/>
          <w:sz w:val="24"/>
          <w:highlight w:val="none"/>
          <w:lang w:val="en-US" w:eastAsia="zh-CN"/>
        </w:rPr>
        <w:t>鸡舍粪便收集设施（</w:t>
      </w:r>
      <w:r>
        <w:rPr>
          <w:rFonts w:hint="eastAsia" w:ascii="Times New Roman" w:hAnsi="Times New Roman" w:cs="Times New Roman"/>
          <w:snapToGrid w:val="0"/>
          <w:color w:val="auto"/>
          <w:kern w:val="0"/>
          <w:sz w:val="24"/>
          <w:highlight w:val="none"/>
          <w:lang w:val="en-US" w:eastAsia="zh-CN"/>
        </w:rPr>
        <w:t>粪便传送带</w:t>
      </w:r>
      <w:r>
        <w:rPr>
          <w:rFonts w:hint="default" w:ascii="Times New Roman" w:hAnsi="Times New Roman" w:cs="Times New Roman"/>
          <w:snapToGrid w:val="0"/>
          <w:color w:val="auto"/>
          <w:kern w:val="0"/>
          <w:sz w:val="24"/>
          <w:highlight w:val="none"/>
          <w:lang w:val="en-US" w:eastAsia="zh-CN"/>
        </w:rPr>
        <w:t>和清粪机）清洗废水和</w:t>
      </w:r>
      <w:r>
        <w:rPr>
          <w:rFonts w:hint="default" w:ascii="Times New Roman" w:hAnsi="Times New Roman" w:cs="Times New Roman"/>
          <w:snapToGrid w:val="0"/>
          <w:color w:val="auto"/>
          <w:kern w:val="0"/>
          <w:sz w:val="24"/>
          <w:lang w:val="en-US" w:eastAsia="zh-CN"/>
        </w:rPr>
        <w:t>工作人员生活污水进入废水收集池容积100m</w:t>
      </w:r>
      <w:r>
        <w:rPr>
          <w:rFonts w:hint="default" w:ascii="Times New Roman" w:hAnsi="Times New Roman" w:cs="Times New Roman"/>
          <w:snapToGrid w:val="0"/>
          <w:color w:val="auto"/>
          <w:kern w:val="0"/>
          <w:sz w:val="24"/>
          <w:vertAlign w:val="superscript"/>
          <w:lang w:val="en-US" w:eastAsia="zh-CN"/>
        </w:rPr>
        <w:t>3</w:t>
      </w:r>
      <w:r>
        <w:rPr>
          <w:rFonts w:hint="default" w:ascii="Times New Roman" w:hAnsi="Times New Roman" w:cs="Times New Roman"/>
          <w:snapToGrid w:val="0"/>
          <w:color w:val="auto"/>
          <w:kern w:val="0"/>
          <w:sz w:val="24"/>
          <w:lang w:val="en-US" w:eastAsia="zh-CN"/>
        </w:rPr>
        <w:t>，上设封盖。用于粪便堆肥，增加有机肥湿度</w:t>
      </w:r>
      <w:r>
        <w:rPr>
          <w:rFonts w:hint="default" w:ascii="Times New Roman" w:hAnsi="Times New Roman" w:cs="Times New Roman"/>
          <w:color w:val="auto"/>
          <w:lang w:val="en-US"/>
        </w:rPr>
        <w:t>，本项目没有废水外排。根据《环境影响评价技术导则地表水环境》（HJ2.3-2018）中水污染影响型建设项目评价等级判定表可知，本项目地表水环境评价等级为三级B。本项目不需要进行地表水环境影响评价，仅对评价范围内的地表水环境质量进行现状调查评价，分析废水处理处置及资源化利用可行性。</w:t>
      </w:r>
    </w:p>
    <w:p w14:paraId="7773168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②</w:t>
      </w:r>
      <w:r>
        <w:rPr>
          <w:rFonts w:hint="default" w:ascii="Times New Roman" w:hAnsi="Times New Roman" w:cs="Times New Roman"/>
          <w:color w:val="auto"/>
          <w:lang w:val="en-US"/>
        </w:rPr>
        <w:t>地下水</w:t>
      </w:r>
    </w:p>
    <w:p w14:paraId="7BD9637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本项目要求对</w:t>
      </w:r>
      <w:r>
        <w:rPr>
          <w:rFonts w:hint="default" w:ascii="Times New Roman" w:hAnsi="Times New Roman" w:cs="Times New Roman"/>
          <w:color w:val="auto"/>
          <w:lang w:val="en-US" w:eastAsia="zh-CN"/>
        </w:rPr>
        <w:t>鸡粪发酵处理场</w:t>
      </w:r>
      <w:r>
        <w:rPr>
          <w:rFonts w:hint="default" w:ascii="Times New Roman" w:hAnsi="Times New Roman" w:cs="Times New Roman"/>
          <w:color w:val="auto"/>
          <w:lang w:val="en-US"/>
        </w:rPr>
        <w:t>均做防渗处理，不允许渗漏。本项目水源为</w:t>
      </w:r>
      <w:r>
        <w:rPr>
          <w:rFonts w:hint="default" w:ascii="Times New Roman" w:hAnsi="Times New Roman" w:cs="Times New Roman"/>
          <w:color w:val="auto"/>
          <w:lang w:val="en-US" w:eastAsia="zh-CN"/>
        </w:rPr>
        <w:t>市政管网</w:t>
      </w:r>
      <w:r>
        <w:rPr>
          <w:rFonts w:hint="default" w:ascii="Times New Roman" w:hAnsi="Times New Roman" w:cs="Times New Roman"/>
          <w:color w:val="auto"/>
          <w:lang w:val="en-US"/>
        </w:rPr>
        <w:t>，每栋鸡舍均设自动清粪系统，鸡舍内设横斜向</w:t>
      </w:r>
      <w:r>
        <w:rPr>
          <w:rFonts w:hint="eastAsia" w:ascii="Times New Roman" w:hAnsi="Times New Roman" w:cs="Times New Roman"/>
          <w:color w:val="auto"/>
          <w:lang w:val="en-US" w:eastAsia="zh-CN"/>
        </w:rPr>
        <w:t>粪便传送带</w:t>
      </w:r>
      <w:r>
        <w:rPr>
          <w:rFonts w:hint="default" w:ascii="Times New Roman" w:hAnsi="Times New Roman" w:cs="Times New Roman"/>
          <w:color w:val="auto"/>
          <w:lang w:val="en-US"/>
        </w:rPr>
        <w:t>，鸡排出的粪便主要通过清粪机进入横向</w:t>
      </w:r>
      <w:r>
        <w:rPr>
          <w:rFonts w:hint="eastAsia" w:ascii="Times New Roman" w:hAnsi="Times New Roman" w:cs="Times New Roman"/>
          <w:color w:val="auto"/>
          <w:lang w:val="en-US" w:eastAsia="zh-CN"/>
        </w:rPr>
        <w:t>粪便传送带</w:t>
      </w:r>
      <w:r>
        <w:rPr>
          <w:rFonts w:hint="default" w:ascii="Times New Roman" w:hAnsi="Times New Roman" w:cs="Times New Roman"/>
          <w:color w:val="auto"/>
          <w:lang w:val="en-US"/>
        </w:rPr>
        <w:t>内，传输至清粪房再通过斜向</w:t>
      </w:r>
      <w:r>
        <w:rPr>
          <w:rFonts w:hint="eastAsia" w:ascii="Times New Roman" w:hAnsi="Times New Roman" w:cs="Times New Roman"/>
          <w:color w:val="auto"/>
          <w:lang w:val="en-US" w:eastAsia="zh-CN"/>
        </w:rPr>
        <w:t>粪便传送带</w:t>
      </w:r>
      <w:r>
        <w:rPr>
          <w:rFonts w:hint="default" w:ascii="Times New Roman" w:hAnsi="Times New Roman" w:cs="Times New Roman"/>
          <w:color w:val="auto"/>
          <w:lang w:val="en-US"/>
        </w:rPr>
        <w:t>进入</w:t>
      </w:r>
      <w:r>
        <w:rPr>
          <w:rFonts w:hint="default" w:ascii="Times New Roman" w:hAnsi="Times New Roman" w:cs="Times New Roman"/>
          <w:color w:val="auto"/>
          <w:lang w:val="en-US" w:eastAsia="zh-CN"/>
        </w:rPr>
        <w:t>鸡粪发酵</w:t>
      </w:r>
      <w:r>
        <w:rPr>
          <w:rFonts w:hint="eastAsia" w:ascii="Times New Roman" w:hAnsi="Times New Roman" w:cs="Times New Roman"/>
          <w:color w:val="auto"/>
          <w:lang w:val="en-US" w:eastAsia="zh-CN"/>
        </w:rPr>
        <w:t>处理厂</w:t>
      </w:r>
      <w:r>
        <w:rPr>
          <w:rFonts w:hint="default" w:ascii="Times New Roman" w:hAnsi="Times New Roman" w:cs="Times New Roman"/>
          <w:color w:val="auto"/>
          <w:lang w:val="en-US"/>
        </w:rPr>
        <w:t>，发酵处理后，外售实现综合利用。</w:t>
      </w:r>
    </w:p>
    <w:p w14:paraId="2E25719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地下水环境》（HJ610-2016）地下水环境影响评价工作级别的划分根据下列条件进行，即：建设项目所属的地下水环境影响评价项目类别和建设项目的地下水环境敏感程度。综合判定本项目地下水环境影响评价工作等级，并按所划定的工作等级开展评价工作。</w:t>
      </w:r>
    </w:p>
    <w:p w14:paraId="6576EC1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根据《环境影响评价技术导则地下水环境》（HJ610-2016），建设项目地下水环境影响评价工作等级划分见表</w:t>
      </w:r>
      <w:r>
        <w:rPr>
          <w:rFonts w:hint="default" w:ascii="Times New Roman" w:hAnsi="Times New Roman" w:cs="Times New Roman"/>
          <w:color w:val="auto"/>
          <w:lang w:val="en-US"/>
        </w:rPr>
        <w:t>2</w:t>
      </w:r>
      <w:r>
        <w:rPr>
          <w:rFonts w:hint="default" w:ascii="Times New Roman" w:hAnsi="Times New Roman" w:cs="Times New Roman"/>
          <w:color w:val="auto"/>
        </w:rPr>
        <w:t>.5-</w:t>
      </w:r>
      <w:r>
        <w:rPr>
          <w:rFonts w:hint="default" w:ascii="Times New Roman" w:hAnsi="Times New Roman" w:cs="Times New Roman"/>
          <w:color w:val="auto"/>
          <w:lang w:val="en-US" w:eastAsia="zh-CN"/>
        </w:rPr>
        <w:t>7</w:t>
      </w:r>
      <w:r>
        <w:rPr>
          <w:rFonts w:hint="default" w:ascii="Times New Roman" w:hAnsi="Times New Roman" w:cs="Times New Roman"/>
          <w:color w:val="auto"/>
        </w:rPr>
        <w:t>。</w:t>
      </w:r>
    </w:p>
    <w:p w14:paraId="1D64BC2A">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地下水评价工作等级分级表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67"/>
        <w:gridCol w:w="1833"/>
        <w:gridCol w:w="1697"/>
        <w:gridCol w:w="1726"/>
      </w:tblGrid>
      <w:tr w14:paraId="264A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trPr>
        <w:tc>
          <w:tcPr>
            <w:tcW w:w="1842" w:type="pct"/>
            <w:tcBorders>
              <w:tl2br w:val="single" w:color="auto" w:sz="4" w:space="0"/>
            </w:tcBorders>
            <w:noWrap w:val="0"/>
            <w:vAlign w:val="top"/>
          </w:tcPr>
          <w:p w14:paraId="4BA9B2F7">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环境敏感程度</w:t>
            </w:r>
          </w:p>
          <w:p w14:paraId="3C8F48EB">
            <w:pPr>
              <w:pStyle w:val="69"/>
              <w:spacing w:before="44"/>
              <w:ind w:left="0" w:leftChars="0" w:right="-10" w:rightChars="0" w:firstLine="0" w:firstLineChars="0"/>
              <w:jc w:val="left"/>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项目类别</w:t>
            </w:r>
          </w:p>
        </w:tc>
        <w:tc>
          <w:tcPr>
            <w:tcW w:w="1101" w:type="pct"/>
            <w:noWrap w:val="0"/>
            <w:vAlign w:val="center"/>
          </w:tcPr>
          <w:p w14:paraId="01F23286">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I类项目</w:t>
            </w:r>
          </w:p>
        </w:tc>
        <w:tc>
          <w:tcPr>
            <w:tcW w:w="1019" w:type="pct"/>
            <w:noWrap w:val="0"/>
            <w:vAlign w:val="center"/>
          </w:tcPr>
          <w:p w14:paraId="58DB8C75">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Ⅱ类</w:t>
            </w:r>
            <w:r>
              <w:rPr>
                <w:rFonts w:hint="default" w:ascii="Times New Roman" w:hAnsi="Times New Roman" w:cs="Times New Roman"/>
                <w:color w:val="auto"/>
                <w:sz w:val="21"/>
                <w:highlight w:val="none"/>
              </w:rPr>
              <w:t>项目</w:t>
            </w:r>
          </w:p>
        </w:tc>
        <w:tc>
          <w:tcPr>
            <w:tcW w:w="1036" w:type="pct"/>
            <w:noWrap w:val="0"/>
            <w:vAlign w:val="center"/>
          </w:tcPr>
          <w:p w14:paraId="064385E5">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Ⅲ类项目</w:t>
            </w:r>
          </w:p>
        </w:tc>
      </w:tr>
      <w:tr w14:paraId="1BA8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842" w:type="pct"/>
            <w:noWrap w:val="0"/>
            <w:vAlign w:val="top"/>
          </w:tcPr>
          <w:p w14:paraId="6E2879B4">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1101" w:type="pct"/>
            <w:noWrap w:val="0"/>
            <w:vAlign w:val="center"/>
          </w:tcPr>
          <w:p w14:paraId="580C2DA7">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1019" w:type="pct"/>
            <w:noWrap w:val="0"/>
            <w:vAlign w:val="center"/>
          </w:tcPr>
          <w:p w14:paraId="35DFB4A1">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1036" w:type="pct"/>
            <w:noWrap w:val="0"/>
            <w:vAlign w:val="center"/>
          </w:tcPr>
          <w:p w14:paraId="675A771E">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r>
      <w:tr w14:paraId="0C9A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842" w:type="pct"/>
            <w:noWrap w:val="0"/>
            <w:vAlign w:val="top"/>
          </w:tcPr>
          <w:p w14:paraId="109619B7">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1101" w:type="pct"/>
            <w:noWrap w:val="0"/>
            <w:vAlign w:val="center"/>
          </w:tcPr>
          <w:p w14:paraId="3ACEEC20">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1019" w:type="pct"/>
            <w:noWrap w:val="0"/>
            <w:vAlign w:val="center"/>
          </w:tcPr>
          <w:p w14:paraId="0690E1EA">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c>
          <w:tcPr>
            <w:tcW w:w="1036" w:type="pct"/>
            <w:noWrap w:val="0"/>
            <w:vAlign w:val="center"/>
          </w:tcPr>
          <w:p w14:paraId="03540ADD">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w:t>
            </w:r>
          </w:p>
        </w:tc>
      </w:tr>
      <w:tr w14:paraId="79B7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1842" w:type="pct"/>
            <w:noWrap w:val="0"/>
            <w:vAlign w:val="top"/>
          </w:tcPr>
          <w:p w14:paraId="082B3EAE">
            <w:pPr>
              <w:pStyle w:val="69"/>
              <w:spacing w:before="56"/>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1101" w:type="pct"/>
            <w:noWrap w:val="0"/>
            <w:vAlign w:val="center"/>
          </w:tcPr>
          <w:p w14:paraId="54B5022B">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c>
          <w:tcPr>
            <w:tcW w:w="1019" w:type="pct"/>
            <w:noWrap w:val="0"/>
            <w:vAlign w:val="center"/>
          </w:tcPr>
          <w:p w14:paraId="2ABCF923">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w:t>
            </w:r>
          </w:p>
        </w:tc>
        <w:tc>
          <w:tcPr>
            <w:tcW w:w="1036" w:type="pct"/>
            <w:noWrap w:val="0"/>
            <w:vAlign w:val="center"/>
          </w:tcPr>
          <w:p w14:paraId="57747FF0">
            <w:pPr>
              <w:pStyle w:val="69"/>
              <w:spacing w:before="4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w:t>
            </w:r>
          </w:p>
        </w:tc>
      </w:tr>
    </w:tbl>
    <w:p w14:paraId="1FDF9CF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按照《环境影响评价技术导则地下水环境》（HJ610-2016）中的分类标准，本项目行业类别属于“B农、林、牧、渔、海洋”类别中的“14畜禽养殖场、养殖小区”，地下水评价项目类别为Ⅲ类。</w:t>
      </w:r>
    </w:p>
    <w:p w14:paraId="698F413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建设项目的地下水环境敏感程度可分为敏感、较敏感、不敏感三级，分级原则见表</w:t>
      </w:r>
      <w:r>
        <w:rPr>
          <w:rFonts w:hint="default" w:ascii="Times New Roman" w:hAnsi="Times New Roman" w:cs="Times New Roman"/>
          <w:color w:val="auto"/>
          <w:lang w:val="en-US"/>
        </w:rPr>
        <w:t>2</w:t>
      </w:r>
      <w:r>
        <w:rPr>
          <w:rFonts w:hint="default" w:ascii="Times New Roman" w:hAnsi="Times New Roman" w:cs="Times New Roman"/>
          <w:color w:val="auto"/>
        </w:rPr>
        <w:t>.5-</w:t>
      </w:r>
      <w:r>
        <w:rPr>
          <w:rFonts w:hint="default" w:ascii="Times New Roman" w:hAnsi="Times New Roman" w:cs="Times New Roman"/>
          <w:color w:val="auto"/>
          <w:lang w:val="en-US" w:eastAsia="zh-CN"/>
        </w:rPr>
        <w:t>8</w:t>
      </w:r>
      <w:r>
        <w:rPr>
          <w:rFonts w:hint="default" w:ascii="Times New Roman" w:hAnsi="Times New Roman" w:cs="Times New Roman"/>
          <w:color w:val="auto"/>
        </w:rPr>
        <w:t>。</w:t>
      </w:r>
    </w:p>
    <w:p w14:paraId="63D52D18">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t>地下水环境敏感程度分级表</w:t>
      </w:r>
    </w:p>
    <w:tbl>
      <w:tblPr>
        <w:tblStyle w:val="33"/>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6"/>
        <w:gridCol w:w="7257"/>
      </w:tblGrid>
      <w:tr w14:paraId="4E99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651" w:type="pct"/>
            <w:noWrap w:val="0"/>
            <w:vAlign w:val="center"/>
          </w:tcPr>
          <w:p w14:paraId="013E2D9D">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敏感程度</w:t>
            </w:r>
          </w:p>
        </w:tc>
        <w:tc>
          <w:tcPr>
            <w:tcW w:w="4348" w:type="pct"/>
            <w:noWrap w:val="0"/>
            <w:vAlign w:val="center"/>
          </w:tcPr>
          <w:p w14:paraId="1CD4AD3F">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地下水环境敏感特征</w:t>
            </w:r>
          </w:p>
        </w:tc>
      </w:tr>
      <w:tr w14:paraId="5E23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7" w:hRule="atLeast"/>
        </w:trPr>
        <w:tc>
          <w:tcPr>
            <w:tcW w:w="651" w:type="pct"/>
            <w:noWrap w:val="0"/>
            <w:vAlign w:val="center"/>
          </w:tcPr>
          <w:p w14:paraId="4958A376">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4348" w:type="pct"/>
            <w:noWrap w:val="0"/>
            <w:vAlign w:val="center"/>
          </w:tcPr>
          <w:p w14:paraId="29A07CF9">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集中式饮用水水源（包括已建成的在用、备用、应急水源，在建和规划的饮用水水源）准保护区；除集中式饮用水水源</w:t>
            </w:r>
            <w:r>
              <w:rPr>
                <w:rFonts w:hint="default" w:ascii="Times New Roman" w:hAnsi="Times New Roman" w:cs="Times New Roman"/>
                <w:color w:val="auto"/>
                <w:sz w:val="21"/>
                <w:highlight w:val="none"/>
                <w:lang w:eastAsia="zh-CN"/>
              </w:rPr>
              <w:t>以外</w:t>
            </w:r>
            <w:r>
              <w:rPr>
                <w:rFonts w:hint="default" w:ascii="Times New Roman" w:hAnsi="Times New Roman" w:cs="Times New Roman"/>
                <w:color w:val="auto"/>
                <w:sz w:val="21"/>
                <w:highlight w:val="none"/>
              </w:rPr>
              <w:t>的国家或地方政府设定的与地下水环境相关的其他保护区，如热水、矿泉水、温泉等特殊地下水资源保护区。</w:t>
            </w:r>
          </w:p>
        </w:tc>
      </w:tr>
      <w:tr w14:paraId="3B1C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5" w:hRule="atLeast"/>
        </w:trPr>
        <w:tc>
          <w:tcPr>
            <w:tcW w:w="651" w:type="pct"/>
            <w:noWrap w:val="0"/>
            <w:vAlign w:val="center"/>
          </w:tcPr>
          <w:p w14:paraId="621D149D">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4348" w:type="pct"/>
            <w:noWrap w:val="0"/>
            <w:vAlign w:val="center"/>
          </w:tcPr>
          <w:p w14:paraId="7ED03171">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集中式饮用水水源（包括已建成的在用、备用、应急水源，在建和规划的饮用水水源）准保护区以外的补给径流区；未划定准保护区的集中式饮用水水源，其保护区</w:t>
            </w:r>
            <w:r>
              <w:rPr>
                <w:rFonts w:hint="default" w:ascii="Times New Roman" w:hAnsi="Times New Roman" w:cs="Times New Roman"/>
                <w:color w:val="auto"/>
                <w:sz w:val="21"/>
                <w:highlight w:val="none"/>
                <w:lang w:eastAsia="zh-CN"/>
              </w:rPr>
              <w:t>以外</w:t>
            </w:r>
            <w:r>
              <w:rPr>
                <w:rFonts w:hint="default" w:ascii="Times New Roman" w:hAnsi="Times New Roman" w:cs="Times New Roman"/>
                <w:color w:val="auto"/>
                <w:sz w:val="21"/>
                <w:highlight w:val="none"/>
              </w:rPr>
              <w:t>的补给径流区；分散式饮用水水源地；特殊地下水资源（如矿泉水、温泉等）保护区</w:t>
            </w:r>
            <w:r>
              <w:rPr>
                <w:rFonts w:hint="default" w:ascii="Times New Roman" w:hAnsi="Times New Roman" w:cs="Times New Roman"/>
                <w:color w:val="auto"/>
                <w:sz w:val="21"/>
                <w:highlight w:val="none"/>
                <w:lang w:eastAsia="zh-CN"/>
              </w:rPr>
              <w:t>以外</w:t>
            </w:r>
            <w:r>
              <w:rPr>
                <w:rFonts w:hint="default" w:ascii="Times New Roman" w:hAnsi="Times New Roman" w:cs="Times New Roman"/>
                <w:color w:val="auto"/>
                <w:sz w:val="21"/>
                <w:highlight w:val="none"/>
              </w:rPr>
              <w:t>的分布区等其他未列入上述敏感分级的环境敏感区</w:t>
            </w:r>
            <w:r>
              <w:rPr>
                <w:rFonts w:hint="default" w:ascii="Times New Roman" w:hAnsi="Times New Roman" w:eastAsia="Times New Roman" w:cs="Times New Roman"/>
                <w:color w:val="auto"/>
                <w:sz w:val="21"/>
                <w:highlight w:val="none"/>
                <w:vertAlign w:val="superscript"/>
              </w:rPr>
              <w:t>a</w:t>
            </w:r>
            <w:r>
              <w:rPr>
                <w:rFonts w:hint="default" w:ascii="Times New Roman" w:hAnsi="Times New Roman" w:cs="Times New Roman"/>
                <w:color w:val="auto"/>
                <w:sz w:val="21"/>
                <w:highlight w:val="none"/>
              </w:rPr>
              <w:t>。</w:t>
            </w:r>
          </w:p>
        </w:tc>
      </w:tr>
      <w:tr w14:paraId="71A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651" w:type="pct"/>
            <w:noWrap w:val="0"/>
            <w:vAlign w:val="center"/>
          </w:tcPr>
          <w:p w14:paraId="7F1C2CF4">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4348" w:type="pct"/>
            <w:noWrap w:val="0"/>
            <w:vAlign w:val="center"/>
          </w:tcPr>
          <w:p w14:paraId="245C03FE">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上述地区之外的其他地区。</w:t>
            </w:r>
          </w:p>
        </w:tc>
      </w:tr>
      <w:tr w14:paraId="00F4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5000" w:type="pct"/>
            <w:gridSpan w:val="2"/>
            <w:noWrap w:val="0"/>
            <w:vAlign w:val="center"/>
          </w:tcPr>
          <w:p w14:paraId="71C1059B">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注：a“环境敏感区”是指《建设项目环境影响评价分类管理名录》中所界定的涉及地下水的环境敏感区。</w:t>
            </w:r>
          </w:p>
        </w:tc>
      </w:tr>
    </w:tbl>
    <w:p w14:paraId="18D61DD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根据地下水环境敏感程度分级，本项目地下水敏感程度为“</w:t>
      </w:r>
      <w:r>
        <w:rPr>
          <w:rFonts w:hint="default" w:ascii="Times New Roman" w:hAnsi="Times New Roman" w:cs="Times New Roman"/>
          <w:color w:val="auto"/>
          <w:lang w:val="en-US" w:eastAsia="zh-CN"/>
        </w:rPr>
        <w:t>不</w:t>
      </w:r>
      <w:r>
        <w:rPr>
          <w:rFonts w:hint="default" w:ascii="Times New Roman" w:hAnsi="Times New Roman" w:cs="Times New Roman"/>
          <w:color w:val="auto"/>
        </w:rPr>
        <w:t>敏感”。</w:t>
      </w:r>
    </w:p>
    <w:p w14:paraId="69A4285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本项目地下水评价项目类别为Ⅲ类，因此本项目地下水评价为三级。</w:t>
      </w:r>
    </w:p>
    <w:p w14:paraId="35013EE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rPr>
      </w:pP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3</w:t>
      </w:r>
      <w:r>
        <w:rPr>
          <w:rFonts w:hint="default" w:ascii="Times New Roman" w:hAnsi="Times New Roman" w:cs="Times New Roman"/>
          <w:color w:val="FF0000"/>
          <w:lang w:eastAsia="zh-CN"/>
        </w:rPr>
        <w:t>）</w:t>
      </w:r>
      <w:r>
        <w:rPr>
          <w:rFonts w:hint="default" w:ascii="Times New Roman" w:hAnsi="Times New Roman" w:cs="Times New Roman"/>
          <w:color w:val="FF0000"/>
        </w:rPr>
        <w:t>声环境</w:t>
      </w:r>
    </w:p>
    <w:p w14:paraId="632730C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rPr>
      </w:pPr>
      <w:r>
        <w:rPr>
          <w:rFonts w:hint="default" w:ascii="Times New Roman" w:hAnsi="Times New Roman" w:cs="Times New Roman"/>
          <w:color w:val="FF0000"/>
          <w:lang w:val="en-US"/>
        </w:rPr>
        <w:t>本项目</w:t>
      </w:r>
      <w:r>
        <w:rPr>
          <w:rFonts w:hint="default" w:ascii="Times New Roman" w:hAnsi="Times New Roman" w:cs="Times New Roman"/>
          <w:color w:val="FF0000"/>
          <w:lang w:val="en-US" w:eastAsia="zh-CN"/>
        </w:rPr>
        <w:t>养殖场</w:t>
      </w:r>
      <w:r>
        <w:rPr>
          <w:rFonts w:hint="default" w:ascii="Times New Roman" w:hAnsi="Times New Roman" w:cs="Times New Roman"/>
          <w:color w:val="FF0000"/>
          <w:lang w:val="en-US"/>
        </w:rPr>
        <w:t>位于</w:t>
      </w:r>
      <w:r>
        <w:rPr>
          <w:rFonts w:hint="default" w:ascii="Times New Roman" w:hAnsi="Times New Roman" w:cs="Times New Roman"/>
          <w:color w:val="FF0000"/>
          <w:lang w:val="en-US" w:eastAsia="zh-CN"/>
        </w:rPr>
        <w:t>新疆生产建设兵团第十师188团</w:t>
      </w:r>
      <w:r>
        <w:rPr>
          <w:rFonts w:hint="default" w:ascii="Times New Roman" w:hAnsi="Times New Roman" w:cs="Times New Roman"/>
          <w:color w:val="FF0000"/>
          <w:lang w:val="en-US"/>
        </w:rPr>
        <w:t>，</w:t>
      </w:r>
      <w:r>
        <w:rPr>
          <w:rFonts w:hint="default" w:ascii="Times New Roman" w:hAnsi="Times New Roman" w:cs="Times New Roman"/>
          <w:color w:val="FF0000"/>
        </w:rPr>
        <w:t>项目区属于2类声环境功能区。场址周边200m范围内无居民集中区，噪声影响较小，因此，根据《环境影响评价技术导则声环境》中的有关规定可确定本项目声环境评价等级为二级。</w:t>
      </w:r>
    </w:p>
    <w:p w14:paraId="0CFAC77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生态环境</w:t>
      </w:r>
    </w:p>
    <w:p w14:paraId="292B006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val="en-US"/>
        </w:rPr>
        <w:t>本项目</w:t>
      </w:r>
      <w:r>
        <w:rPr>
          <w:rFonts w:hint="default" w:ascii="Times New Roman" w:hAnsi="Times New Roman" w:cs="Times New Roman"/>
          <w:color w:val="auto"/>
          <w:lang w:val="en-US" w:eastAsia="zh-CN"/>
        </w:rPr>
        <w:t>养殖场占地面积103727.63m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根据《环境影响评价技术导则生态影响》（HJ19-20</w:t>
      </w:r>
      <w:r>
        <w:rPr>
          <w:rFonts w:hint="default" w:ascii="Times New Roman" w:hAnsi="Times New Roman" w:cs="Times New Roman"/>
          <w:color w:val="auto"/>
          <w:lang w:val="en-US" w:eastAsia="zh-CN"/>
        </w:rPr>
        <w:t>22</w:t>
      </w:r>
      <w:r>
        <w:rPr>
          <w:rFonts w:hint="default" w:ascii="Times New Roman" w:hAnsi="Times New Roman" w:cs="Times New Roman"/>
          <w:color w:val="auto"/>
        </w:rPr>
        <w:t>）</w:t>
      </w:r>
      <w:r>
        <w:rPr>
          <w:rFonts w:hint="default" w:ascii="Times New Roman" w:hAnsi="Times New Roman" w:cs="Times New Roman"/>
          <w:color w:val="auto"/>
          <w:lang w:val="en-US" w:eastAsia="zh-CN"/>
        </w:rPr>
        <w:t>评价等级判定</w:t>
      </w:r>
      <w:r>
        <w:rPr>
          <w:rFonts w:hint="default" w:ascii="Times New Roman" w:hAnsi="Times New Roman" w:cs="Times New Roman"/>
          <w:color w:val="auto"/>
        </w:rPr>
        <w:t>，</w:t>
      </w:r>
      <w:r>
        <w:rPr>
          <w:rFonts w:hint="default" w:ascii="Times New Roman" w:hAnsi="Times New Roman" w:cs="Times New Roman"/>
          <w:color w:val="auto"/>
          <w:lang w:val="en-US" w:eastAsia="zh-CN"/>
        </w:rPr>
        <w:t>本项目不涉及</w:t>
      </w:r>
      <w:r>
        <w:rPr>
          <w:rFonts w:hint="default" w:ascii="Times New Roman" w:hAnsi="Times New Roman" w:cs="Times New Roman"/>
          <w:color w:val="auto"/>
        </w:rPr>
        <w:t>国家公园、自然保护区、世界自然遗产、重要生境</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不涉及</w:t>
      </w:r>
      <w:r>
        <w:rPr>
          <w:rFonts w:hint="default" w:ascii="Times New Roman" w:hAnsi="Times New Roman" w:cs="Times New Roman"/>
          <w:color w:val="auto"/>
        </w:rPr>
        <w:t>自然公园</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不</w:t>
      </w:r>
      <w:r>
        <w:rPr>
          <w:rFonts w:hint="default" w:ascii="Times New Roman" w:hAnsi="Times New Roman" w:cs="Times New Roman"/>
          <w:color w:val="auto"/>
        </w:rPr>
        <w:t>涉及生态保护红线</w:t>
      </w:r>
      <w:r>
        <w:rPr>
          <w:rFonts w:hint="default" w:ascii="Times New Roman" w:hAnsi="Times New Roman" w:cs="Times New Roman"/>
          <w:color w:val="auto"/>
          <w:lang w:val="en-US" w:eastAsia="zh-CN"/>
        </w:rPr>
        <w:t>不</w:t>
      </w:r>
      <w:r>
        <w:rPr>
          <w:rFonts w:hint="default" w:ascii="Times New Roman" w:hAnsi="Times New Roman" w:cs="Times New Roman"/>
          <w:color w:val="auto"/>
        </w:rPr>
        <w:t>属于水文要素影响型</w:t>
      </w:r>
      <w:r>
        <w:rPr>
          <w:rFonts w:hint="default" w:ascii="Times New Roman" w:hAnsi="Times New Roman" w:cs="Times New Roman"/>
          <w:color w:val="auto"/>
          <w:lang w:eastAsia="zh-CN"/>
        </w:rPr>
        <w:t>，</w:t>
      </w:r>
      <w:r>
        <w:rPr>
          <w:rFonts w:hint="default" w:ascii="Times New Roman" w:hAnsi="Times New Roman" w:cs="Times New Roman"/>
          <w:color w:val="auto"/>
          <w:lang w:val="en-US"/>
        </w:rPr>
        <w:t>地表水环境评价等级为三级B</w:t>
      </w:r>
      <w:r>
        <w:rPr>
          <w:rFonts w:hint="default" w:ascii="Times New Roman" w:hAnsi="Times New Roman" w:cs="Times New Roman"/>
          <w:color w:val="auto"/>
          <w:lang w:val="en-US" w:eastAsia="zh-CN"/>
        </w:rPr>
        <w:t>，不</w:t>
      </w:r>
      <w:r>
        <w:rPr>
          <w:rFonts w:hint="default" w:ascii="Times New Roman" w:hAnsi="Times New Roman" w:cs="Times New Roman"/>
          <w:color w:val="auto"/>
        </w:rPr>
        <w:t>属于地下水水位或土壤影响范围内</w:t>
      </w:r>
      <w:r>
        <w:rPr>
          <w:rFonts w:hint="default" w:ascii="Times New Roman" w:hAnsi="Times New Roman" w:cs="Times New Roman"/>
          <w:color w:val="auto"/>
          <w:lang w:val="en-US" w:eastAsia="zh-CN"/>
        </w:rPr>
        <w:t>分布</w:t>
      </w:r>
      <w:r>
        <w:rPr>
          <w:rFonts w:hint="default" w:ascii="Times New Roman" w:hAnsi="Times New Roman" w:cs="Times New Roman"/>
          <w:color w:val="auto"/>
        </w:rPr>
        <w:t>有天然林、公益林、湿地等生态保护目标的建设项目</w:t>
      </w:r>
      <w:r>
        <w:rPr>
          <w:rFonts w:hint="default" w:ascii="Times New Roman" w:hAnsi="Times New Roman" w:cs="Times New Roman"/>
          <w:color w:val="auto"/>
          <w:lang w:eastAsia="zh-CN"/>
        </w:rPr>
        <w:t>，</w:t>
      </w:r>
      <w:r>
        <w:rPr>
          <w:rFonts w:hint="default" w:ascii="Times New Roman" w:hAnsi="Times New Roman" w:cs="Times New Roman"/>
          <w:color w:val="auto"/>
        </w:rPr>
        <w:t>工程占地规模</w:t>
      </w:r>
      <w:r>
        <w:rPr>
          <w:rFonts w:hint="default" w:ascii="Times New Roman" w:hAnsi="Times New Roman" w:cs="Times New Roman"/>
          <w:color w:val="auto"/>
          <w:lang w:val="en-US" w:eastAsia="zh-CN"/>
        </w:rPr>
        <w:t>小于</w:t>
      </w:r>
      <w:r>
        <w:rPr>
          <w:rFonts w:hint="default" w:ascii="Times New Roman" w:hAnsi="Times New Roman" w:cs="Times New Roman"/>
          <w:color w:val="auto"/>
        </w:rPr>
        <w:t>20km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因此</w:t>
      </w:r>
      <w:r>
        <w:rPr>
          <w:rFonts w:hint="default" w:ascii="Times New Roman" w:hAnsi="Times New Roman" w:cs="Times New Roman"/>
          <w:color w:val="auto"/>
        </w:rPr>
        <w:t>确定生态环境影响评价工作等级为三级。</w:t>
      </w:r>
    </w:p>
    <w:p w14:paraId="593D2D4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5</w:t>
      </w:r>
      <w:r>
        <w:rPr>
          <w:rFonts w:hint="default" w:ascii="Times New Roman" w:hAnsi="Times New Roman" w:cs="Times New Roman"/>
          <w:color w:val="auto"/>
        </w:rPr>
        <w:t>）土壤环境</w:t>
      </w:r>
    </w:p>
    <w:p w14:paraId="6F195AC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依照《环境影响评价技术导则土壤环境（试行）》（HJ964-2018）中的有关要求来确定本项目土壤环境评价工作等级。</w:t>
      </w:r>
    </w:p>
    <w:p w14:paraId="5BEE8FC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①土壤环境影响类型确定</w:t>
      </w:r>
    </w:p>
    <w:p w14:paraId="44CD1A6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根据《畜禽养殖业污染物排放标准》（GB18596-2001），</w:t>
      </w:r>
      <w:r>
        <w:rPr>
          <w:rFonts w:hint="default" w:ascii="Times New Roman" w:hAnsi="Times New Roman" w:cs="Times New Roman"/>
          <w:color w:val="auto"/>
          <w:lang w:val="en-US" w:eastAsia="zh-CN"/>
        </w:rPr>
        <w:t>30羽蛋鸡</w:t>
      </w:r>
      <w:r>
        <w:rPr>
          <w:rFonts w:hint="default" w:ascii="Times New Roman" w:hAnsi="Times New Roman" w:cs="Times New Roman"/>
          <w:color w:val="auto"/>
        </w:rPr>
        <w:t>折算成</w:t>
      </w:r>
      <w:r>
        <w:rPr>
          <w:rFonts w:hint="default" w:ascii="Times New Roman" w:hAnsi="Times New Roman" w:cs="Times New Roman"/>
          <w:color w:val="auto"/>
          <w:lang w:val="en-US" w:eastAsia="zh-CN"/>
        </w:rPr>
        <w:t>1</w:t>
      </w:r>
      <w:r>
        <w:rPr>
          <w:rFonts w:hint="default" w:ascii="Times New Roman" w:hAnsi="Times New Roman" w:cs="Times New Roman"/>
          <w:color w:val="auto"/>
        </w:rPr>
        <w:t>头猪</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本项目养殖场年存栏60万羽，则养殖场折算</w:t>
      </w:r>
      <w:r>
        <w:rPr>
          <w:rFonts w:hint="default" w:ascii="Times New Roman" w:hAnsi="Times New Roman" w:cs="Times New Roman"/>
          <w:color w:val="auto"/>
          <w:lang w:eastAsia="zh-CN"/>
        </w:rPr>
        <w:t>存栏生猪</w:t>
      </w:r>
      <w:r>
        <w:rPr>
          <w:rFonts w:hint="default" w:ascii="Times New Roman" w:hAnsi="Times New Roman" w:cs="Times New Roman"/>
          <w:color w:val="auto"/>
        </w:rPr>
        <w:t>为</w:t>
      </w:r>
      <w:r>
        <w:rPr>
          <w:rFonts w:hint="default" w:ascii="Times New Roman" w:hAnsi="Times New Roman" w:cs="Times New Roman"/>
          <w:color w:val="auto"/>
          <w:lang w:val="en-US" w:eastAsia="zh-CN"/>
        </w:rPr>
        <w:t>2万头，</w:t>
      </w:r>
      <w:r>
        <w:rPr>
          <w:rFonts w:hint="default" w:ascii="Times New Roman" w:hAnsi="Times New Roman" w:cs="Times New Roman"/>
          <w:color w:val="auto"/>
          <w:lang w:eastAsia="zh-CN"/>
        </w:rPr>
        <w:t>根据</w:t>
      </w:r>
      <w:r>
        <w:rPr>
          <w:rFonts w:hint="default" w:ascii="Times New Roman" w:hAnsi="Times New Roman" w:cs="Times New Roman"/>
          <w:color w:val="auto"/>
        </w:rPr>
        <w:t>《环境影响评价技术导则土壤环境（试行）》（HJ964-2018）附录A土壤环境影响评价项目类别</w:t>
      </w:r>
      <w:r>
        <w:rPr>
          <w:rFonts w:hint="default" w:ascii="Times New Roman" w:hAnsi="Times New Roman" w:cs="Times New Roman"/>
          <w:color w:val="auto"/>
          <w:lang w:eastAsia="zh-CN"/>
        </w:rPr>
        <w:t>中的</w:t>
      </w:r>
      <w:r>
        <w:rPr>
          <w:rFonts w:hint="default" w:ascii="Times New Roman" w:hAnsi="Times New Roman" w:cs="Times New Roman"/>
          <w:color w:val="auto"/>
        </w:rPr>
        <w:t>表A.1土壤环境影响评价项目类别</w:t>
      </w:r>
      <w:r>
        <w:rPr>
          <w:rFonts w:hint="default" w:ascii="Times New Roman" w:hAnsi="Times New Roman" w:cs="Times New Roman"/>
          <w:color w:val="auto"/>
          <w:lang w:eastAsia="zh-CN"/>
        </w:rPr>
        <w:t>可知，项目属于</w:t>
      </w:r>
      <w:r>
        <w:rPr>
          <w:rFonts w:hint="default" w:ascii="Times New Roman" w:hAnsi="Times New Roman" w:cs="Times New Roman"/>
          <w:color w:val="auto"/>
        </w:rPr>
        <w:t>Ⅲ类项目，土壤环境影响类型为污染影响型。</w:t>
      </w:r>
    </w:p>
    <w:p w14:paraId="50DC80C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②评价等级确定</w:t>
      </w:r>
    </w:p>
    <w:p w14:paraId="577CBEE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val="en-US"/>
        </w:rPr>
        <w:t>本项目</w:t>
      </w:r>
      <w:r>
        <w:rPr>
          <w:rFonts w:hint="default" w:ascii="Times New Roman" w:hAnsi="Times New Roman" w:cs="Times New Roman"/>
          <w:color w:val="auto"/>
          <w:lang w:val="en-US" w:eastAsia="zh-CN"/>
        </w:rPr>
        <w:t>养殖场占地面积103727.63m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color w:val="auto"/>
        </w:rPr>
        <w:t>占地规模</w:t>
      </w:r>
      <w:r>
        <w:rPr>
          <w:rFonts w:hint="default" w:ascii="Times New Roman" w:hAnsi="Times New Roman" w:cs="Times New Roman"/>
          <w:color w:val="auto"/>
          <w:lang w:val="en-US" w:eastAsia="zh-CN"/>
        </w:rPr>
        <w:t>均</w:t>
      </w:r>
      <w:r>
        <w:rPr>
          <w:rFonts w:hint="default" w:ascii="Times New Roman" w:hAnsi="Times New Roman" w:cs="Times New Roman"/>
          <w:color w:val="auto"/>
        </w:rPr>
        <w:t>为</w:t>
      </w:r>
      <w:r>
        <w:rPr>
          <w:rFonts w:hint="default" w:ascii="Times New Roman" w:hAnsi="Times New Roman" w:cs="Times New Roman"/>
          <w:color w:val="auto"/>
          <w:lang w:val="en-US" w:eastAsia="zh-CN"/>
        </w:rPr>
        <w:t>中</w:t>
      </w:r>
      <w:r>
        <w:rPr>
          <w:rFonts w:hint="default" w:ascii="Times New Roman" w:hAnsi="Times New Roman" w:cs="Times New Roman"/>
          <w:color w:val="auto"/>
        </w:rPr>
        <w:t>型（5-50hm</w:t>
      </w:r>
      <w:r>
        <w:rPr>
          <w:rFonts w:hint="default" w:ascii="Times New Roman" w:hAnsi="Times New Roman" w:cs="Times New Roman"/>
          <w:color w:val="auto"/>
          <w:vertAlign w:val="superscript"/>
        </w:rPr>
        <w:t>2</w:t>
      </w:r>
      <w:r>
        <w:rPr>
          <w:rFonts w:hint="default" w:ascii="Times New Roman" w:hAnsi="Times New Roman" w:cs="Times New Roman"/>
          <w:color w:val="auto"/>
        </w:rPr>
        <w:t>）。项目所在地周边存在耕地等土壤环境保护目标，对照表2.</w:t>
      </w:r>
      <w:r>
        <w:rPr>
          <w:rFonts w:hint="default" w:ascii="Times New Roman" w:hAnsi="Times New Roman" w:cs="Times New Roman"/>
          <w:color w:val="auto"/>
          <w:lang w:val="en-US"/>
        </w:rPr>
        <w:t>5</w:t>
      </w:r>
      <w:r>
        <w:rPr>
          <w:rFonts w:hint="default" w:ascii="Times New Roman" w:hAnsi="Times New Roman" w:cs="Times New Roman"/>
          <w:color w:val="auto"/>
        </w:rPr>
        <w:t>-</w:t>
      </w:r>
      <w:r>
        <w:rPr>
          <w:rFonts w:hint="default" w:ascii="Times New Roman" w:hAnsi="Times New Roman" w:cs="Times New Roman"/>
          <w:color w:val="auto"/>
          <w:lang w:val="en-US" w:eastAsia="zh-CN"/>
        </w:rPr>
        <w:t>9</w:t>
      </w:r>
      <w:r>
        <w:rPr>
          <w:rFonts w:hint="default" w:ascii="Times New Roman" w:hAnsi="Times New Roman" w:cs="Times New Roman"/>
          <w:color w:val="auto"/>
        </w:rPr>
        <w:t>，敏感性为敏感。</w:t>
      </w:r>
    </w:p>
    <w:p w14:paraId="3FFA9C6A">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t>污染影响型敏感程度分析</w:t>
      </w:r>
    </w:p>
    <w:tbl>
      <w:tblPr>
        <w:tblStyle w:val="33"/>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70"/>
        <w:gridCol w:w="6973"/>
      </w:tblGrid>
      <w:tr w14:paraId="2053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21" w:type="pct"/>
            <w:noWrap w:val="0"/>
            <w:vAlign w:val="center"/>
          </w:tcPr>
          <w:p w14:paraId="4CB8275E">
            <w:pPr>
              <w:pStyle w:val="69"/>
              <w:spacing w:before="43"/>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敏感程度</w:t>
            </w:r>
          </w:p>
        </w:tc>
        <w:tc>
          <w:tcPr>
            <w:tcW w:w="4178" w:type="pct"/>
            <w:noWrap w:val="0"/>
            <w:vAlign w:val="center"/>
          </w:tcPr>
          <w:p w14:paraId="017BC9AC">
            <w:pPr>
              <w:pStyle w:val="69"/>
              <w:spacing w:before="43"/>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判别依据</w:t>
            </w:r>
          </w:p>
        </w:tc>
      </w:tr>
      <w:tr w14:paraId="7CC7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821" w:type="pct"/>
            <w:noWrap w:val="0"/>
            <w:vAlign w:val="center"/>
          </w:tcPr>
          <w:p w14:paraId="093D69B4">
            <w:pPr>
              <w:pStyle w:val="69"/>
              <w:spacing w:before="43"/>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4178" w:type="pct"/>
            <w:noWrap w:val="0"/>
            <w:vAlign w:val="center"/>
          </w:tcPr>
          <w:p w14:paraId="74FA1673">
            <w:pPr>
              <w:pStyle w:val="69"/>
              <w:spacing w:before="43"/>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项目</w:t>
            </w:r>
            <w:r>
              <w:rPr>
                <w:rFonts w:hint="default" w:ascii="Times New Roman" w:hAnsi="Times New Roman" w:cs="Times New Roman"/>
                <w:color w:val="auto"/>
                <w:sz w:val="21"/>
                <w:highlight w:val="none"/>
              </w:rPr>
              <w:t>周边存在耕地、园地、牧草地、饮用水水源地或居民区、学校、医院、疗养院、养老院等土壤环境保护目标的</w:t>
            </w:r>
          </w:p>
        </w:tc>
      </w:tr>
      <w:tr w14:paraId="7E12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821" w:type="pct"/>
            <w:noWrap w:val="0"/>
            <w:vAlign w:val="center"/>
          </w:tcPr>
          <w:p w14:paraId="36A45C41">
            <w:pPr>
              <w:pStyle w:val="69"/>
              <w:spacing w:before="43"/>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4178" w:type="pct"/>
            <w:noWrap w:val="0"/>
            <w:vAlign w:val="center"/>
          </w:tcPr>
          <w:p w14:paraId="6022EE2A">
            <w:pPr>
              <w:pStyle w:val="69"/>
              <w:spacing w:before="43"/>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建设项目周边存在其他土壤环境敏感目标的</w:t>
            </w:r>
          </w:p>
        </w:tc>
      </w:tr>
      <w:tr w14:paraId="4EBF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21" w:type="pct"/>
            <w:noWrap w:val="0"/>
            <w:vAlign w:val="center"/>
          </w:tcPr>
          <w:p w14:paraId="2A60926E">
            <w:pPr>
              <w:pStyle w:val="69"/>
              <w:spacing w:before="43"/>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4178" w:type="pct"/>
            <w:noWrap w:val="0"/>
            <w:vAlign w:val="center"/>
          </w:tcPr>
          <w:p w14:paraId="2D664713">
            <w:pPr>
              <w:pStyle w:val="69"/>
              <w:spacing w:before="43"/>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其他情况</w:t>
            </w:r>
          </w:p>
        </w:tc>
      </w:tr>
    </w:tbl>
    <w:p w14:paraId="166D1B97">
      <w:pPr>
        <w:pStyle w:val="16"/>
        <w:bidi w:val="0"/>
        <w:rPr>
          <w:rFonts w:hint="default" w:ascii="Times New Roman" w:hAnsi="Times New Roman" w:cs="Times New Roman"/>
          <w:color w:val="auto"/>
          <w:lang w:eastAsia="zh-CN"/>
        </w:rPr>
      </w:pPr>
      <w:r>
        <w:rPr>
          <w:rFonts w:hint="default" w:ascii="Times New Roman" w:hAnsi="Times New Roman" w:cs="Times New Roman"/>
          <w:color w:val="auto"/>
        </w:rPr>
        <w:t>污染影响型评价工作等级判定依据见表2.</w:t>
      </w:r>
      <w:r>
        <w:rPr>
          <w:rFonts w:hint="default" w:ascii="Times New Roman" w:hAnsi="Times New Roman" w:cs="Times New Roman"/>
          <w:color w:val="auto"/>
          <w:lang w:val="en-US"/>
        </w:rPr>
        <w:t>5-</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p>
    <w:p w14:paraId="0D91E30A">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污染影响型评价工作等级划分表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20"/>
        <w:gridCol w:w="796"/>
        <w:gridCol w:w="726"/>
        <w:gridCol w:w="731"/>
        <w:gridCol w:w="729"/>
        <w:gridCol w:w="726"/>
        <w:gridCol w:w="731"/>
        <w:gridCol w:w="726"/>
        <w:gridCol w:w="726"/>
        <w:gridCol w:w="713"/>
      </w:tblGrid>
      <w:tr w14:paraId="76DC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1034" w:type="pct"/>
            <w:vMerge w:val="restart"/>
            <w:noWrap w:val="0"/>
            <w:vAlign w:val="center"/>
          </w:tcPr>
          <w:p w14:paraId="0D5CFDFB">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13970</wp:posOffset>
                      </wp:positionV>
                      <wp:extent cx="1062355" cy="410210"/>
                      <wp:effectExtent l="1905" t="4445" r="2540" b="4445"/>
                      <wp:wrapNone/>
                      <wp:docPr id="1" name="直线 494"/>
                      <wp:cNvGraphicFramePr/>
                      <a:graphic xmlns:a="http://schemas.openxmlformats.org/drawingml/2006/main">
                        <a:graphicData uri="http://schemas.microsoft.com/office/word/2010/wordprocessingShape">
                          <wps:wsp>
                            <wps:cNvCnPr/>
                            <wps:spPr>
                              <a:xfrm>
                                <a:off x="0" y="0"/>
                                <a:ext cx="1062355" cy="4102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94" o:spid="_x0000_s1026" o:spt="20" style="position:absolute;left:0pt;margin-left:1.5pt;margin-top:1.1pt;height:32.3pt;width:83.65pt;z-index:251660288;mso-width-relative:page;mso-height-relative:page;" filled="f" stroked="t" coordsize="21600,21600" o:gfxdata="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HGL4dUAAAAGAQAADwAAAAAAAAABACAAAAAiAAAAZHJzL2Rvd25yZXYueG1sUEsBAhQAFAAAAAgA&#10;h07iQG9IgYXvAQAA4gMAAA4AAAAAAAAAAQAgAAAAJAEAAGRycy9lMm9Eb2MueG1sUEsFBgAAAAAG&#10;AAYAWQEAAIUFAAAAAA==&#10;">
                      <v:fill on="f" focussize="0,0"/>
                      <v:stroke color="#000000" joinstyle="round"/>
                      <v:imagedata o:title=""/>
                      <o:lock v:ext="edit" aspectratio="f"/>
                    </v:line>
                  </w:pict>
                </mc:Fallback>
              </mc:AlternateContent>
            </w:r>
            <w:r>
              <w:rPr>
                <w:rFonts w:hint="default" w:ascii="Times New Roman" w:hAnsi="Times New Roman" w:cs="Times New Roman"/>
                <w:color w:val="auto"/>
                <w:sz w:val="21"/>
                <w:highlight w:val="none"/>
              </w:rPr>
              <w:t>占地规模</w:t>
            </w:r>
          </w:p>
          <w:p w14:paraId="5B390FE2">
            <w:pPr>
              <w:pStyle w:val="69"/>
              <w:tabs>
                <w:tab w:val="left" w:pos="1831"/>
              </w:tabs>
              <w:spacing w:before="48" w:line="257" w:lineRule="exact"/>
              <w:ind w:left="0" w:leftChars="0" w:right="-10" w:rightChars="0"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敏感度</w:t>
            </w:r>
          </w:p>
        </w:tc>
        <w:tc>
          <w:tcPr>
            <w:tcW w:w="1353" w:type="pct"/>
            <w:gridSpan w:val="3"/>
            <w:noWrap w:val="0"/>
            <w:vAlign w:val="center"/>
          </w:tcPr>
          <w:p w14:paraId="1F48A39B">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Ⅰ类</w:t>
            </w:r>
          </w:p>
        </w:tc>
        <w:tc>
          <w:tcPr>
            <w:tcW w:w="1313" w:type="pct"/>
            <w:gridSpan w:val="3"/>
            <w:noWrap w:val="0"/>
            <w:vAlign w:val="center"/>
          </w:tcPr>
          <w:p w14:paraId="4819436D">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bookmarkStart w:id="27" w:name="_Hlk63572509"/>
            <w:r>
              <w:rPr>
                <w:rFonts w:hint="default" w:ascii="Times New Roman" w:hAnsi="Times New Roman" w:cs="Times New Roman"/>
                <w:color w:val="auto"/>
                <w:sz w:val="21"/>
                <w:highlight w:val="none"/>
              </w:rPr>
              <w:t>Ⅱ类</w:t>
            </w:r>
            <w:bookmarkEnd w:id="27"/>
          </w:p>
        </w:tc>
        <w:tc>
          <w:tcPr>
            <w:tcW w:w="1297" w:type="pct"/>
            <w:gridSpan w:val="3"/>
            <w:noWrap w:val="0"/>
            <w:vAlign w:val="center"/>
          </w:tcPr>
          <w:p w14:paraId="540DABC7">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Ⅲ类</w:t>
            </w:r>
          </w:p>
        </w:tc>
      </w:tr>
      <w:tr w14:paraId="3A4A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1034" w:type="pct"/>
            <w:vMerge w:val="continue"/>
            <w:noWrap w:val="0"/>
            <w:vAlign w:val="center"/>
          </w:tcPr>
          <w:p w14:paraId="7D5DDDD3">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p>
        </w:tc>
        <w:tc>
          <w:tcPr>
            <w:tcW w:w="478" w:type="pct"/>
            <w:noWrap w:val="0"/>
            <w:vAlign w:val="center"/>
          </w:tcPr>
          <w:p w14:paraId="111C2B21">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大</w:t>
            </w:r>
          </w:p>
        </w:tc>
        <w:tc>
          <w:tcPr>
            <w:tcW w:w="436" w:type="pct"/>
            <w:noWrap w:val="0"/>
            <w:vAlign w:val="center"/>
          </w:tcPr>
          <w:p w14:paraId="0C7BE4E7">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中</w:t>
            </w:r>
          </w:p>
        </w:tc>
        <w:tc>
          <w:tcPr>
            <w:tcW w:w="438" w:type="pct"/>
            <w:noWrap w:val="0"/>
            <w:vAlign w:val="center"/>
          </w:tcPr>
          <w:p w14:paraId="5E1A2270">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小</w:t>
            </w:r>
          </w:p>
        </w:tc>
        <w:tc>
          <w:tcPr>
            <w:tcW w:w="438" w:type="pct"/>
            <w:noWrap w:val="0"/>
            <w:vAlign w:val="center"/>
          </w:tcPr>
          <w:p w14:paraId="1BD823C6">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大</w:t>
            </w:r>
          </w:p>
        </w:tc>
        <w:tc>
          <w:tcPr>
            <w:tcW w:w="436" w:type="pct"/>
            <w:noWrap w:val="0"/>
            <w:vAlign w:val="center"/>
          </w:tcPr>
          <w:p w14:paraId="41372EB3">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中</w:t>
            </w:r>
          </w:p>
        </w:tc>
        <w:tc>
          <w:tcPr>
            <w:tcW w:w="438" w:type="pct"/>
            <w:noWrap w:val="0"/>
            <w:vAlign w:val="center"/>
          </w:tcPr>
          <w:p w14:paraId="6917B166">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小</w:t>
            </w:r>
          </w:p>
        </w:tc>
        <w:tc>
          <w:tcPr>
            <w:tcW w:w="436" w:type="pct"/>
            <w:noWrap w:val="0"/>
            <w:vAlign w:val="center"/>
          </w:tcPr>
          <w:p w14:paraId="3DAC1E21">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大</w:t>
            </w:r>
          </w:p>
        </w:tc>
        <w:tc>
          <w:tcPr>
            <w:tcW w:w="436" w:type="pct"/>
            <w:noWrap w:val="0"/>
            <w:vAlign w:val="center"/>
          </w:tcPr>
          <w:p w14:paraId="74B2371C">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中</w:t>
            </w:r>
          </w:p>
        </w:tc>
        <w:tc>
          <w:tcPr>
            <w:tcW w:w="424" w:type="pct"/>
            <w:noWrap w:val="0"/>
            <w:vAlign w:val="center"/>
          </w:tcPr>
          <w:p w14:paraId="42AC9988">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小</w:t>
            </w:r>
          </w:p>
        </w:tc>
      </w:tr>
      <w:tr w14:paraId="6057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1034" w:type="pct"/>
            <w:noWrap w:val="0"/>
            <w:vAlign w:val="center"/>
          </w:tcPr>
          <w:p w14:paraId="04AF8658">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478" w:type="pct"/>
            <w:noWrap w:val="0"/>
            <w:vAlign w:val="center"/>
          </w:tcPr>
          <w:p w14:paraId="7CF7F23A">
            <w:pPr>
              <w:pStyle w:val="69"/>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一级</w:t>
            </w:r>
          </w:p>
        </w:tc>
        <w:tc>
          <w:tcPr>
            <w:tcW w:w="436" w:type="pct"/>
            <w:noWrap w:val="0"/>
            <w:vAlign w:val="center"/>
          </w:tcPr>
          <w:p w14:paraId="0A51D8DB">
            <w:pPr>
              <w:pStyle w:val="69"/>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一级</w:t>
            </w:r>
          </w:p>
        </w:tc>
        <w:tc>
          <w:tcPr>
            <w:tcW w:w="438" w:type="pct"/>
            <w:noWrap w:val="0"/>
            <w:vAlign w:val="center"/>
          </w:tcPr>
          <w:p w14:paraId="7BDA81AD">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一级</w:t>
            </w:r>
          </w:p>
        </w:tc>
        <w:tc>
          <w:tcPr>
            <w:tcW w:w="438" w:type="pct"/>
            <w:noWrap w:val="0"/>
            <w:vAlign w:val="center"/>
          </w:tcPr>
          <w:p w14:paraId="56848F2A">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436" w:type="pct"/>
            <w:noWrap w:val="0"/>
            <w:vAlign w:val="center"/>
          </w:tcPr>
          <w:p w14:paraId="5DCD7D64">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438" w:type="pct"/>
            <w:noWrap w:val="0"/>
            <w:vAlign w:val="center"/>
          </w:tcPr>
          <w:p w14:paraId="27D6FA31">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436" w:type="pct"/>
            <w:noWrap w:val="0"/>
            <w:vAlign w:val="center"/>
          </w:tcPr>
          <w:p w14:paraId="3AED0EDE">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w:t>
            </w:r>
          </w:p>
        </w:tc>
        <w:tc>
          <w:tcPr>
            <w:tcW w:w="436" w:type="pct"/>
            <w:noWrap w:val="0"/>
            <w:vAlign w:val="center"/>
          </w:tcPr>
          <w:p w14:paraId="7328B69F">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w:t>
            </w:r>
          </w:p>
        </w:tc>
        <w:tc>
          <w:tcPr>
            <w:tcW w:w="424" w:type="pct"/>
            <w:noWrap w:val="0"/>
            <w:vAlign w:val="center"/>
          </w:tcPr>
          <w:p w14:paraId="6FC4659F">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w:t>
            </w:r>
          </w:p>
        </w:tc>
      </w:tr>
      <w:tr w14:paraId="7B0A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1034" w:type="pct"/>
            <w:noWrap w:val="0"/>
            <w:vAlign w:val="center"/>
          </w:tcPr>
          <w:p w14:paraId="731A1115">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478" w:type="pct"/>
            <w:noWrap w:val="0"/>
            <w:vAlign w:val="center"/>
          </w:tcPr>
          <w:p w14:paraId="061492A2">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一级</w:t>
            </w:r>
          </w:p>
        </w:tc>
        <w:tc>
          <w:tcPr>
            <w:tcW w:w="436" w:type="pct"/>
            <w:noWrap w:val="0"/>
            <w:vAlign w:val="center"/>
          </w:tcPr>
          <w:p w14:paraId="05FC6539">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一级</w:t>
            </w:r>
          </w:p>
        </w:tc>
        <w:tc>
          <w:tcPr>
            <w:tcW w:w="438" w:type="pct"/>
            <w:noWrap w:val="0"/>
            <w:vAlign w:val="center"/>
          </w:tcPr>
          <w:p w14:paraId="06ABDC3E">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438" w:type="pct"/>
            <w:noWrap w:val="0"/>
            <w:vAlign w:val="center"/>
          </w:tcPr>
          <w:p w14:paraId="6475F505">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436" w:type="pct"/>
            <w:noWrap w:val="0"/>
            <w:vAlign w:val="center"/>
          </w:tcPr>
          <w:p w14:paraId="7BBA1F42">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438" w:type="pct"/>
            <w:noWrap w:val="0"/>
            <w:vAlign w:val="center"/>
          </w:tcPr>
          <w:p w14:paraId="1D25AC21">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w:t>
            </w:r>
          </w:p>
        </w:tc>
        <w:tc>
          <w:tcPr>
            <w:tcW w:w="436" w:type="pct"/>
            <w:noWrap w:val="0"/>
            <w:vAlign w:val="center"/>
          </w:tcPr>
          <w:p w14:paraId="24E54F7F">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w:t>
            </w:r>
          </w:p>
        </w:tc>
        <w:tc>
          <w:tcPr>
            <w:tcW w:w="436" w:type="pct"/>
            <w:noWrap w:val="0"/>
            <w:vAlign w:val="center"/>
          </w:tcPr>
          <w:p w14:paraId="263482F5">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w:t>
            </w:r>
          </w:p>
        </w:tc>
        <w:tc>
          <w:tcPr>
            <w:tcW w:w="424" w:type="pct"/>
            <w:noWrap w:val="0"/>
            <w:vAlign w:val="center"/>
          </w:tcPr>
          <w:p w14:paraId="34E0F0F0">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435A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1034" w:type="pct"/>
            <w:noWrap w:val="0"/>
            <w:vAlign w:val="center"/>
          </w:tcPr>
          <w:p w14:paraId="57A7BF3A">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478" w:type="pct"/>
            <w:noWrap w:val="0"/>
            <w:vAlign w:val="center"/>
          </w:tcPr>
          <w:p w14:paraId="16CB91B0">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一级</w:t>
            </w:r>
          </w:p>
        </w:tc>
        <w:tc>
          <w:tcPr>
            <w:tcW w:w="436" w:type="pct"/>
            <w:noWrap w:val="0"/>
            <w:vAlign w:val="center"/>
          </w:tcPr>
          <w:p w14:paraId="222B50D5">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438" w:type="pct"/>
            <w:noWrap w:val="0"/>
            <w:vAlign w:val="center"/>
          </w:tcPr>
          <w:p w14:paraId="7CF54B58">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438" w:type="pct"/>
            <w:noWrap w:val="0"/>
            <w:vAlign w:val="center"/>
          </w:tcPr>
          <w:p w14:paraId="3FD62BB7">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c>
          <w:tcPr>
            <w:tcW w:w="436" w:type="pct"/>
            <w:noWrap w:val="0"/>
            <w:vAlign w:val="center"/>
          </w:tcPr>
          <w:p w14:paraId="568CB0BE">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w:t>
            </w:r>
          </w:p>
        </w:tc>
        <w:tc>
          <w:tcPr>
            <w:tcW w:w="438" w:type="pct"/>
            <w:noWrap w:val="0"/>
            <w:vAlign w:val="center"/>
          </w:tcPr>
          <w:p w14:paraId="2AD194FF">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w:t>
            </w:r>
          </w:p>
        </w:tc>
        <w:tc>
          <w:tcPr>
            <w:tcW w:w="436" w:type="pct"/>
            <w:noWrap w:val="0"/>
            <w:vAlign w:val="center"/>
          </w:tcPr>
          <w:p w14:paraId="56C9A37F">
            <w:pPr>
              <w:pStyle w:val="69"/>
              <w:tabs>
                <w:tab w:val="left" w:pos="1831"/>
              </w:tabs>
              <w:spacing w:before="48"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三级</w:t>
            </w:r>
          </w:p>
        </w:tc>
        <w:tc>
          <w:tcPr>
            <w:tcW w:w="436" w:type="pct"/>
            <w:noWrap w:val="0"/>
            <w:vAlign w:val="center"/>
          </w:tcPr>
          <w:p w14:paraId="5752F109">
            <w:pPr>
              <w:pStyle w:val="69"/>
              <w:tabs>
                <w:tab w:val="left" w:pos="1831"/>
              </w:tabs>
              <w:spacing w:before="62"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424" w:type="pct"/>
            <w:noWrap w:val="0"/>
            <w:vAlign w:val="center"/>
          </w:tcPr>
          <w:p w14:paraId="2FCD5E46">
            <w:pPr>
              <w:pStyle w:val="69"/>
              <w:tabs>
                <w:tab w:val="left" w:pos="1831"/>
              </w:tabs>
              <w:spacing w:before="62"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21AA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5000" w:type="pct"/>
            <w:gridSpan w:val="10"/>
            <w:noWrap w:val="0"/>
            <w:vAlign w:val="center"/>
          </w:tcPr>
          <w:p w14:paraId="659C9995">
            <w:pPr>
              <w:pStyle w:val="69"/>
              <w:tabs>
                <w:tab w:val="left" w:pos="1831"/>
              </w:tabs>
              <w:spacing w:before="48" w:line="257" w:lineRule="exact"/>
              <w:ind w:left="0" w:leftChars="0" w:right="-10" w:rightChars="0"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注：“-”表示可不开展土壤环境影响评价工作。</w:t>
            </w:r>
          </w:p>
        </w:tc>
      </w:tr>
    </w:tbl>
    <w:p w14:paraId="214D705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本项目为Ⅲ类项目，占地规模为</w:t>
      </w:r>
      <w:r>
        <w:rPr>
          <w:rFonts w:hint="default" w:ascii="Times New Roman" w:hAnsi="Times New Roman" w:cs="Times New Roman"/>
          <w:color w:val="auto"/>
          <w:lang w:val="en-US" w:eastAsia="zh-CN"/>
        </w:rPr>
        <w:t>中</w:t>
      </w:r>
      <w:r>
        <w:rPr>
          <w:rFonts w:hint="default" w:ascii="Times New Roman" w:hAnsi="Times New Roman" w:cs="Times New Roman"/>
          <w:color w:val="auto"/>
        </w:rPr>
        <w:t>型，敏感程度为敏感，综上确定项目土壤环境影响评价等级为</w:t>
      </w:r>
      <w:r>
        <w:rPr>
          <w:rFonts w:hint="default" w:ascii="Times New Roman" w:hAnsi="Times New Roman" w:cs="Times New Roman"/>
          <w:color w:val="auto"/>
          <w:lang w:val="en-US" w:eastAsia="zh-CN"/>
        </w:rPr>
        <w:t>三</w:t>
      </w:r>
      <w:r>
        <w:rPr>
          <w:rFonts w:hint="default" w:ascii="Times New Roman" w:hAnsi="Times New Roman" w:cs="Times New Roman"/>
          <w:color w:val="auto"/>
        </w:rPr>
        <w:t>级。</w:t>
      </w:r>
    </w:p>
    <w:p w14:paraId="3AD2D93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根据评价导则要求对危险物质、环境影响途径、环境危害后果、风险防范措施等方面给出定性的说明。</w:t>
      </w:r>
    </w:p>
    <w:p w14:paraId="3B216BF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color w:val="auto"/>
          <w:sz w:val="24"/>
          <w:highlight w:val="none"/>
        </w:rPr>
        <w:t>环境风险</w:t>
      </w:r>
    </w:p>
    <w:p w14:paraId="241390C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根据《建设项目环境风险评价技术导则》（HJ169-20</w:t>
      </w:r>
      <w:r>
        <w:rPr>
          <w:rFonts w:hint="default" w:ascii="Times New Roman" w:hAnsi="Times New Roman" w:eastAsia="宋体" w:cs="Times New Roman"/>
          <w:color w:val="auto"/>
          <w:lang w:val="en-US" w:eastAsia="zh-CN"/>
        </w:rPr>
        <w:t>18</w:t>
      </w:r>
      <w:r>
        <w:rPr>
          <w:rFonts w:hint="default" w:ascii="Times New Roman" w:hAnsi="Times New Roman" w:eastAsia="宋体" w:cs="Times New Roman"/>
          <w:color w:val="auto"/>
        </w:rPr>
        <w:t>），环境风险评价工作等级划分为一级、二级、三级。根据建设项目涉及的物质及工艺系统危险性和所在地的环境敏感性确定环境风险潜势，评价工作等级确定见表</w:t>
      </w:r>
      <w:r>
        <w:rPr>
          <w:rFonts w:hint="default" w:ascii="Times New Roman" w:hAnsi="Times New Roman" w:eastAsia="宋体" w:cs="Times New Roman"/>
          <w:color w:val="auto"/>
          <w:lang w:val="en-US"/>
        </w:rPr>
        <w:t>2</w:t>
      </w: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rPr>
        <w:t>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p>
    <w:p w14:paraId="23BCB217">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t>环境风险评价工作等级划分</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60"/>
        <w:gridCol w:w="1526"/>
        <w:gridCol w:w="1749"/>
        <w:gridCol w:w="1841"/>
        <w:gridCol w:w="1647"/>
      </w:tblGrid>
      <w:tr w14:paraId="6D89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 w:hRule="atLeast"/>
        </w:trPr>
        <w:tc>
          <w:tcPr>
            <w:tcW w:w="937" w:type="pct"/>
            <w:noWrap w:val="0"/>
            <w:vAlign w:val="top"/>
          </w:tcPr>
          <w:p w14:paraId="076FBBF2">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环境风险潜势</w:t>
            </w:r>
          </w:p>
        </w:tc>
        <w:tc>
          <w:tcPr>
            <w:tcW w:w="917" w:type="pct"/>
            <w:noWrap w:val="0"/>
            <w:vAlign w:val="top"/>
          </w:tcPr>
          <w:p w14:paraId="127F4286">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Ⅳ、Ⅳ+</w:t>
            </w:r>
          </w:p>
        </w:tc>
        <w:tc>
          <w:tcPr>
            <w:tcW w:w="1051" w:type="pct"/>
            <w:noWrap w:val="0"/>
            <w:vAlign w:val="top"/>
          </w:tcPr>
          <w:p w14:paraId="501E6CEA">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Ⅲ</w:t>
            </w:r>
          </w:p>
        </w:tc>
        <w:tc>
          <w:tcPr>
            <w:tcW w:w="1106" w:type="pct"/>
            <w:noWrap w:val="0"/>
            <w:vAlign w:val="top"/>
          </w:tcPr>
          <w:p w14:paraId="3071A719">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Ⅱ</w:t>
            </w:r>
          </w:p>
        </w:tc>
        <w:tc>
          <w:tcPr>
            <w:tcW w:w="987" w:type="pct"/>
            <w:noWrap w:val="0"/>
            <w:vAlign w:val="top"/>
          </w:tcPr>
          <w:p w14:paraId="162A960E">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Ⅰ</w:t>
            </w:r>
          </w:p>
        </w:tc>
      </w:tr>
      <w:tr w14:paraId="06A0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 w:hRule="atLeast"/>
        </w:trPr>
        <w:tc>
          <w:tcPr>
            <w:tcW w:w="937" w:type="pct"/>
            <w:noWrap w:val="0"/>
            <w:vAlign w:val="top"/>
          </w:tcPr>
          <w:p w14:paraId="57B58393">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评价工作等级</w:t>
            </w:r>
          </w:p>
        </w:tc>
        <w:tc>
          <w:tcPr>
            <w:tcW w:w="917" w:type="pct"/>
            <w:noWrap w:val="0"/>
            <w:vAlign w:val="top"/>
          </w:tcPr>
          <w:p w14:paraId="77673EA5">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一</w:t>
            </w:r>
          </w:p>
        </w:tc>
        <w:tc>
          <w:tcPr>
            <w:tcW w:w="1051" w:type="pct"/>
            <w:noWrap w:val="0"/>
            <w:vAlign w:val="top"/>
          </w:tcPr>
          <w:p w14:paraId="76F91C7A">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二</w:t>
            </w:r>
          </w:p>
        </w:tc>
        <w:tc>
          <w:tcPr>
            <w:tcW w:w="1106" w:type="pct"/>
            <w:noWrap w:val="0"/>
            <w:vAlign w:val="top"/>
          </w:tcPr>
          <w:p w14:paraId="7DE94036">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三</w:t>
            </w:r>
          </w:p>
        </w:tc>
        <w:tc>
          <w:tcPr>
            <w:tcW w:w="987" w:type="pct"/>
            <w:noWrap w:val="0"/>
            <w:vAlign w:val="top"/>
          </w:tcPr>
          <w:p w14:paraId="16D224ED">
            <w:pPr>
              <w:pStyle w:val="69"/>
              <w:spacing w:before="35"/>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简单分析a</w:t>
            </w:r>
          </w:p>
        </w:tc>
      </w:tr>
      <w:tr w14:paraId="0025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7" w:hRule="atLeast"/>
        </w:trPr>
        <w:tc>
          <w:tcPr>
            <w:tcW w:w="5000" w:type="pct"/>
            <w:gridSpan w:val="5"/>
            <w:noWrap w:val="0"/>
            <w:vAlign w:val="top"/>
          </w:tcPr>
          <w:p w14:paraId="742CA297">
            <w:pPr>
              <w:ind w:left="0" w:leftChars="0" w:right="-10" w:rightChars="0" w:firstLine="0" w:firstLineChars="0"/>
              <w:jc w:val="both"/>
              <w:rPr>
                <w:rFonts w:hint="default" w:ascii="Times New Roman" w:hAnsi="Times New Roman" w:cs="Times New Roman"/>
                <w:color w:val="auto"/>
                <w:sz w:val="7"/>
                <w:highlight w:val="none"/>
              </w:rPr>
            </w:pPr>
            <w:r>
              <w:rPr>
                <w:rFonts w:hint="default" w:ascii="Times New Roman" w:hAnsi="Times New Roman" w:cs="Times New Roman"/>
                <w:color w:val="auto"/>
                <w:sz w:val="21"/>
                <w:highlight w:val="none"/>
                <w:lang w:val="en-US"/>
              </w:rPr>
              <w:t>a</w:t>
            </w:r>
            <w:r>
              <w:rPr>
                <w:rFonts w:hint="default" w:ascii="Times New Roman" w:hAnsi="Times New Roman" w:cs="Times New Roman"/>
                <w:color w:val="auto"/>
                <w:sz w:val="21"/>
                <w:highlight w:val="none"/>
              </w:rPr>
              <w:t>是相对于详细评级工作内容而言，在描述危险物质、环境影响途径、环境危害后果、风险防范措施等方面给出定性的说明。见附录</w:t>
            </w:r>
            <w:r>
              <w:rPr>
                <w:rFonts w:hint="default" w:ascii="Times New Roman" w:hAnsi="Times New Roman" w:eastAsia="Times New Roman" w:cs="Times New Roman"/>
                <w:color w:val="auto"/>
                <w:sz w:val="21"/>
                <w:highlight w:val="none"/>
              </w:rPr>
              <w:t>A</w:t>
            </w:r>
            <w:r>
              <w:rPr>
                <w:rFonts w:hint="default" w:ascii="Times New Roman" w:hAnsi="Times New Roman" w:cs="Times New Roman"/>
                <w:color w:val="auto"/>
                <w:sz w:val="21"/>
                <w:highlight w:val="none"/>
              </w:rPr>
              <w:t>。</w:t>
            </w:r>
          </w:p>
        </w:tc>
      </w:tr>
    </w:tbl>
    <w:p w14:paraId="0A86BC0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建设项目环境风险潜势划分为Ⅰ、Ⅱ、Ⅲ、Ⅳ/Ⅳ+级。根据建设项目涉及的物质和工艺系统的危险性及其所在地的环境敏感程度，结合事故情形下环境影响途径，对建设项目潜在环境危害程度进行概化分析，环境风险潜势确定见表</w:t>
      </w:r>
      <w:r>
        <w:rPr>
          <w:rFonts w:hint="default" w:ascii="Times New Roman" w:hAnsi="Times New Roman" w:cs="Times New Roman"/>
          <w:color w:val="auto"/>
          <w:lang w:val="en-US"/>
        </w:rPr>
        <w:t>2</w:t>
      </w:r>
      <w:r>
        <w:rPr>
          <w:rFonts w:hint="default" w:ascii="Times New Roman" w:hAnsi="Times New Roman" w:cs="Times New Roman"/>
          <w:color w:val="auto"/>
        </w:rPr>
        <w:t>.5-</w:t>
      </w:r>
      <w:r>
        <w:rPr>
          <w:rFonts w:hint="default" w:ascii="Times New Roman" w:hAnsi="Times New Roman" w:cs="Times New Roman"/>
          <w:color w:val="auto"/>
          <w:lang w:val="en-US" w:eastAsia="zh-CN"/>
        </w:rPr>
        <w:t>12</w:t>
      </w:r>
      <w:r>
        <w:rPr>
          <w:rFonts w:hint="default" w:ascii="Times New Roman" w:hAnsi="Times New Roman" w:cs="Times New Roman"/>
          <w:color w:val="auto"/>
        </w:rPr>
        <w:t>。建设项目环境风险潜势综合等级取各要素等级的相对高值。</w:t>
      </w:r>
    </w:p>
    <w:p w14:paraId="0711B8F1">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t>建设项目环境风险潜势划分</w:t>
      </w:r>
    </w:p>
    <w:tbl>
      <w:tblPr>
        <w:tblStyle w:val="33"/>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68"/>
        <w:gridCol w:w="1335"/>
        <w:gridCol w:w="1395"/>
        <w:gridCol w:w="1608"/>
        <w:gridCol w:w="1727"/>
      </w:tblGrid>
      <w:tr w14:paraId="3CAD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1361" w:type="pct"/>
            <w:vMerge w:val="restart"/>
            <w:noWrap w:val="0"/>
            <w:vAlign w:val="center"/>
          </w:tcPr>
          <w:p w14:paraId="3808431F">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环境敏感程度（E）</w:t>
            </w:r>
          </w:p>
        </w:tc>
        <w:tc>
          <w:tcPr>
            <w:tcW w:w="3638" w:type="pct"/>
            <w:gridSpan w:val="4"/>
            <w:noWrap w:val="0"/>
            <w:vAlign w:val="center"/>
          </w:tcPr>
          <w:p w14:paraId="68C24597">
            <w:pPr>
              <w:pStyle w:val="69"/>
              <w:spacing w:before="35" w:line="250"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危险物质及工艺系统危险性（P）</w:t>
            </w:r>
          </w:p>
        </w:tc>
      </w:tr>
      <w:tr w14:paraId="2485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1361" w:type="pct"/>
            <w:vMerge w:val="continue"/>
            <w:noWrap w:val="0"/>
            <w:vAlign w:val="center"/>
          </w:tcPr>
          <w:p w14:paraId="5C60E27B">
            <w:pPr>
              <w:pStyle w:val="69"/>
              <w:spacing w:before="35"/>
              <w:ind w:left="0" w:leftChars="0" w:right="-10" w:rightChars="0" w:firstLine="0" w:firstLineChars="0"/>
              <w:rPr>
                <w:rFonts w:hint="default" w:ascii="Times New Roman" w:hAnsi="Times New Roman" w:cs="Times New Roman"/>
                <w:color w:val="auto"/>
                <w:sz w:val="21"/>
                <w:highlight w:val="none"/>
              </w:rPr>
            </w:pPr>
          </w:p>
        </w:tc>
        <w:tc>
          <w:tcPr>
            <w:tcW w:w="801" w:type="pct"/>
            <w:noWrap w:val="0"/>
            <w:vAlign w:val="center"/>
          </w:tcPr>
          <w:p w14:paraId="6D40445A">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极高危害</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P1</w:t>
            </w:r>
            <w:r>
              <w:rPr>
                <w:rFonts w:hint="default" w:ascii="Times New Roman" w:hAnsi="Times New Roman" w:cs="Times New Roman"/>
                <w:color w:val="auto"/>
                <w:sz w:val="21"/>
                <w:highlight w:val="none"/>
                <w:lang w:eastAsia="zh-CN"/>
              </w:rPr>
              <w:t>）</w:t>
            </w:r>
          </w:p>
        </w:tc>
        <w:tc>
          <w:tcPr>
            <w:tcW w:w="837" w:type="pct"/>
            <w:noWrap w:val="0"/>
            <w:vAlign w:val="center"/>
          </w:tcPr>
          <w:p w14:paraId="6E2733D0">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高度危害</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P2</w:t>
            </w:r>
            <w:r>
              <w:rPr>
                <w:rFonts w:hint="default" w:ascii="Times New Roman" w:hAnsi="Times New Roman" w:cs="Times New Roman"/>
                <w:color w:val="auto"/>
                <w:sz w:val="21"/>
                <w:highlight w:val="none"/>
                <w:lang w:eastAsia="zh-CN"/>
              </w:rPr>
              <w:t>）</w:t>
            </w:r>
          </w:p>
        </w:tc>
        <w:tc>
          <w:tcPr>
            <w:tcW w:w="965" w:type="pct"/>
            <w:noWrap w:val="0"/>
            <w:vAlign w:val="center"/>
          </w:tcPr>
          <w:p w14:paraId="12709FAE">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中度危害</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P3</w:t>
            </w:r>
            <w:r>
              <w:rPr>
                <w:rFonts w:hint="default" w:ascii="Times New Roman" w:hAnsi="Times New Roman" w:cs="Times New Roman"/>
                <w:color w:val="auto"/>
                <w:sz w:val="21"/>
                <w:highlight w:val="none"/>
                <w:lang w:eastAsia="zh-CN"/>
              </w:rPr>
              <w:t>）</w:t>
            </w:r>
          </w:p>
        </w:tc>
        <w:tc>
          <w:tcPr>
            <w:tcW w:w="1033" w:type="pct"/>
            <w:noWrap w:val="0"/>
            <w:vAlign w:val="center"/>
          </w:tcPr>
          <w:p w14:paraId="620D8C31">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轻度危害</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P4</w:t>
            </w:r>
            <w:r>
              <w:rPr>
                <w:rFonts w:hint="default" w:ascii="Times New Roman" w:hAnsi="Times New Roman" w:cs="Times New Roman"/>
                <w:color w:val="auto"/>
                <w:sz w:val="21"/>
                <w:highlight w:val="none"/>
                <w:lang w:eastAsia="zh-CN"/>
              </w:rPr>
              <w:t>）</w:t>
            </w:r>
          </w:p>
        </w:tc>
      </w:tr>
      <w:tr w14:paraId="4CF5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1361" w:type="pct"/>
            <w:noWrap w:val="0"/>
            <w:vAlign w:val="center"/>
          </w:tcPr>
          <w:p w14:paraId="0B5101DF">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环境高度敏感区（E1）</w:t>
            </w:r>
          </w:p>
        </w:tc>
        <w:tc>
          <w:tcPr>
            <w:tcW w:w="801" w:type="pct"/>
            <w:noWrap w:val="0"/>
            <w:vAlign w:val="center"/>
          </w:tcPr>
          <w:p w14:paraId="00FA28FC">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Ⅳ</w:t>
            </w:r>
            <w:r>
              <w:rPr>
                <w:rFonts w:hint="default" w:ascii="Times New Roman" w:hAnsi="Times New Roman" w:cs="Times New Roman"/>
                <w:color w:val="auto"/>
                <w:sz w:val="21"/>
                <w:highlight w:val="none"/>
                <w:vertAlign w:val="superscript"/>
              </w:rPr>
              <w:t>+</w:t>
            </w:r>
          </w:p>
        </w:tc>
        <w:tc>
          <w:tcPr>
            <w:tcW w:w="837" w:type="pct"/>
            <w:noWrap w:val="0"/>
            <w:vAlign w:val="center"/>
          </w:tcPr>
          <w:p w14:paraId="58F541CA">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Ⅳ</w:t>
            </w:r>
          </w:p>
        </w:tc>
        <w:tc>
          <w:tcPr>
            <w:tcW w:w="965" w:type="pct"/>
            <w:noWrap w:val="0"/>
            <w:vAlign w:val="center"/>
          </w:tcPr>
          <w:p w14:paraId="5A932AC3">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1033" w:type="pct"/>
            <w:noWrap w:val="0"/>
            <w:vAlign w:val="center"/>
          </w:tcPr>
          <w:p w14:paraId="08D9FC58">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r>
      <w:tr w14:paraId="3E95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61" w:type="pct"/>
            <w:noWrap w:val="0"/>
            <w:vAlign w:val="center"/>
          </w:tcPr>
          <w:p w14:paraId="16498810">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环境中度敏感区（E2）</w:t>
            </w:r>
          </w:p>
        </w:tc>
        <w:tc>
          <w:tcPr>
            <w:tcW w:w="801" w:type="pct"/>
            <w:noWrap w:val="0"/>
            <w:vAlign w:val="center"/>
          </w:tcPr>
          <w:p w14:paraId="13595519">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Ⅳ</w:t>
            </w:r>
          </w:p>
        </w:tc>
        <w:tc>
          <w:tcPr>
            <w:tcW w:w="837" w:type="pct"/>
            <w:noWrap w:val="0"/>
            <w:vAlign w:val="center"/>
          </w:tcPr>
          <w:p w14:paraId="00127D76">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965" w:type="pct"/>
            <w:noWrap w:val="0"/>
            <w:vAlign w:val="center"/>
          </w:tcPr>
          <w:p w14:paraId="58E6F3F4">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1033" w:type="pct"/>
            <w:noWrap w:val="0"/>
            <w:vAlign w:val="center"/>
          </w:tcPr>
          <w:p w14:paraId="12E391C9">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Ⅱ</w:t>
            </w:r>
          </w:p>
        </w:tc>
      </w:tr>
      <w:tr w14:paraId="1687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61" w:type="pct"/>
            <w:noWrap w:val="0"/>
            <w:vAlign w:val="center"/>
          </w:tcPr>
          <w:p w14:paraId="59EBDC6C">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环境低度敏感区（E3）</w:t>
            </w:r>
          </w:p>
        </w:tc>
        <w:tc>
          <w:tcPr>
            <w:tcW w:w="801" w:type="pct"/>
            <w:noWrap w:val="0"/>
            <w:vAlign w:val="center"/>
          </w:tcPr>
          <w:p w14:paraId="4E4659DF">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837" w:type="pct"/>
            <w:noWrap w:val="0"/>
            <w:vAlign w:val="center"/>
          </w:tcPr>
          <w:p w14:paraId="3CA5D8C3">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965" w:type="pct"/>
            <w:noWrap w:val="0"/>
            <w:vAlign w:val="center"/>
          </w:tcPr>
          <w:p w14:paraId="14414C89">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Ⅱ</w:t>
            </w:r>
          </w:p>
        </w:tc>
        <w:tc>
          <w:tcPr>
            <w:tcW w:w="1033" w:type="pct"/>
            <w:noWrap w:val="0"/>
            <w:vAlign w:val="center"/>
          </w:tcPr>
          <w:p w14:paraId="58DD27D0">
            <w:pPr>
              <w:pStyle w:val="69"/>
              <w:spacing w:before="3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Ⅰ</w:t>
            </w:r>
          </w:p>
        </w:tc>
      </w:tr>
      <w:tr w14:paraId="32F2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5"/>
            <w:noWrap w:val="0"/>
            <w:vAlign w:val="center"/>
          </w:tcPr>
          <w:p w14:paraId="019F214C">
            <w:pPr>
              <w:pStyle w:val="69"/>
              <w:spacing w:before="35"/>
              <w:ind w:left="0" w:leftChars="0" w:right="-10" w:rightChars="0"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注：Ⅳ</w:t>
            </w:r>
            <w:r>
              <w:rPr>
                <w:rFonts w:hint="default" w:ascii="Times New Roman" w:hAnsi="Times New Roman" w:cs="Times New Roman"/>
                <w:color w:val="auto"/>
                <w:sz w:val="21"/>
                <w:highlight w:val="none"/>
                <w:vertAlign w:val="superscript"/>
              </w:rPr>
              <w:t>+</w:t>
            </w:r>
            <w:r>
              <w:rPr>
                <w:rFonts w:hint="default" w:ascii="Times New Roman" w:hAnsi="Times New Roman" w:cs="Times New Roman"/>
                <w:color w:val="auto"/>
                <w:sz w:val="21"/>
                <w:highlight w:val="none"/>
              </w:rPr>
              <w:t>为极高环境风险。</w:t>
            </w:r>
          </w:p>
        </w:tc>
      </w:tr>
    </w:tbl>
    <w:p w14:paraId="16F01C5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P的分级确定：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14:paraId="65485E5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属于Q＜1，</w:t>
      </w:r>
      <w:r>
        <w:rPr>
          <w:rFonts w:hint="default" w:ascii="Times New Roman" w:hAnsi="Times New Roman" w:cs="Times New Roman"/>
          <w:color w:val="auto"/>
          <w:lang w:val="en-US"/>
        </w:rPr>
        <w:t>本项目环境风险潜势划分为Ⅰ类，评价工作等级划分为简单分析。</w:t>
      </w:r>
    </w:p>
    <w:p w14:paraId="1395463B">
      <w:pPr>
        <w:pStyle w:val="4"/>
        <w:bidi w:val="0"/>
        <w:rPr>
          <w:rFonts w:hint="default" w:ascii="Times New Roman" w:hAnsi="Times New Roman" w:cs="Times New Roman"/>
          <w:color w:val="auto"/>
        </w:rPr>
      </w:pPr>
      <w:r>
        <w:rPr>
          <w:rFonts w:hint="default" w:ascii="Times New Roman" w:hAnsi="Times New Roman" w:cs="Times New Roman"/>
          <w:color w:val="auto"/>
        </w:rPr>
        <w:t>评价重点</w:t>
      </w:r>
    </w:p>
    <w:p w14:paraId="541C49F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次评价工作将从项目工程分析入手，确定工程运营期的各个污染环节及主要污染因子，针对养殖项目污染治理工程特有环境污染问题提出切实可行的污染防治措施，定量及定性地描述出该工程对区域环境的污染影响程度和范围。</w:t>
      </w:r>
    </w:p>
    <w:p w14:paraId="3C993345">
      <w:pPr>
        <w:pStyle w:val="3"/>
        <w:bidi w:val="0"/>
        <w:rPr>
          <w:rFonts w:hint="default" w:ascii="Times New Roman" w:hAnsi="Times New Roman" w:cs="Times New Roman"/>
          <w:color w:val="auto"/>
        </w:rPr>
      </w:pPr>
      <w:bookmarkStart w:id="28" w:name="_Toc20284"/>
      <w:bookmarkStart w:id="29" w:name="_Toc27823"/>
      <w:r>
        <w:rPr>
          <w:rFonts w:hint="default" w:ascii="Times New Roman" w:hAnsi="Times New Roman" w:cs="Times New Roman"/>
          <w:color w:val="auto"/>
        </w:rPr>
        <w:t>评价范围和环境保护目标</w:t>
      </w:r>
      <w:bookmarkEnd w:id="28"/>
      <w:bookmarkEnd w:id="29"/>
    </w:p>
    <w:p w14:paraId="443AB976">
      <w:pPr>
        <w:pStyle w:val="4"/>
        <w:bidi w:val="0"/>
        <w:rPr>
          <w:rFonts w:hint="default" w:ascii="Times New Roman" w:hAnsi="Times New Roman" w:cs="Times New Roman"/>
          <w:color w:val="auto"/>
        </w:rPr>
      </w:pPr>
      <w:r>
        <w:rPr>
          <w:rFonts w:hint="default" w:ascii="Times New Roman" w:hAnsi="Times New Roman" w:cs="Times New Roman"/>
          <w:color w:val="auto"/>
        </w:rPr>
        <w:t>评价范围</w:t>
      </w:r>
    </w:p>
    <w:p w14:paraId="4E391B9F">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大气环境影响评价范围</w:t>
      </w:r>
    </w:p>
    <w:p w14:paraId="5017DB4D">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rPr>
        <w:t>本项目大气环境影响评价工作等级为二级，根据《环境影响评价技术导则大气环境》（HJ2.2-2018），本项目大气环境影响评价范围以项目</w:t>
      </w:r>
      <w:r>
        <w:rPr>
          <w:rFonts w:hint="default" w:ascii="Times New Roman" w:hAnsi="Times New Roman" w:eastAsia="宋体" w:cs="Times New Roman"/>
          <w:color w:val="auto"/>
          <w:lang w:val="en-US" w:eastAsia="zh-CN"/>
        </w:rPr>
        <w:t>场址</w:t>
      </w:r>
      <w:r>
        <w:rPr>
          <w:rFonts w:hint="default" w:ascii="Times New Roman" w:hAnsi="Times New Roman" w:eastAsia="宋体" w:cs="Times New Roman"/>
          <w:color w:val="auto"/>
        </w:rPr>
        <w:t>为中心，边长为5km的矩形区域。</w:t>
      </w:r>
    </w:p>
    <w:p w14:paraId="0176E942">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地表水环境影响评价范围</w:t>
      </w:r>
    </w:p>
    <w:p w14:paraId="24260E49">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rPr>
        <w:t>废水主要包括</w:t>
      </w:r>
      <w:r>
        <w:rPr>
          <w:rFonts w:hint="default" w:ascii="Times New Roman" w:hAnsi="Times New Roman" w:cs="Times New Roman"/>
          <w:snapToGrid w:val="0"/>
          <w:color w:val="auto"/>
          <w:kern w:val="0"/>
          <w:sz w:val="24"/>
          <w:lang w:val="en-US" w:eastAsia="zh-CN"/>
        </w:rPr>
        <w:t>鸡舍粪便收集设施（</w:t>
      </w:r>
      <w:r>
        <w:rPr>
          <w:rFonts w:hint="eastAsia" w:ascii="Times New Roman" w:hAnsi="Times New Roman" w:cs="Times New Roman"/>
          <w:snapToGrid w:val="0"/>
          <w:color w:val="auto"/>
          <w:kern w:val="0"/>
          <w:sz w:val="24"/>
          <w:lang w:val="en-US" w:eastAsia="zh-CN"/>
        </w:rPr>
        <w:t>粪便传送带</w:t>
      </w:r>
      <w:r>
        <w:rPr>
          <w:rFonts w:hint="default" w:ascii="Times New Roman" w:hAnsi="Times New Roman" w:cs="Times New Roman"/>
          <w:snapToGrid w:val="0"/>
          <w:color w:val="auto"/>
          <w:kern w:val="0"/>
          <w:sz w:val="24"/>
          <w:lang w:val="en-US" w:eastAsia="zh-CN"/>
        </w:rPr>
        <w:t>和清粪机）清洗废水和工作人员生活污水，</w:t>
      </w:r>
      <w:r>
        <w:rPr>
          <w:rFonts w:hint="default" w:ascii="Times New Roman" w:hAnsi="Times New Roman" w:cs="Times New Roman"/>
          <w:snapToGrid w:val="0"/>
          <w:color w:val="auto"/>
          <w:kern w:val="0"/>
          <w:sz w:val="24"/>
          <w:highlight w:val="none"/>
          <w:lang w:val="en-US" w:eastAsia="zh-CN"/>
        </w:rPr>
        <w:t>鸡舍粪便收集设施（</w:t>
      </w:r>
      <w:r>
        <w:rPr>
          <w:rFonts w:hint="eastAsia" w:ascii="Times New Roman" w:hAnsi="Times New Roman" w:cs="Times New Roman"/>
          <w:snapToGrid w:val="0"/>
          <w:color w:val="auto"/>
          <w:kern w:val="0"/>
          <w:sz w:val="24"/>
          <w:highlight w:val="none"/>
          <w:lang w:val="en-US" w:eastAsia="zh-CN"/>
        </w:rPr>
        <w:t>粪便传送带</w:t>
      </w:r>
      <w:r>
        <w:rPr>
          <w:rFonts w:hint="default" w:ascii="Times New Roman" w:hAnsi="Times New Roman" w:cs="Times New Roman"/>
          <w:snapToGrid w:val="0"/>
          <w:color w:val="auto"/>
          <w:kern w:val="0"/>
          <w:sz w:val="24"/>
          <w:highlight w:val="none"/>
          <w:lang w:val="en-US" w:eastAsia="zh-CN"/>
        </w:rPr>
        <w:t>和清粪机）清洗废水和工作人员生活污水进入废水收集池容积100m</w:t>
      </w:r>
      <w:r>
        <w:rPr>
          <w:rFonts w:hint="default" w:ascii="Times New Roman" w:hAnsi="Times New Roman" w:cs="Times New Roman"/>
          <w:snapToGrid w:val="0"/>
          <w:color w:val="auto"/>
          <w:kern w:val="0"/>
          <w:sz w:val="24"/>
          <w:highlight w:val="none"/>
          <w:vertAlign w:val="superscript"/>
          <w:lang w:val="en-US" w:eastAsia="zh-CN"/>
        </w:rPr>
        <w:t>3</w:t>
      </w:r>
      <w:r>
        <w:rPr>
          <w:rFonts w:hint="default" w:ascii="Times New Roman" w:hAnsi="Times New Roman" w:cs="Times New Roman"/>
          <w:snapToGrid w:val="0"/>
          <w:color w:val="auto"/>
          <w:kern w:val="0"/>
          <w:sz w:val="24"/>
          <w:lang w:val="en-US" w:eastAsia="zh-CN"/>
        </w:rPr>
        <w:t>，上设封盖。用于粪便堆肥，增加有机肥湿度。</w:t>
      </w:r>
      <w:r>
        <w:rPr>
          <w:rFonts w:hint="default" w:ascii="Times New Roman" w:hAnsi="Times New Roman" w:eastAsia="宋体" w:cs="Times New Roman"/>
          <w:color w:val="auto"/>
        </w:rPr>
        <w:t>本项目地表水环境不外排，不设评价范围。</w:t>
      </w:r>
    </w:p>
    <w:p w14:paraId="01BB987D">
      <w:pPr>
        <w:pStyle w:val="16"/>
        <w:numPr>
          <w:ilvl w:val="0"/>
          <w:numId w:val="4"/>
        </w:numPr>
        <w:bidi w:val="0"/>
        <w:rPr>
          <w:rFonts w:hint="default" w:ascii="Times New Roman" w:hAnsi="Times New Roman" w:eastAsia="宋体" w:cs="Times New Roman"/>
          <w:color w:val="auto"/>
        </w:rPr>
      </w:pPr>
      <w:r>
        <w:rPr>
          <w:rFonts w:hint="default" w:ascii="Times New Roman" w:hAnsi="Times New Roman" w:eastAsia="宋体" w:cs="Times New Roman"/>
          <w:color w:val="auto"/>
        </w:rPr>
        <w:t>地下水环境影响评价范围</w:t>
      </w:r>
    </w:p>
    <w:p w14:paraId="4A7D39A6">
      <w:pPr>
        <w:pStyle w:val="16"/>
        <w:numPr>
          <w:ilvl w:val="0"/>
          <w:numId w:val="0"/>
        </w:numPr>
        <w:bidi w:val="0"/>
        <w:ind w:right="-11" w:rightChars="0"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rPr>
        <w:t>地下水环境评价范围为：</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场址</w:t>
      </w:r>
      <w:r>
        <w:rPr>
          <w:rFonts w:hint="default" w:ascii="Times New Roman" w:hAnsi="Times New Roman" w:cs="Times New Roman"/>
          <w:color w:val="auto"/>
          <w:highlight w:val="none"/>
        </w:rPr>
        <w:t>为中心上游</w:t>
      </w:r>
      <w:r>
        <w:rPr>
          <w:rFonts w:hint="default" w:ascii="Times New Roman" w:hAnsi="Times New Roman" w:cs="Times New Roman"/>
          <w:color w:val="auto"/>
          <w:highlight w:val="none"/>
          <w:lang w:val="en-US" w:eastAsia="zh-CN"/>
        </w:rPr>
        <w:t>东南侧</w:t>
      </w:r>
      <w:r>
        <w:rPr>
          <w:rFonts w:hint="default" w:ascii="Times New Roman" w:hAnsi="Times New Roman" w:cs="Times New Roman"/>
          <w:color w:val="auto"/>
          <w:highlight w:val="none"/>
        </w:rPr>
        <w:t>1km，下游</w:t>
      </w:r>
      <w:r>
        <w:rPr>
          <w:rFonts w:hint="default" w:ascii="Times New Roman" w:hAnsi="Times New Roman" w:cs="Times New Roman"/>
          <w:color w:val="auto"/>
          <w:highlight w:val="none"/>
          <w:lang w:val="en-US" w:eastAsia="zh-CN"/>
        </w:rPr>
        <w:t>西北侧</w:t>
      </w:r>
      <w:r>
        <w:rPr>
          <w:rFonts w:hint="default" w:ascii="Times New Roman" w:hAnsi="Times New Roman" w:cs="Times New Roman"/>
          <w:color w:val="auto"/>
          <w:highlight w:val="none"/>
        </w:rPr>
        <w:t>2km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向左右各延伸1km，总面积</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的矩形区域。</w:t>
      </w:r>
    </w:p>
    <w:p w14:paraId="5F19C6E7">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声环境影响评价范围</w:t>
      </w:r>
    </w:p>
    <w:p w14:paraId="57D5E47D">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rPr>
        <w:t>声环境评价范围主要为厂界围墙向外200m范围，厂界噪声为厂界外1m。</w:t>
      </w:r>
    </w:p>
    <w:p w14:paraId="5638714C">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生态环境影响评价范围</w:t>
      </w:r>
    </w:p>
    <w:p w14:paraId="6D3AAFAD">
      <w:pPr>
        <w:pStyle w:val="1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养殖场生态环境评价范围为</w:t>
      </w:r>
      <w:r>
        <w:rPr>
          <w:rFonts w:hint="default" w:ascii="Times New Roman" w:hAnsi="Times New Roman" w:eastAsia="宋体" w:cs="Times New Roman"/>
          <w:color w:val="auto"/>
        </w:rPr>
        <w:t>工程用地范围</w:t>
      </w:r>
      <w:r>
        <w:rPr>
          <w:rFonts w:hint="default" w:ascii="Times New Roman" w:hAnsi="Times New Roman" w:eastAsia="宋体" w:cs="Times New Roman"/>
          <w:color w:val="auto"/>
          <w:lang w:val="en-US" w:eastAsia="zh-CN"/>
        </w:rPr>
        <w:t>及周边农田区域</w:t>
      </w:r>
      <w:r>
        <w:rPr>
          <w:rFonts w:hint="default" w:ascii="Times New Roman" w:hAnsi="Times New Roman" w:eastAsia="宋体" w:cs="Times New Roman"/>
          <w:color w:val="auto"/>
          <w:lang w:eastAsia="zh-CN"/>
        </w:rPr>
        <w:t>。</w:t>
      </w:r>
    </w:p>
    <w:p w14:paraId="773198F8">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土壤环境影响评价范围</w:t>
      </w:r>
    </w:p>
    <w:p w14:paraId="371660FE">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rPr>
        <w:t>以项目区占地范围内及占地范围外</w:t>
      </w:r>
      <w:r>
        <w:rPr>
          <w:rFonts w:hint="default" w:ascii="Times New Roman" w:hAnsi="Times New Roman" w:eastAsia="宋体" w:cs="Times New Roman"/>
          <w:color w:val="auto"/>
          <w:lang w:val="en-US" w:eastAsia="zh-CN"/>
        </w:rPr>
        <w:t>50</w:t>
      </w:r>
      <w:r>
        <w:rPr>
          <w:rFonts w:hint="default" w:ascii="Times New Roman" w:hAnsi="Times New Roman" w:eastAsia="宋体" w:cs="Times New Roman"/>
          <w:color w:val="auto"/>
        </w:rPr>
        <w:t>m</w:t>
      </w:r>
      <w:r>
        <w:rPr>
          <w:rFonts w:hint="default" w:ascii="Times New Roman" w:hAnsi="Times New Roman" w:eastAsia="宋体" w:cs="Times New Roman"/>
          <w:color w:val="auto"/>
          <w:lang w:eastAsia="zh-CN"/>
        </w:rPr>
        <w:t>范围内</w:t>
      </w:r>
      <w:r>
        <w:rPr>
          <w:rFonts w:hint="default" w:ascii="Times New Roman" w:hAnsi="Times New Roman" w:eastAsia="宋体" w:cs="Times New Roman"/>
          <w:color w:val="auto"/>
        </w:rPr>
        <w:t>作为评价范围。</w:t>
      </w:r>
    </w:p>
    <w:p w14:paraId="2813D473">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风险环境影响评价范围</w:t>
      </w:r>
    </w:p>
    <w:p w14:paraId="70966AC6">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rPr>
        <w:t>本</w:t>
      </w:r>
      <w:r>
        <w:rPr>
          <w:rFonts w:hint="default" w:ascii="Times New Roman" w:hAnsi="Times New Roman" w:eastAsia="宋体" w:cs="Times New Roman"/>
          <w:color w:val="auto"/>
          <w:lang w:val="en-US" w:eastAsia="zh-CN"/>
        </w:rPr>
        <w:t>项目</w:t>
      </w:r>
      <w:r>
        <w:rPr>
          <w:rFonts w:hint="default" w:ascii="Times New Roman" w:hAnsi="Times New Roman" w:eastAsia="宋体" w:cs="Times New Roman"/>
          <w:color w:val="auto"/>
        </w:rPr>
        <w:t>环境风险评价工作级别为简单分析，根据《建设项目环境风险评价技术导则》（HJ169-2018）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不设置评价范围。</w:t>
      </w:r>
    </w:p>
    <w:p w14:paraId="00D9FF04">
      <w:pPr>
        <w:pStyle w:val="16"/>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本项目环境影响评价范围见表</w:t>
      </w:r>
      <w:r>
        <w:rPr>
          <w:rFonts w:hint="default" w:ascii="Times New Roman" w:hAnsi="Times New Roman" w:eastAsia="宋体" w:cs="Times New Roman"/>
          <w:color w:val="auto"/>
          <w:lang w:val="en-US"/>
        </w:rPr>
        <w:t>2</w:t>
      </w:r>
      <w:r>
        <w:rPr>
          <w:rFonts w:hint="default" w:ascii="Times New Roman" w:hAnsi="Times New Roman" w:eastAsia="宋体" w:cs="Times New Roman"/>
          <w:color w:val="auto"/>
        </w:rPr>
        <w:t>.6-1</w:t>
      </w:r>
      <w:r>
        <w:rPr>
          <w:rFonts w:hint="default" w:ascii="Times New Roman" w:hAnsi="Times New Roman" w:eastAsia="宋体" w:cs="Times New Roman"/>
          <w:color w:val="auto"/>
          <w:lang w:eastAsia="zh-CN"/>
        </w:rPr>
        <w:t>。</w:t>
      </w:r>
    </w:p>
    <w:p w14:paraId="1B43D5A1">
      <w:pPr>
        <w:pStyle w:val="14"/>
        <w:bidi w:val="0"/>
        <w:rPr>
          <w:rFonts w:hint="default" w:ascii="Times New Roman" w:hAnsi="Times New Roman" w:cs="Times New Roman"/>
          <w:color w:val="FF0000"/>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2.6</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w:t>
      </w:r>
      <w:r>
        <w:rPr>
          <w:rFonts w:hint="default" w:ascii="Times New Roman" w:hAnsi="Times New Roman" w:cs="Times New Roman"/>
          <w:color w:val="FF0000"/>
        </w:rPr>
        <w:fldChar w:fldCharType="end"/>
      </w:r>
      <w:r>
        <w:rPr>
          <w:rFonts w:hint="default" w:ascii="Times New Roman" w:hAnsi="Times New Roman" w:cs="Times New Roman"/>
          <w:color w:val="FF0000"/>
        </w:rPr>
        <w:t>项目评价范围</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6"/>
        <w:gridCol w:w="1212"/>
        <w:gridCol w:w="1072"/>
        <w:gridCol w:w="5493"/>
      </w:tblGrid>
      <w:tr w14:paraId="17A0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0"/>
            <w:vAlign w:val="center"/>
          </w:tcPr>
          <w:p w14:paraId="485AAC1E">
            <w:pPr>
              <w:pStyle w:val="69"/>
              <w:spacing w:before="12" w:line="269" w:lineRule="exact"/>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序号</w:t>
            </w:r>
          </w:p>
        </w:tc>
        <w:tc>
          <w:tcPr>
            <w:tcW w:w="728" w:type="pct"/>
            <w:noWrap w:val="0"/>
            <w:vAlign w:val="center"/>
          </w:tcPr>
          <w:p w14:paraId="4E0FD546">
            <w:pPr>
              <w:pStyle w:val="69"/>
              <w:spacing w:before="12" w:line="269" w:lineRule="exact"/>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项目</w:t>
            </w:r>
          </w:p>
        </w:tc>
        <w:tc>
          <w:tcPr>
            <w:tcW w:w="644" w:type="pct"/>
            <w:noWrap w:val="0"/>
            <w:vAlign w:val="center"/>
          </w:tcPr>
          <w:p w14:paraId="33312ADE">
            <w:pPr>
              <w:pStyle w:val="69"/>
              <w:spacing w:before="12" w:line="269" w:lineRule="exact"/>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评价等级</w:t>
            </w:r>
          </w:p>
        </w:tc>
        <w:tc>
          <w:tcPr>
            <w:tcW w:w="3298" w:type="pct"/>
            <w:noWrap w:val="0"/>
            <w:vAlign w:val="center"/>
          </w:tcPr>
          <w:p w14:paraId="760A63C5">
            <w:pPr>
              <w:pStyle w:val="69"/>
              <w:tabs>
                <w:tab w:val="left" w:pos="459"/>
                <w:tab w:val="left" w:pos="879"/>
                <w:tab w:val="left" w:pos="1299"/>
              </w:tabs>
              <w:spacing w:before="12" w:line="269" w:lineRule="exact"/>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评价范围</w:t>
            </w:r>
          </w:p>
        </w:tc>
      </w:tr>
      <w:tr w14:paraId="410A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0"/>
            <w:vAlign w:val="center"/>
          </w:tcPr>
          <w:p w14:paraId="24185D41">
            <w:pPr>
              <w:pStyle w:val="69"/>
              <w:spacing w:before="65"/>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1</w:t>
            </w:r>
          </w:p>
        </w:tc>
        <w:tc>
          <w:tcPr>
            <w:tcW w:w="728" w:type="pct"/>
            <w:noWrap w:val="0"/>
            <w:vAlign w:val="center"/>
          </w:tcPr>
          <w:p w14:paraId="0D92C11D">
            <w:pPr>
              <w:pStyle w:val="69"/>
              <w:spacing w:before="51"/>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环境空气</w:t>
            </w:r>
          </w:p>
        </w:tc>
        <w:tc>
          <w:tcPr>
            <w:tcW w:w="644" w:type="pct"/>
            <w:noWrap w:val="0"/>
            <w:vAlign w:val="center"/>
          </w:tcPr>
          <w:p w14:paraId="77DE9E4E">
            <w:pPr>
              <w:pStyle w:val="69"/>
              <w:spacing w:before="51"/>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lang w:val="en-US" w:eastAsia="zh-CN"/>
              </w:rPr>
              <w:t>二</w:t>
            </w:r>
            <w:r>
              <w:rPr>
                <w:rFonts w:hint="default" w:ascii="Times New Roman" w:hAnsi="Times New Roman" w:cs="Times New Roman"/>
                <w:color w:val="FF0000"/>
                <w:sz w:val="21"/>
                <w:highlight w:val="none"/>
              </w:rPr>
              <w:t>级</w:t>
            </w:r>
          </w:p>
        </w:tc>
        <w:tc>
          <w:tcPr>
            <w:tcW w:w="3298" w:type="pct"/>
            <w:noWrap w:val="0"/>
            <w:vAlign w:val="center"/>
          </w:tcPr>
          <w:p w14:paraId="0A86435E">
            <w:pPr>
              <w:pStyle w:val="69"/>
              <w:spacing w:before="51"/>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场址为中心，边长为</w:t>
            </w:r>
            <w:r>
              <w:rPr>
                <w:rFonts w:hint="default" w:ascii="Times New Roman" w:hAnsi="Times New Roman" w:eastAsia="Times New Roman" w:cs="Times New Roman"/>
                <w:color w:val="FF0000"/>
                <w:sz w:val="21"/>
                <w:highlight w:val="none"/>
              </w:rPr>
              <w:t>5km</w:t>
            </w:r>
            <w:r>
              <w:rPr>
                <w:rFonts w:hint="default" w:ascii="Times New Roman" w:hAnsi="Times New Roman" w:cs="Times New Roman"/>
                <w:color w:val="FF0000"/>
                <w:sz w:val="21"/>
                <w:highlight w:val="none"/>
              </w:rPr>
              <w:t>的矩形范围</w:t>
            </w:r>
          </w:p>
        </w:tc>
      </w:tr>
      <w:tr w14:paraId="78A1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0"/>
            <w:vAlign w:val="center"/>
          </w:tcPr>
          <w:p w14:paraId="6B8157F4">
            <w:pPr>
              <w:pStyle w:val="69"/>
              <w:spacing w:before="65"/>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2</w:t>
            </w:r>
          </w:p>
        </w:tc>
        <w:tc>
          <w:tcPr>
            <w:tcW w:w="728" w:type="pct"/>
            <w:noWrap w:val="0"/>
            <w:vAlign w:val="center"/>
          </w:tcPr>
          <w:p w14:paraId="55EA6AF9">
            <w:pPr>
              <w:pStyle w:val="69"/>
              <w:spacing w:before="51"/>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地表水</w:t>
            </w:r>
          </w:p>
        </w:tc>
        <w:tc>
          <w:tcPr>
            <w:tcW w:w="644" w:type="pct"/>
            <w:noWrap w:val="0"/>
            <w:vAlign w:val="center"/>
          </w:tcPr>
          <w:p w14:paraId="1EBA271D">
            <w:pPr>
              <w:pStyle w:val="69"/>
              <w:spacing w:before="51"/>
              <w:ind w:left="0" w:leftChars="0" w:right="-10" w:rightChars="0" w:firstLine="0" w:firstLineChars="0"/>
              <w:jc w:val="center"/>
              <w:rPr>
                <w:rFonts w:hint="default" w:ascii="Times New Roman" w:hAnsi="Times New Roman"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三级B</w:t>
            </w:r>
          </w:p>
        </w:tc>
        <w:tc>
          <w:tcPr>
            <w:tcW w:w="3298" w:type="pct"/>
            <w:noWrap w:val="0"/>
            <w:vAlign w:val="center"/>
          </w:tcPr>
          <w:p w14:paraId="1B7939B5">
            <w:pPr>
              <w:pStyle w:val="69"/>
              <w:spacing w:before="51"/>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w:t>
            </w:r>
          </w:p>
        </w:tc>
      </w:tr>
      <w:tr w14:paraId="67E1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328" w:type="pct"/>
            <w:noWrap w:val="0"/>
            <w:vAlign w:val="center"/>
          </w:tcPr>
          <w:p w14:paraId="6AA6C8FB">
            <w:pPr>
              <w:pStyle w:val="69"/>
              <w:spacing w:before="115"/>
              <w:ind w:left="0" w:leftChars="0" w:right="-10" w:rightChars="0" w:firstLine="0" w:firstLineChars="0"/>
              <w:jc w:val="center"/>
              <w:rPr>
                <w:rFonts w:hint="default" w:ascii="Times New Roman" w:hAnsi="Times New Roman" w:eastAsia="宋体" w:cs="Times New Roman"/>
                <w:color w:val="FF0000"/>
                <w:sz w:val="21"/>
                <w:highlight w:val="none"/>
                <w:lang w:eastAsia="zh-CN"/>
              </w:rPr>
            </w:pPr>
            <w:r>
              <w:rPr>
                <w:rFonts w:hint="default" w:ascii="Times New Roman" w:hAnsi="Times New Roman" w:cs="Times New Roman"/>
                <w:color w:val="FF0000"/>
                <w:sz w:val="21"/>
                <w:highlight w:val="none"/>
                <w:lang w:val="en-US" w:eastAsia="zh-CN"/>
              </w:rPr>
              <w:t>3</w:t>
            </w:r>
          </w:p>
        </w:tc>
        <w:tc>
          <w:tcPr>
            <w:tcW w:w="728" w:type="pct"/>
            <w:noWrap w:val="0"/>
            <w:vAlign w:val="center"/>
          </w:tcPr>
          <w:p w14:paraId="7A80441A">
            <w:pPr>
              <w:pStyle w:val="69"/>
              <w:spacing w:before="102"/>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地下水环境</w:t>
            </w:r>
          </w:p>
        </w:tc>
        <w:tc>
          <w:tcPr>
            <w:tcW w:w="644" w:type="pct"/>
            <w:noWrap w:val="0"/>
            <w:vAlign w:val="center"/>
          </w:tcPr>
          <w:p w14:paraId="1B3E38E9">
            <w:pPr>
              <w:pStyle w:val="69"/>
              <w:spacing w:before="102"/>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三级</w:t>
            </w:r>
          </w:p>
        </w:tc>
        <w:tc>
          <w:tcPr>
            <w:tcW w:w="3298" w:type="pct"/>
            <w:noWrap w:val="0"/>
            <w:vAlign w:val="center"/>
          </w:tcPr>
          <w:p w14:paraId="7B3B1531">
            <w:pPr>
              <w:pStyle w:val="69"/>
              <w:spacing w:line="236" w:lineRule="exact"/>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以场址为中心，地下水流向为主轴，上游东</w:t>
            </w:r>
            <w:r>
              <w:rPr>
                <w:rFonts w:hint="default" w:ascii="Times New Roman" w:hAnsi="Times New Roman" w:cs="Times New Roman"/>
                <w:color w:val="FF0000"/>
                <w:sz w:val="21"/>
                <w:highlight w:val="none"/>
                <w:lang w:val="en-US" w:eastAsia="zh-CN"/>
              </w:rPr>
              <w:t>南</w:t>
            </w:r>
            <w:r>
              <w:rPr>
                <w:rFonts w:hint="default" w:ascii="Times New Roman" w:hAnsi="Times New Roman" w:cs="Times New Roman"/>
                <w:color w:val="FF0000"/>
                <w:sz w:val="21"/>
                <w:highlight w:val="none"/>
              </w:rPr>
              <w:t>侧1km，下游西</w:t>
            </w:r>
            <w:r>
              <w:rPr>
                <w:rFonts w:hint="default" w:ascii="Times New Roman" w:hAnsi="Times New Roman" w:cs="Times New Roman"/>
                <w:color w:val="FF0000"/>
                <w:sz w:val="21"/>
                <w:highlight w:val="none"/>
                <w:lang w:val="en-US" w:eastAsia="zh-CN"/>
              </w:rPr>
              <w:t>北</w:t>
            </w:r>
            <w:r>
              <w:rPr>
                <w:rFonts w:hint="default" w:ascii="Times New Roman" w:hAnsi="Times New Roman" w:cs="Times New Roman"/>
                <w:color w:val="FF0000"/>
                <w:sz w:val="21"/>
                <w:highlight w:val="none"/>
              </w:rPr>
              <w:t>侧2km，向左右各延伸1km，总面积6km</w:t>
            </w:r>
            <w:r>
              <w:rPr>
                <w:rFonts w:hint="default" w:ascii="Times New Roman" w:hAnsi="Times New Roman" w:cs="Times New Roman"/>
                <w:color w:val="FF0000"/>
                <w:sz w:val="21"/>
                <w:highlight w:val="none"/>
                <w:vertAlign w:val="superscript"/>
              </w:rPr>
              <w:t>2</w:t>
            </w:r>
            <w:r>
              <w:rPr>
                <w:rFonts w:hint="default" w:ascii="Times New Roman" w:hAnsi="Times New Roman" w:cs="Times New Roman"/>
                <w:color w:val="FF0000"/>
                <w:sz w:val="21"/>
                <w:highlight w:val="none"/>
              </w:rPr>
              <w:t>的矩形区域。</w:t>
            </w:r>
          </w:p>
        </w:tc>
      </w:tr>
      <w:tr w14:paraId="6CE1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0"/>
            <w:vAlign w:val="center"/>
          </w:tcPr>
          <w:p w14:paraId="31E542B3">
            <w:pPr>
              <w:pStyle w:val="69"/>
              <w:spacing w:before="65"/>
              <w:ind w:left="0" w:leftChars="0" w:right="-10" w:rightChars="0" w:firstLine="0" w:firstLineChars="0"/>
              <w:jc w:val="center"/>
              <w:rPr>
                <w:rFonts w:hint="default" w:ascii="Times New Roman" w:hAnsi="Times New Roman" w:eastAsia="宋体" w:cs="Times New Roman"/>
                <w:color w:val="FF0000"/>
                <w:sz w:val="21"/>
                <w:highlight w:val="none"/>
                <w:lang w:eastAsia="zh-CN"/>
              </w:rPr>
            </w:pPr>
            <w:r>
              <w:rPr>
                <w:rFonts w:hint="default" w:ascii="Times New Roman" w:hAnsi="Times New Roman" w:cs="Times New Roman"/>
                <w:color w:val="FF0000"/>
                <w:sz w:val="21"/>
                <w:highlight w:val="none"/>
                <w:lang w:val="en-US" w:eastAsia="zh-CN"/>
              </w:rPr>
              <w:t>4</w:t>
            </w:r>
          </w:p>
        </w:tc>
        <w:tc>
          <w:tcPr>
            <w:tcW w:w="728" w:type="pct"/>
            <w:noWrap w:val="0"/>
            <w:vAlign w:val="center"/>
          </w:tcPr>
          <w:p w14:paraId="1E6559EF">
            <w:pPr>
              <w:pStyle w:val="69"/>
              <w:spacing w:before="51"/>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声环境</w:t>
            </w:r>
          </w:p>
        </w:tc>
        <w:tc>
          <w:tcPr>
            <w:tcW w:w="644" w:type="pct"/>
            <w:noWrap w:val="0"/>
            <w:vAlign w:val="center"/>
          </w:tcPr>
          <w:p w14:paraId="71C032DC">
            <w:pPr>
              <w:pStyle w:val="69"/>
              <w:spacing w:before="51"/>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二级</w:t>
            </w:r>
          </w:p>
        </w:tc>
        <w:tc>
          <w:tcPr>
            <w:tcW w:w="3298" w:type="pct"/>
            <w:noWrap w:val="0"/>
            <w:vAlign w:val="center"/>
          </w:tcPr>
          <w:p w14:paraId="75771B4B">
            <w:pPr>
              <w:pStyle w:val="69"/>
              <w:spacing w:before="51"/>
              <w:ind w:left="0" w:leftChars="0" w:right="-10" w:rightChars="0" w:firstLine="0" w:firstLineChars="0"/>
              <w:jc w:val="center"/>
              <w:rPr>
                <w:rFonts w:hint="default" w:ascii="Times New Roman" w:hAnsi="Times New Roman" w:eastAsia="Times New Roman" w:cs="Times New Roman"/>
                <w:color w:val="FF0000"/>
                <w:sz w:val="21"/>
                <w:highlight w:val="none"/>
              </w:rPr>
            </w:pPr>
            <w:r>
              <w:rPr>
                <w:rFonts w:hint="default" w:ascii="Times New Roman" w:hAnsi="Times New Roman" w:cs="Times New Roman"/>
                <w:color w:val="FF0000"/>
                <w:sz w:val="21"/>
                <w:highlight w:val="none"/>
              </w:rPr>
              <w:t>厂界围墙向外200m范围，厂界噪声为厂界外1m</w:t>
            </w:r>
          </w:p>
        </w:tc>
      </w:tr>
      <w:tr w14:paraId="509B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0"/>
            <w:vAlign w:val="center"/>
          </w:tcPr>
          <w:p w14:paraId="1C60E2B1">
            <w:pPr>
              <w:pStyle w:val="69"/>
              <w:spacing w:before="63"/>
              <w:ind w:left="0" w:leftChars="0" w:right="-10" w:rightChars="0" w:firstLine="0" w:firstLineChars="0"/>
              <w:jc w:val="center"/>
              <w:rPr>
                <w:rFonts w:hint="default" w:ascii="Times New Roman" w:hAnsi="Times New Roman" w:eastAsia="宋体" w:cs="Times New Roman"/>
                <w:color w:val="FF0000"/>
                <w:sz w:val="21"/>
                <w:highlight w:val="none"/>
                <w:lang w:eastAsia="zh-CN"/>
              </w:rPr>
            </w:pPr>
            <w:r>
              <w:rPr>
                <w:rFonts w:hint="default" w:ascii="Times New Roman" w:hAnsi="Times New Roman" w:cs="Times New Roman"/>
                <w:color w:val="FF0000"/>
                <w:sz w:val="21"/>
                <w:highlight w:val="none"/>
                <w:lang w:val="en-US" w:eastAsia="zh-CN"/>
              </w:rPr>
              <w:t>5</w:t>
            </w:r>
          </w:p>
        </w:tc>
        <w:tc>
          <w:tcPr>
            <w:tcW w:w="728" w:type="pct"/>
            <w:noWrap w:val="0"/>
            <w:vAlign w:val="center"/>
          </w:tcPr>
          <w:p w14:paraId="019DF6FF">
            <w:pPr>
              <w:pStyle w:val="69"/>
              <w:spacing w:before="49"/>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生态环境</w:t>
            </w:r>
          </w:p>
        </w:tc>
        <w:tc>
          <w:tcPr>
            <w:tcW w:w="644" w:type="pct"/>
            <w:noWrap w:val="0"/>
            <w:vAlign w:val="center"/>
          </w:tcPr>
          <w:p w14:paraId="208EC91A">
            <w:pPr>
              <w:pStyle w:val="69"/>
              <w:spacing w:before="49"/>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三级</w:t>
            </w:r>
          </w:p>
        </w:tc>
        <w:tc>
          <w:tcPr>
            <w:tcW w:w="3298" w:type="pct"/>
            <w:noWrap w:val="0"/>
            <w:vAlign w:val="center"/>
          </w:tcPr>
          <w:p w14:paraId="33F7962B">
            <w:pPr>
              <w:pStyle w:val="69"/>
              <w:spacing w:before="49"/>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lang w:eastAsia="zh-CN"/>
              </w:rPr>
              <w:t>养殖场</w:t>
            </w:r>
            <w:r>
              <w:rPr>
                <w:rFonts w:hint="default" w:ascii="Times New Roman" w:hAnsi="Times New Roman" w:cs="Times New Roman"/>
                <w:color w:val="FF0000"/>
                <w:sz w:val="21"/>
                <w:highlight w:val="none"/>
              </w:rPr>
              <w:t>生态环境评价范围为工程用地范围及周边农田区域。</w:t>
            </w:r>
          </w:p>
        </w:tc>
      </w:tr>
      <w:tr w14:paraId="20C0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0"/>
            <w:vAlign w:val="center"/>
          </w:tcPr>
          <w:p w14:paraId="70A05FD7">
            <w:pPr>
              <w:pStyle w:val="69"/>
              <w:spacing w:before="63"/>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6</w:t>
            </w:r>
          </w:p>
        </w:tc>
        <w:tc>
          <w:tcPr>
            <w:tcW w:w="728" w:type="pct"/>
            <w:noWrap w:val="0"/>
            <w:vAlign w:val="center"/>
          </w:tcPr>
          <w:p w14:paraId="6E57ACA1">
            <w:pPr>
              <w:pStyle w:val="69"/>
              <w:spacing w:before="49"/>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土壤环境</w:t>
            </w:r>
          </w:p>
        </w:tc>
        <w:tc>
          <w:tcPr>
            <w:tcW w:w="644" w:type="pct"/>
            <w:noWrap w:val="0"/>
            <w:vAlign w:val="center"/>
          </w:tcPr>
          <w:p w14:paraId="419BB10B">
            <w:pPr>
              <w:pStyle w:val="69"/>
              <w:spacing w:before="49"/>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lang w:val="en-US" w:eastAsia="zh-CN"/>
              </w:rPr>
              <w:t>三</w:t>
            </w:r>
            <w:r>
              <w:rPr>
                <w:rFonts w:hint="default" w:ascii="Times New Roman" w:hAnsi="Times New Roman" w:cs="Times New Roman"/>
                <w:color w:val="FF0000"/>
                <w:sz w:val="21"/>
                <w:highlight w:val="none"/>
              </w:rPr>
              <w:t>级</w:t>
            </w:r>
          </w:p>
        </w:tc>
        <w:tc>
          <w:tcPr>
            <w:tcW w:w="3298" w:type="pct"/>
            <w:noWrap w:val="0"/>
            <w:vAlign w:val="center"/>
          </w:tcPr>
          <w:p w14:paraId="0079D328">
            <w:pPr>
              <w:pStyle w:val="69"/>
              <w:spacing w:before="49"/>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项目区占地范围内及占地范围外</w:t>
            </w:r>
            <w:r>
              <w:rPr>
                <w:rFonts w:hint="default" w:ascii="Times New Roman" w:hAnsi="Times New Roman" w:cs="Times New Roman"/>
                <w:color w:val="FF0000"/>
                <w:sz w:val="21"/>
                <w:highlight w:val="none"/>
                <w:lang w:val="en-US" w:eastAsia="zh-CN"/>
              </w:rPr>
              <w:t>5</w:t>
            </w:r>
            <w:r>
              <w:rPr>
                <w:rFonts w:hint="default" w:ascii="Times New Roman" w:hAnsi="Times New Roman" w:cs="Times New Roman"/>
                <w:color w:val="FF0000"/>
                <w:sz w:val="21"/>
                <w:highlight w:val="none"/>
              </w:rPr>
              <w:t>0m范围内作为评价范围</w:t>
            </w:r>
          </w:p>
        </w:tc>
      </w:tr>
      <w:tr w14:paraId="6E4A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328" w:type="pct"/>
            <w:noWrap w:val="0"/>
            <w:vAlign w:val="center"/>
          </w:tcPr>
          <w:p w14:paraId="762F8212">
            <w:pPr>
              <w:pStyle w:val="69"/>
              <w:ind w:left="0" w:leftChars="0" w:right="-10" w:rightChars="0"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en-US" w:eastAsia="zh-CN"/>
              </w:rPr>
              <w:t>7</w:t>
            </w:r>
          </w:p>
        </w:tc>
        <w:tc>
          <w:tcPr>
            <w:tcW w:w="728" w:type="pct"/>
            <w:noWrap w:val="0"/>
            <w:vAlign w:val="center"/>
          </w:tcPr>
          <w:p w14:paraId="3D47E451">
            <w:pPr>
              <w:pStyle w:val="69"/>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环境风险</w:t>
            </w:r>
          </w:p>
        </w:tc>
        <w:tc>
          <w:tcPr>
            <w:tcW w:w="644" w:type="pct"/>
            <w:noWrap w:val="0"/>
            <w:vAlign w:val="center"/>
          </w:tcPr>
          <w:p w14:paraId="7CBC9E83">
            <w:pPr>
              <w:pStyle w:val="69"/>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简单分析</w:t>
            </w:r>
          </w:p>
        </w:tc>
        <w:tc>
          <w:tcPr>
            <w:tcW w:w="3298" w:type="pct"/>
            <w:noWrap w:val="0"/>
            <w:vAlign w:val="center"/>
          </w:tcPr>
          <w:p w14:paraId="0BDF3A80">
            <w:pPr>
              <w:pStyle w:val="69"/>
              <w:spacing w:before="3" w:line="240" w:lineRule="exact"/>
              <w:ind w:left="0" w:leftChars="0" w:right="-10" w:rightChars="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r>
    </w:tbl>
    <w:p w14:paraId="63AB8DC3">
      <w:pPr>
        <w:pStyle w:val="4"/>
        <w:bidi w:val="0"/>
        <w:rPr>
          <w:rFonts w:hint="default" w:ascii="Times New Roman" w:hAnsi="Times New Roman" w:cs="Times New Roman"/>
          <w:color w:val="auto"/>
        </w:rPr>
      </w:pPr>
      <w:r>
        <w:rPr>
          <w:rFonts w:hint="default" w:ascii="Times New Roman" w:hAnsi="Times New Roman" w:cs="Times New Roman"/>
          <w:color w:val="auto"/>
        </w:rPr>
        <w:t>环境保护目标</w:t>
      </w:r>
    </w:p>
    <w:p w14:paraId="42147E43">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本项目养殖场评价范围内生态环境保护目标详见表2.6-2和2.6-3。</w:t>
      </w:r>
    </w:p>
    <w:p w14:paraId="2B06E3F3">
      <w:pPr>
        <w:pStyle w:val="14"/>
        <w:bidi w:val="0"/>
        <w:rPr>
          <w:rFonts w:hint="default" w:ascii="Times New Roman" w:hAnsi="Times New Roman" w:cs="Times New Roman"/>
          <w:color w:val="FF0000"/>
          <w:lang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2.6</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cs="Times New Roman"/>
          <w:color w:val="FF0000"/>
        </w:rPr>
        <w:tab/>
      </w:r>
      <w:r>
        <w:rPr>
          <w:rFonts w:hint="default" w:ascii="Times New Roman" w:hAnsi="Times New Roman" w:cs="Times New Roman"/>
          <w:color w:val="FF0000"/>
          <w:lang w:val="en-US" w:eastAsia="zh-CN"/>
        </w:rPr>
        <w:t>评价范围内</w:t>
      </w:r>
      <w:r>
        <w:rPr>
          <w:rFonts w:hint="default" w:ascii="Times New Roman" w:hAnsi="Times New Roman" w:cs="Times New Roman"/>
          <w:color w:val="FF0000"/>
        </w:rPr>
        <w:t>环境保护目标及其保护级别</w:t>
      </w: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养殖场</w:t>
      </w:r>
      <w:r>
        <w:rPr>
          <w:rFonts w:hint="default" w:ascii="Times New Roman" w:hAnsi="Times New Roman" w:cs="Times New Roman"/>
          <w:color w:val="FF0000"/>
          <w:lang w:eastAsia="zh-CN"/>
        </w:rPr>
        <w:t>）</w:t>
      </w:r>
    </w:p>
    <w:tbl>
      <w:tblPr>
        <w:tblStyle w:val="33"/>
        <w:tblW w:w="52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1"/>
        <w:gridCol w:w="1053"/>
        <w:gridCol w:w="529"/>
        <w:gridCol w:w="833"/>
        <w:gridCol w:w="750"/>
        <w:gridCol w:w="784"/>
        <w:gridCol w:w="1221"/>
        <w:gridCol w:w="2958"/>
      </w:tblGrid>
      <w:tr w14:paraId="7CAA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338" w:type="pct"/>
            <w:noWrap w:val="0"/>
            <w:vAlign w:val="center"/>
          </w:tcPr>
          <w:p w14:paraId="056EF3E0">
            <w:pPr>
              <w:pStyle w:val="69"/>
              <w:spacing w:before="3" w:line="259"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环境要素</w:t>
            </w:r>
          </w:p>
        </w:tc>
        <w:tc>
          <w:tcPr>
            <w:tcW w:w="603" w:type="pct"/>
            <w:noWrap w:val="0"/>
            <w:vAlign w:val="center"/>
          </w:tcPr>
          <w:p w14:paraId="4D4C74E6">
            <w:pPr>
              <w:pStyle w:val="69"/>
              <w:spacing w:before="3" w:line="259"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保护目标</w:t>
            </w:r>
          </w:p>
        </w:tc>
        <w:tc>
          <w:tcPr>
            <w:tcW w:w="780" w:type="pct"/>
            <w:gridSpan w:val="2"/>
            <w:noWrap w:val="0"/>
            <w:vAlign w:val="center"/>
          </w:tcPr>
          <w:p w14:paraId="180B5434">
            <w:pPr>
              <w:pStyle w:val="69"/>
              <w:spacing w:before="3" w:line="259"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eastAsia="宋体" w:cs="Times New Roman"/>
                <w:color w:val="FF0000"/>
                <w:kern w:val="0"/>
                <w:sz w:val="21"/>
                <w:szCs w:val="21"/>
                <w:lang w:val="en-US" w:eastAsia="zh-CN" w:bidi="ar"/>
              </w:rPr>
              <w:t>坐标（经纬度）</w:t>
            </w:r>
          </w:p>
        </w:tc>
        <w:tc>
          <w:tcPr>
            <w:tcW w:w="430" w:type="pct"/>
            <w:noWrap w:val="0"/>
            <w:vAlign w:val="center"/>
          </w:tcPr>
          <w:p w14:paraId="7E74F51A">
            <w:pPr>
              <w:pStyle w:val="69"/>
              <w:spacing w:before="3" w:line="259"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相对厂址方位</w:t>
            </w:r>
          </w:p>
        </w:tc>
        <w:tc>
          <w:tcPr>
            <w:tcW w:w="449" w:type="pct"/>
            <w:noWrap w:val="0"/>
            <w:vAlign w:val="center"/>
          </w:tcPr>
          <w:p w14:paraId="3F19A419">
            <w:pPr>
              <w:pStyle w:val="69"/>
              <w:spacing w:before="3" w:line="259"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rPr>
              <w:t>相对厂界距离</w:t>
            </w:r>
          </w:p>
        </w:tc>
        <w:tc>
          <w:tcPr>
            <w:tcW w:w="700" w:type="pct"/>
            <w:noWrap w:val="0"/>
            <w:vAlign w:val="center"/>
          </w:tcPr>
          <w:p w14:paraId="13097A30">
            <w:pPr>
              <w:pStyle w:val="69"/>
              <w:spacing w:before="3" w:line="259"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功能要求</w:t>
            </w:r>
          </w:p>
        </w:tc>
        <w:tc>
          <w:tcPr>
            <w:tcW w:w="1696" w:type="pct"/>
            <w:noWrap w:val="0"/>
            <w:vAlign w:val="center"/>
          </w:tcPr>
          <w:p w14:paraId="5022C743">
            <w:pPr>
              <w:pStyle w:val="69"/>
              <w:spacing w:before="3" w:line="259"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保护级别</w:t>
            </w:r>
          </w:p>
        </w:tc>
      </w:tr>
      <w:tr w14:paraId="67F8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38" w:type="pct"/>
            <w:noWrap w:val="0"/>
            <w:vAlign w:val="center"/>
          </w:tcPr>
          <w:p w14:paraId="0B30B32F">
            <w:pPr>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环境空气</w:t>
            </w:r>
          </w:p>
        </w:tc>
        <w:tc>
          <w:tcPr>
            <w:tcW w:w="603" w:type="pct"/>
            <w:noWrap w:val="0"/>
            <w:vAlign w:val="center"/>
          </w:tcPr>
          <w:p w14:paraId="1F4E1E52">
            <w:pPr>
              <w:keepNext w:val="0"/>
              <w:keepLines w:val="0"/>
              <w:widowControl/>
              <w:suppressLineNumbers w:val="0"/>
              <w:jc w:val="center"/>
              <w:rPr>
                <w:rFonts w:hint="default" w:ascii="Times New Roman" w:hAnsi="Times New Roman" w:eastAsia="宋体" w:cs="Times New Roman"/>
                <w:color w:val="FF0000"/>
                <w:sz w:val="21"/>
                <w:szCs w:val="21"/>
                <w:highlight w:val="none"/>
                <w:lang w:val="en-US" w:eastAsia="zh-CN" w:bidi="zh-CN"/>
              </w:rPr>
            </w:pPr>
            <w:r>
              <w:rPr>
                <w:rFonts w:hint="default" w:ascii="Times New Roman" w:hAnsi="Times New Roman" w:eastAsia="宋体" w:cs="Times New Roman"/>
                <w:color w:val="FF0000"/>
                <w:kern w:val="0"/>
                <w:sz w:val="21"/>
                <w:szCs w:val="21"/>
                <w:lang w:val="en-US" w:eastAsia="zh-CN" w:bidi="ar"/>
              </w:rPr>
              <w:t>一八八团场</w:t>
            </w:r>
            <w:r>
              <w:rPr>
                <w:rFonts w:hint="default" w:ascii="Times New Roman" w:hAnsi="Times New Roman" w:cs="Times New Roman"/>
                <w:color w:val="FF0000"/>
                <w:lang w:val="en-US" w:eastAsia="zh-CN"/>
              </w:rPr>
              <w:t>9连</w:t>
            </w:r>
          </w:p>
        </w:tc>
        <w:tc>
          <w:tcPr>
            <w:tcW w:w="780" w:type="pct"/>
            <w:gridSpan w:val="2"/>
            <w:noWrap w:val="0"/>
            <w:vAlign w:val="center"/>
          </w:tcPr>
          <w:p w14:paraId="5D7D4F8D">
            <w:pPr>
              <w:keepNext w:val="0"/>
              <w:keepLines w:val="0"/>
              <w:widowControl/>
              <w:suppressLineNumbers w:val="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E87.675325,N47.327225</w:t>
            </w:r>
          </w:p>
        </w:tc>
        <w:tc>
          <w:tcPr>
            <w:tcW w:w="430" w:type="pct"/>
            <w:noWrap w:val="0"/>
            <w:vAlign w:val="center"/>
          </w:tcPr>
          <w:p w14:paraId="3D0E85FE">
            <w:pPr>
              <w:keepNext w:val="0"/>
              <w:keepLines w:val="0"/>
              <w:widowControl/>
              <w:suppressLineNumbers w:val="0"/>
              <w:jc w:val="center"/>
              <w:rPr>
                <w:rFonts w:hint="default" w:ascii="Times New Roman" w:hAnsi="Times New Roman" w:eastAsia="宋体" w:cs="Times New Roman"/>
                <w:color w:val="FF0000"/>
                <w:sz w:val="21"/>
                <w:szCs w:val="21"/>
                <w:highlight w:val="none"/>
                <w:lang w:val="zh-CN" w:eastAsia="zh-CN" w:bidi="zh-CN"/>
              </w:rPr>
            </w:pPr>
            <w:r>
              <w:rPr>
                <w:rFonts w:hint="default" w:ascii="Times New Roman" w:hAnsi="Times New Roman" w:eastAsia="宋体" w:cs="Times New Roman"/>
                <w:color w:val="FF0000"/>
                <w:kern w:val="0"/>
                <w:sz w:val="21"/>
                <w:szCs w:val="21"/>
                <w:lang w:val="en-US" w:eastAsia="zh-CN" w:bidi="ar"/>
              </w:rPr>
              <w:t>东南</w:t>
            </w:r>
          </w:p>
        </w:tc>
        <w:tc>
          <w:tcPr>
            <w:tcW w:w="449" w:type="pct"/>
            <w:noWrap w:val="0"/>
            <w:vAlign w:val="center"/>
          </w:tcPr>
          <w:p w14:paraId="31E3E2AA">
            <w:pPr>
              <w:keepNext w:val="0"/>
              <w:keepLines w:val="0"/>
              <w:widowControl/>
              <w:suppressLineNumbers w:val="0"/>
              <w:jc w:val="center"/>
              <w:rPr>
                <w:rFonts w:hint="default" w:ascii="Times New Roman" w:hAnsi="Times New Roman" w:cs="Times New Roman"/>
                <w:color w:val="FF0000"/>
                <w:sz w:val="21"/>
                <w:szCs w:val="21"/>
                <w:highlight w:val="none"/>
                <w:lang w:val="en-US" w:eastAsia="zh-CN" w:bidi="zh-CN"/>
              </w:rPr>
            </w:pPr>
            <w:r>
              <w:rPr>
                <w:rFonts w:hint="default" w:ascii="Times New Roman" w:hAnsi="Times New Roman" w:eastAsia="宋体" w:cs="Times New Roman"/>
                <w:color w:val="FF0000"/>
                <w:kern w:val="0"/>
                <w:sz w:val="21"/>
                <w:szCs w:val="21"/>
                <w:lang w:val="en-US" w:eastAsia="zh-CN" w:bidi="ar"/>
              </w:rPr>
              <w:t>644</w:t>
            </w:r>
            <w:r>
              <w:rPr>
                <w:rFonts w:hint="default" w:ascii="Times New Roman" w:hAnsi="Times New Roman" w:cs="Times New Roman"/>
                <w:color w:val="FF0000"/>
                <w:sz w:val="21"/>
                <w:szCs w:val="21"/>
                <w:highlight w:val="none"/>
                <w:lang w:val="en-US" w:eastAsia="zh-CN"/>
              </w:rPr>
              <w:t>m</w:t>
            </w:r>
          </w:p>
        </w:tc>
        <w:tc>
          <w:tcPr>
            <w:tcW w:w="700" w:type="pct"/>
            <w:noWrap w:val="0"/>
            <w:vAlign w:val="center"/>
          </w:tcPr>
          <w:p w14:paraId="0CF4B7CD">
            <w:pPr>
              <w:pStyle w:val="69"/>
              <w:spacing w:before="5" w:line="259"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zh-CN" w:eastAsia="zh-CN" w:bidi="zh-CN"/>
              </w:rPr>
            </w:pPr>
            <w:r>
              <w:rPr>
                <w:rFonts w:hint="default" w:ascii="Times New Roman" w:hAnsi="Times New Roman" w:cs="Times New Roman"/>
                <w:color w:val="FF0000"/>
                <w:sz w:val="21"/>
                <w:szCs w:val="21"/>
                <w:highlight w:val="none"/>
              </w:rPr>
              <w:t>居住区</w:t>
            </w:r>
            <w:r>
              <w:rPr>
                <w:rFonts w:hint="default" w:ascii="Times New Roman" w:hAnsi="Times New Roman" w:cs="Times New Roman"/>
                <w:color w:val="FF0000"/>
                <w:sz w:val="21"/>
                <w:szCs w:val="21"/>
                <w:highlight w:val="none"/>
                <w:lang w:eastAsia="zh-CN"/>
              </w:rPr>
              <w:t>（</w:t>
            </w:r>
            <w:r>
              <w:rPr>
                <w:rFonts w:hint="default" w:ascii="Times New Roman" w:hAnsi="Times New Roman" w:cs="Times New Roman"/>
                <w:color w:val="FF0000"/>
                <w:sz w:val="21"/>
                <w:szCs w:val="21"/>
                <w:highlight w:val="none"/>
                <w:lang w:val="en-US" w:eastAsia="zh-CN"/>
              </w:rPr>
              <w:t>2000人</w:t>
            </w:r>
            <w:r>
              <w:rPr>
                <w:rFonts w:hint="default" w:ascii="Times New Roman" w:hAnsi="Times New Roman" w:cs="Times New Roman"/>
                <w:color w:val="FF0000"/>
                <w:sz w:val="21"/>
                <w:szCs w:val="21"/>
                <w:highlight w:val="none"/>
                <w:lang w:eastAsia="zh-CN"/>
              </w:rPr>
              <w:t>）</w:t>
            </w:r>
          </w:p>
        </w:tc>
        <w:tc>
          <w:tcPr>
            <w:tcW w:w="1696" w:type="pct"/>
            <w:noWrap w:val="0"/>
            <w:vAlign w:val="center"/>
          </w:tcPr>
          <w:p w14:paraId="3A1C671D">
            <w:pPr>
              <w:widowControl/>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lang w:val="en-US" w:bidi="ar"/>
              </w:rPr>
              <w:t>《环境空气质量标准》（GB3095-2012）二级标准</w:t>
            </w:r>
          </w:p>
        </w:tc>
      </w:tr>
      <w:tr w14:paraId="07D1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38" w:type="pct"/>
            <w:noWrap w:val="0"/>
            <w:vAlign w:val="center"/>
          </w:tcPr>
          <w:p w14:paraId="778B7772">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地下水</w:t>
            </w:r>
          </w:p>
        </w:tc>
        <w:tc>
          <w:tcPr>
            <w:tcW w:w="1814" w:type="pct"/>
            <w:gridSpan w:val="4"/>
            <w:noWrap w:val="0"/>
            <w:vAlign w:val="center"/>
          </w:tcPr>
          <w:p w14:paraId="58459028">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场址区域评价范围内</w:t>
            </w:r>
          </w:p>
        </w:tc>
        <w:tc>
          <w:tcPr>
            <w:tcW w:w="449" w:type="pct"/>
            <w:noWrap w:val="0"/>
            <w:vAlign w:val="center"/>
          </w:tcPr>
          <w:p w14:paraId="0E4BBB3A">
            <w:pPr>
              <w:pStyle w:val="69"/>
              <w:tabs>
                <w:tab w:val="left" w:pos="265"/>
              </w:tabs>
              <w:spacing w:before="3" w:line="261"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w:t>
            </w:r>
          </w:p>
        </w:tc>
        <w:tc>
          <w:tcPr>
            <w:tcW w:w="700" w:type="pct"/>
            <w:noWrap w:val="0"/>
            <w:vAlign w:val="center"/>
          </w:tcPr>
          <w:p w14:paraId="6E74535E">
            <w:pPr>
              <w:pStyle w:val="69"/>
              <w:spacing w:before="5" w:line="259"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lang w:val="en-US" w:eastAsia="zh-CN"/>
              </w:rPr>
              <w:t>/</w:t>
            </w:r>
          </w:p>
        </w:tc>
        <w:tc>
          <w:tcPr>
            <w:tcW w:w="1696" w:type="pct"/>
            <w:noWrap w:val="0"/>
            <w:vAlign w:val="center"/>
          </w:tcPr>
          <w:p w14:paraId="0DA07152">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《地下水质量标准》（GB/T14848-2017）Ⅲ类</w:t>
            </w:r>
            <w:r>
              <w:rPr>
                <w:rFonts w:hint="default" w:ascii="Times New Roman" w:hAnsi="Times New Roman" w:cs="Times New Roman"/>
                <w:color w:val="FF0000"/>
                <w:sz w:val="21"/>
                <w:szCs w:val="21"/>
                <w:highlight w:val="none"/>
                <w:lang w:val="en-US" w:bidi="ar"/>
              </w:rPr>
              <w:t>标准</w:t>
            </w:r>
          </w:p>
        </w:tc>
      </w:tr>
      <w:tr w14:paraId="5253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38" w:type="pct"/>
            <w:noWrap w:val="0"/>
            <w:vAlign w:val="center"/>
          </w:tcPr>
          <w:p w14:paraId="6A5BA9A2">
            <w:pPr>
              <w:pStyle w:val="69"/>
              <w:spacing w:before="3" w:line="261"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生态环境</w:t>
            </w:r>
          </w:p>
        </w:tc>
        <w:tc>
          <w:tcPr>
            <w:tcW w:w="907" w:type="pct"/>
            <w:gridSpan w:val="2"/>
            <w:noWrap w:val="0"/>
            <w:vAlign w:val="center"/>
          </w:tcPr>
          <w:p w14:paraId="4F43B7B4">
            <w:pPr>
              <w:pStyle w:val="69"/>
              <w:spacing w:before="3" w:line="261"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rPr>
              <w:t>工程用地范围及</w:t>
            </w:r>
            <w:r>
              <w:rPr>
                <w:rFonts w:hint="default" w:ascii="Times New Roman" w:hAnsi="Times New Roman" w:cs="Times New Roman"/>
                <w:color w:val="FF0000"/>
                <w:sz w:val="21"/>
                <w:szCs w:val="21"/>
                <w:highlight w:val="none"/>
                <w:lang w:val="en-US" w:eastAsia="zh-CN"/>
              </w:rPr>
              <w:t>西侧</w:t>
            </w:r>
            <w:r>
              <w:rPr>
                <w:rFonts w:hint="default" w:ascii="Times New Roman" w:hAnsi="Times New Roman" w:cs="Times New Roman"/>
                <w:color w:val="FF0000"/>
                <w:sz w:val="21"/>
                <w:szCs w:val="21"/>
                <w:highlight w:val="none"/>
              </w:rPr>
              <w:t>农田区域</w:t>
            </w:r>
            <w:r>
              <w:rPr>
                <w:rFonts w:hint="default" w:ascii="Times New Roman" w:hAnsi="Times New Roman" w:cs="Times New Roman"/>
                <w:color w:val="FF0000"/>
                <w:sz w:val="21"/>
                <w:szCs w:val="21"/>
                <w:highlight w:val="none"/>
                <w:lang w:val="en-US" w:eastAsia="zh-CN"/>
              </w:rPr>
              <w:t>和西侧、东侧林地</w:t>
            </w:r>
          </w:p>
        </w:tc>
        <w:tc>
          <w:tcPr>
            <w:tcW w:w="907" w:type="pct"/>
            <w:gridSpan w:val="2"/>
            <w:noWrap w:val="0"/>
            <w:vAlign w:val="center"/>
          </w:tcPr>
          <w:p w14:paraId="7628E830">
            <w:pPr>
              <w:pStyle w:val="69"/>
              <w:spacing w:before="3" w:line="261"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西侧</w:t>
            </w:r>
            <w:r>
              <w:rPr>
                <w:rFonts w:hint="default" w:ascii="Times New Roman" w:hAnsi="Times New Roman" w:cs="Times New Roman"/>
                <w:color w:val="FF0000"/>
                <w:sz w:val="21"/>
                <w:szCs w:val="21"/>
                <w:highlight w:val="none"/>
              </w:rPr>
              <w:t>农田区域</w:t>
            </w:r>
            <w:r>
              <w:rPr>
                <w:rFonts w:hint="default" w:ascii="Times New Roman" w:hAnsi="Times New Roman" w:cs="Times New Roman"/>
                <w:color w:val="FF0000"/>
                <w:sz w:val="21"/>
                <w:szCs w:val="21"/>
                <w:highlight w:val="none"/>
                <w:lang w:val="en-US" w:eastAsia="zh-CN"/>
              </w:rPr>
              <w:t>和西侧、东侧林地</w:t>
            </w:r>
          </w:p>
        </w:tc>
        <w:tc>
          <w:tcPr>
            <w:tcW w:w="449" w:type="pct"/>
            <w:noWrap w:val="0"/>
            <w:vAlign w:val="center"/>
          </w:tcPr>
          <w:p w14:paraId="6E4A4941">
            <w:pPr>
              <w:pStyle w:val="69"/>
              <w:spacing w:before="3" w:line="261"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200</w:t>
            </w:r>
          </w:p>
        </w:tc>
        <w:tc>
          <w:tcPr>
            <w:tcW w:w="700" w:type="pct"/>
            <w:noWrap w:val="0"/>
            <w:vAlign w:val="center"/>
          </w:tcPr>
          <w:p w14:paraId="0292C242">
            <w:pPr>
              <w:pStyle w:val="69"/>
              <w:spacing w:before="5" w:line="259"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农用地</w:t>
            </w:r>
          </w:p>
        </w:tc>
        <w:tc>
          <w:tcPr>
            <w:tcW w:w="1696" w:type="pct"/>
            <w:noWrap w:val="0"/>
            <w:vAlign w:val="center"/>
          </w:tcPr>
          <w:p w14:paraId="19FA7D6D">
            <w:pPr>
              <w:pStyle w:val="69"/>
              <w:spacing w:before="3" w:line="261"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农用地不因本项目建设受到影响</w:t>
            </w:r>
          </w:p>
        </w:tc>
      </w:tr>
      <w:tr w14:paraId="4C9B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38" w:type="pct"/>
            <w:vMerge w:val="restart"/>
            <w:noWrap w:val="0"/>
            <w:vAlign w:val="center"/>
          </w:tcPr>
          <w:p w14:paraId="2F08B3D5">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土壤环境</w:t>
            </w:r>
          </w:p>
        </w:tc>
        <w:tc>
          <w:tcPr>
            <w:tcW w:w="1814" w:type="pct"/>
            <w:gridSpan w:val="4"/>
            <w:noWrap w:val="0"/>
            <w:vAlign w:val="center"/>
          </w:tcPr>
          <w:p w14:paraId="76B5D44A">
            <w:pPr>
              <w:pStyle w:val="69"/>
              <w:spacing w:before="3" w:line="261"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项目占地范围内</w:t>
            </w:r>
          </w:p>
        </w:tc>
        <w:tc>
          <w:tcPr>
            <w:tcW w:w="449" w:type="pct"/>
            <w:noWrap w:val="0"/>
            <w:vAlign w:val="center"/>
          </w:tcPr>
          <w:p w14:paraId="539B13A2">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w:t>
            </w:r>
          </w:p>
        </w:tc>
        <w:tc>
          <w:tcPr>
            <w:tcW w:w="700" w:type="pct"/>
            <w:noWrap w:val="0"/>
            <w:vAlign w:val="center"/>
          </w:tcPr>
          <w:p w14:paraId="5B1E503A">
            <w:pPr>
              <w:pStyle w:val="69"/>
              <w:spacing w:before="5" w:line="259"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设施农用地</w:t>
            </w:r>
          </w:p>
        </w:tc>
        <w:tc>
          <w:tcPr>
            <w:tcW w:w="1696" w:type="pct"/>
            <w:noWrap w:val="0"/>
            <w:vAlign w:val="center"/>
          </w:tcPr>
          <w:p w14:paraId="2788D97E">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《畜禽养殖产地环境评价规范》（HJ568-2010）中表4放牧区和畜禽养殖场、养殖小区土壤环境质量评价指标限值</w:t>
            </w:r>
          </w:p>
        </w:tc>
      </w:tr>
      <w:tr w14:paraId="0601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38" w:type="pct"/>
            <w:vMerge w:val="continue"/>
            <w:noWrap w:val="0"/>
            <w:vAlign w:val="center"/>
          </w:tcPr>
          <w:p w14:paraId="2AF4C831">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rPr>
            </w:pPr>
          </w:p>
        </w:tc>
        <w:tc>
          <w:tcPr>
            <w:tcW w:w="907" w:type="pct"/>
            <w:gridSpan w:val="2"/>
            <w:noWrap w:val="0"/>
            <w:vAlign w:val="center"/>
          </w:tcPr>
          <w:p w14:paraId="3A536E5C">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占地范围外</w:t>
            </w:r>
            <w:r>
              <w:rPr>
                <w:rFonts w:hint="default" w:ascii="Times New Roman" w:hAnsi="Times New Roman" w:cs="Times New Roman"/>
                <w:color w:val="FF0000"/>
                <w:sz w:val="21"/>
                <w:szCs w:val="21"/>
                <w:highlight w:val="none"/>
                <w:lang w:val="en-US" w:eastAsia="zh-CN"/>
              </w:rPr>
              <w:t>50</w:t>
            </w:r>
            <w:r>
              <w:rPr>
                <w:rFonts w:hint="default" w:ascii="Times New Roman" w:hAnsi="Times New Roman" w:cs="Times New Roman"/>
                <w:color w:val="FF0000"/>
                <w:sz w:val="21"/>
                <w:szCs w:val="21"/>
                <w:highlight w:val="none"/>
              </w:rPr>
              <w:t>m的区域</w:t>
            </w:r>
          </w:p>
        </w:tc>
        <w:tc>
          <w:tcPr>
            <w:tcW w:w="907" w:type="pct"/>
            <w:gridSpan w:val="2"/>
            <w:noWrap w:val="0"/>
            <w:vAlign w:val="center"/>
          </w:tcPr>
          <w:p w14:paraId="14CDB2D3">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lang w:val="en-US" w:eastAsia="zh-CN"/>
              </w:rPr>
              <w:t>西侧</w:t>
            </w:r>
            <w:r>
              <w:rPr>
                <w:rFonts w:hint="default" w:ascii="Times New Roman" w:hAnsi="Times New Roman" w:cs="Times New Roman"/>
                <w:color w:val="FF0000"/>
                <w:sz w:val="21"/>
                <w:szCs w:val="21"/>
                <w:highlight w:val="none"/>
              </w:rPr>
              <w:t>农田区域</w:t>
            </w:r>
            <w:r>
              <w:rPr>
                <w:rFonts w:hint="default" w:ascii="Times New Roman" w:hAnsi="Times New Roman" w:cs="Times New Roman"/>
                <w:color w:val="FF0000"/>
                <w:sz w:val="21"/>
                <w:szCs w:val="21"/>
                <w:highlight w:val="none"/>
                <w:lang w:val="en-US" w:eastAsia="zh-CN"/>
              </w:rPr>
              <w:t>和西侧、东侧林地</w:t>
            </w:r>
          </w:p>
        </w:tc>
        <w:tc>
          <w:tcPr>
            <w:tcW w:w="449" w:type="pct"/>
            <w:noWrap w:val="0"/>
            <w:vAlign w:val="center"/>
          </w:tcPr>
          <w:p w14:paraId="5D730AC7">
            <w:pPr>
              <w:pStyle w:val="69"/>
              <w:spacing w:before="3" w:line="261" w:lineRule="exact"/>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50</w:t>
            </w:r>
          </w:p>
        </w:tc>
        <w:tc>
          <w:tcPr>
            <w:tcW w:w="700" w:type="pct"/>
            <w:noWrap w:val="0"/>
            <w:vAlign w:val="center"/>
          </w:tcPr>
          <w:p w14:paraId="28556EF0">
            <w:pPr>
              <w:pStyle w:val="69"/>
              <w:spacing w:before="5" w:line="259"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农用地</w:t>
            </w:r>
          </w:p>
        </w:tc>
        <w:tc>
          <w:tcPr>
            <w:tcW w:w="1696" w:type="pct"/>
            <w:noWrap w:val="0"/>
            <w:vAlign w:val="center"/>
          </w:tcPr>
          <w:p w14:paraId="4C31D374">
            <w:pPr>
              <w:pStyle w:val="69"/>
              <w:spacing w:before="3" w:line="261" w:lineRule="exact"/>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《土壤环境质量农用地土壤污染风险管控标准（试行）》（GB15618-2018）</w:t>
            </w:r>
          </w:p>
        </w:tc>
      </w:tr>
    </w:tbl>
    <w:p w14:paraId="11458DA6">
      <w:pPr>
        <w:pStyle w:val="4"/>
        <w:bidi w:val="0"/>
        <w:rPr>
          <w:rFonts w:hint="default" w:ascii="Times New Roman" w:hAnsi="Times New Roman" w:cs="Times New Roman"/>
          <w:color w:val="auto"/>
        </w:rPr>
      </w:pPr>
      <w:r>
        <w:rPr>
          <w:rFonts w:hint="default" w:ascii="Times New Roman" w:hAnsi="Times New Roman" w:cs="Times New Roman"/>
          <w:color w:val="auto"/>
        </w:rPr>
        <w:t>污染控制目标</w:t>
      </w:r>
    </w:p>
    <w:p w14:paraId="50557BC3">
      <w:pPr>
        <w:pStyle w:val="73"/>
        <w:numPr>
          <w:ilvl w:val="0"/>
          <w:numId w:val="0"/>
        </w:numPr>
        <w:tabs>
          <w:tab w:val="left" w:pos="1382"/>
        </w:tabs>
        <w:spacing w:line="364" w:lineRule="auto"/>
        <w:ind w:leftChars="0" w:right="-1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项目运行后废水主要为鸡舍粪便</w:t>
      </w:r>
      <w:r>
        <w:rPr>
          <w:rFonts w:hint="default" w:ascii="Times New Roman" w:hAnsi="Times New Roman" w:cs="Times New Roman"/>
          <w:color w:val="auto"/>
          <w:sz w:val="24"/>
          <w:highlight w:val="none"/>
          <w:lang w:eastAsia="zh-CN"/>
        </w:rPr>
        <w:t>收集设施（</w:t>
      </w:r>
      <w:r>
        <w:rPr>
          <w:rFonts w:hint="eastAsia" w:ascii="Times New Roman" w:hAnsi="Times New Roman" w:cs="Times New Roman"/>
          <w:color w:val="auto"/>
          <w:sz w:val="24"/>
          <w:highlight w:val="none"/>
          <w:lang w:eastAsia="zh-CN"/>
        </w:rPr>
        <w:t>粪便传送带</w:t>
      </w:r>
      <w:r>
        <w:rPr>
          <w:rFonts w:hint="default" w:ascii="Times New Roman" w:hAnsi="Times New Roman" w:cs="Times New Roman"/>
          <w:color w:val="auto"/>
          <w:sz w:val="24"/>
          <w:highlight w:val="none"/>
          <w:lang w:eastAsia="zh-CN"/>
        </w:rPr>
        <w:t>和清粪机）</w:t>
      </w:r>
      <w:r>
        <w:rPr>
          <w:rFonts w:hint="default" w:ascii="Times New Roman" w:hAnsi="Times New Roman" w:cs="Times New Roman"/>
          <w:color w:val="auto"/>
          <w:sz w:val="24"/>
          <w:highlight w:val="none"/>
        </w:rPr>
        <w:t>清洗废水和工作人员生活污水，</w:t>
      </w:r>
      <w:r>
        <w:rPr>
          <w:rFonts w:hint="default" w:ascii="Times New Roman" w:hAnsi="Times New Roman" w:cs="Times New Roman"/>
          <w:color w:val="auto"/>
          <w:sz w:val="24"/>
          <w:highlight w:val="none"/>
          <w:lang w:val="en-US" w:eastAsia="zh-CN"/>
        </w:rPr>
        <w:t>均</w:t>
      </w:r>
      <w:r>
        <w:rPr>
          <w:rFonts w:hint="default" w:ascii="Times New Roman" w:hAnsi="Times New Roman" w:cs="Times New Roman"/>
          <w:color w:val="auto"/>
          <w:sz w:val="24"/>
          <w:highlight w:val="none"/>
        </w:rPr>
        <w:t>进入废水收集池容积100m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，上设封盖</w:t>
      </w:r>
      <w:r>
        <w:rPr>
          <w:rFonts w:hint="default" w:ascii="Times New Roman" w:hAnsi="Times New Roman" w:cs="Times New Roman"/>
          <w:color w:val="auto"/>
          <w:sz w:val="24"/>
          <w:highlight w:val="none"/>
          <w:lang w:eastAsia="zh-CN"/>
        </w:rPr>
        <w:t>，用于粪便堆肥，增加有机肥湿度，</w:t>
      </w:r>
      <w:r>
        <w:rPr>
          <w:rFonts w:hint="default" w:ascii="Times New Roman" w:hAnsi="Times New Roman" w:cs="Times New Roman"/>
          <w:color w:val="auto"/>
          <w:sz w:val="24"/>
          <w:highlight w:val="none"/>
        </w:rPr>
        <w:t>不对项目区地下水和土壤造成影响。</w:t>
      </w:r>
    </w:p>
    <w:p w14:paraId="3DE02A69">
      <w:pPr>
        <w:pStyle w:val="73"/>
        <w:numPr>
          <w:ilvl w:val="0"/>
          <w:numId w:val="0"/>
        </w:numPr>
        <w:tabs>
          <w:tab w:val="left" w:pos="1382"/>
        </w:tabs>
        <w:spacing w:line="364" w:lineRule="auto"/>
        <w:ind w:leftChars="0" w:right="-1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保证项目排放的恶臭气体</w:t>
      </w:r>
      <w:r>
        <w:rPr>
          <w:rFonts w:hint="default" w:ascii="Times New Roman" w:hAnsi="Times New Roman" w:cs="Times New Roman"/>
          <w:color w:val="auto"/>
          <w:sz w:val="24"/>
          <w:highlight w:val="none"/>
          <w:lang w:val="en-US" w:eastAsia="zh-CN"/>
        </w:rPr>
        <w:t>以及饲料加工粉尘</w:t>
      </w:r>
      <w:r>
        <w:rPr>
          <w:rFonts w:hint="default" w:ascii="Times New Roman" w:hAnsi="Times New Roman" w:cs="Times New Roman"/>
          <w:color w:val="auto"/>
          <w:sz w:val="24"/>
          <w:highlight w:val="none"/>
        </w:rPr>
        <w:t>达标排放，区域环境空气质量不因本项目的运行而产生明显影响。</w:t>
      </w:r>
    </w:p>
    <w:p w14:paraId="7DAA4850">
      <w:pPr>
        <w:pStyle w:val="73"/>
        <w:numPr>
          <w:ilvl w:val="0"/>
          <w:numId w:val="0"/>
        </w:numPr>
        <w:tabs>
          <w:tab w:val="left" w:pos="1382"/>
        </w:tabs>
        <w:spacing w:line="362" w:lineRule="auto"/>
        <w:ind w:leftChars="0" w:right="-1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合理布局项目噪声设备，采取相应的隔声措施，保证场界不超过《工业企业厂界环境噪声排放标准》（</w:t>
      </w:r>
      <w:r>
        <w:rPr>
          <w:rFonts w:hint="default" w:ascii="Times New Roman" w:hAnsi="Times New Roman" w:eastAsia="Times New Roman" w:cs="Times New Roman"/>
          <w:color w:val="auto"/>
          <w:sz w:val="24"/>
          <w:highlight w:val="none"/>
        </w:rPr>
        <w:t>GB12348-2008</w:t>
      </w:r>
      <w:r>
        <w:rPr>
          <w:rFonts w:hint="default" w:ascii="Times New Roman" w:hAnsi="Times New Roman" w:cs="Times New Roman"/>
          <w:color w:val="auto"/>
          <w:sz w:val="24"/>
          <w:highlight w:val="none"/>
        </w:rPr>
        <w:t>）中的</w:t>
      </w:r>
      <w:r>
        <w:rPr>
          <w:rFonts w:hint="default" w:ascii="Times New Roman" w:hAnsi="Times New Roman" w:eastAsia="Times New Roman" w:cs="Times New Roman"/>
          <w:color w:val="auto"/>
          <w:sz w:val="24"/>
          <w:highlight w:val="none"/>
        </w:rPr>
        <w:t>2</w:t>
      </w:r>
      <w:r>
        <w:rPr>
          <w:rFonts w:hint="default" w:ascii="Times New Roman" w:hAnsi="Times New Roman" w:cs="Times New Roman"/>
          <w:color w:val="auto"/>
          <w:sz w:val="24"/>
          <w:highlight w:val="none"/>
        </w:rPr>
        <w:t>类标准。</w:t>
      </w:r>
    </w:p>
    <w:p w14:paraId="7D88E15F">
      <w:pPr>
        <w:pStyle w:val="73"/>
        <w:numPr>
          <w:ilvl w:val="0"/>
          <w:numId w:val="0"/>
        </w:numPr>
        <w:tabs>
          <w:tab w:val="left" w:pos="1382"/>
        </w:tabs>
        <w:spacing w:line="362" w:lineRule="auto"/>
        <w:ind w:leftChars="0" w:right="-1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固废实现分类处置，不对周围环境</w:t>
      </w:r>
      <w:r>
        <w:rPr>
          <w:rFonts w:hint="default" w:ascii="Times New Roman" w:hAnsi="Times New Roman" w:eastAsia="宋体" w:cs="Times New Roman"/>
          <w:color w:val="auto"/>
          <w:sz w:val="24"/>
          <w:highlight w:val="none"/>
        </w:rPr>
        <w:t>产生危害和二次污染。减少场内</w:t>
      </w:r>
      <w:r>
        <w:rPr>
          <w:rFonts w:hint="default" w:ascii="Times New Roman" w:hAnsi="Times New Roman" w:eastAsia="宋体" w:cs="Times New Roman"/>
          <w:color w:val="auto"/>
          <w:sz w:val="24"/>
          <w:highlight w:val="none"/>
          <w:lang w:eastAsia="zh-CN"/>
        </w:rPr>
        <w:t>鸡粪</w:t>
      </w:r>
      <w:r>
        <w:rPr>
          <w:rFonts w:hint="default" w:ascii="Times New Roman" w:hAnsi="Times New Roman" w:eastAsia="宋体" w:cs="Times New Roman"/>
          <w:color w:val="auto"/>
          <w:sz w:val="24"/>
          <w:highlight w:val="none"/>
        </w:rPr>
        <w:t>等固废堆存，确保其得到及时处理后外售综合利用，</w:t>
      </w:r>
      <w:r>
        <w:rPr>
          <w:rFonts w:hint="default" w:ascii="Times New Roman" w:hAnsi="Times New Roman" w:eastAsia="宋体" w:cs="Times New Roman"/>
          <w:color w:val="auto"/>
          <w:sz w:val="24"/>
          <w:highlight w:val="none"/>
          <w:lang w:eastAsia="zh-CN"/>
        </w:rPr>
        <w:t>病死鸡</w:t>
      </w:r>
      <w:r>
        <w:rPr>
          <w:rFonts w:hint="default" w:ascii="Times New Roman" w:hAnsi="Times New Roman" w:eastAsia="宋体" w:cs="Times New Roman"/>
          <w:color w:val="auto"/>
          <w:sz w:val="24"/>
          <w:highlight w:val="none"/>
          <w:lang w:val="en-US" w:eastAsia="zh-CN"/>
        </w:rPr>
        <w:t>无害化填埋处置</w:t>
      </w:r>
      <w:r>
        <w:rPr>
          <w:rFonts w:hint="default" w:ascii="Times New Roman" w:hAnsi="Times New Roman" w:eastAsia="宋体" w:cs="Times New Roman"/>
          <w:color w:val="auto"/>
          <w:sz w:val="24"/>
          <w:highlight w:val="none"/>
        </w:rPr>
        <w:t>，医疗废物集中收集在</w:t>
      </w:r>
      <w:r>
        <w:rPr>
          <w:rFonts w:hint="default" w:ascii="Times New Roman" w:hAnsi="Times New Roman" w:eastAsia="宋体" w:cs="Times New Roman"/>
          <w:color w:val="auto"/>
          <w:sz w:val="24"/>
          <w:highlight w:val="none"/>
          <w:lang w:eastAsia="zh-CN"/>
        </w:rPr>
        <w:t>医疗危废暂存间</w:t>
      </w:r>
      <w:r>
        <w:rPr>
          <w:rFonts w:hint="default" w:ascii="Times New Roman" w:hAnsi="Times New Roman" w:eastAsia="宋体" w:cs="Times New Roman"/>
          <w:color w:val="auto"/>
          <w:sz w:val="24"/>
          <w:highlight w:val="none"/>
        </w:rPr>
        <w:t>，定期交由有资质的处理单位处置。以避免造成二次污染</w:t>
      </w:r>
      <w:r>
        <w:rPr>
          <w:rFonts w:hint="default" w:ascii="Times New Roman" w:hAnsi="Times New Roman" w:eastAsia="宋体" w:cs="Times New Roman"/>
          <w:color w:val="auto"/>
          <w:sz w:val="24"/>
          <w:highlight w:val="none"/>
          <w:lang w:eastAsia="zh-CN"/>
        </w:rPr>
        <w:t>，原辅材料包装物由资源再利用回收企业回收再利用</w:t>
      </w:r>
      <w:r>
        <w:rPr>
          <w:rFonts w:hint="default" w:ascii="Times New Roman" w:hAnsi="Times New Roman" w:eastAsia="宋体" w:cs="Times New Roman"/>
          <w:color w:val="auto"/>
          <w:sz w:val="24"/>
          <w:highlight w:val="none"/>
        </w:rPr>
        <w:t>。</w:t>
      </w:r>
    </w:p>
    <w:p w14:paraId="3CA2621F">
      <w:pPr>
        <w:pStyle w:val="73"/>
        <w:numPr>
          <w:ilvl w:val="0"/>
          <w:numId w:val="0"/>
        </w:numPr>
        <w:tabs>
          <w:tab w:val="left" w:pos="1382"/>
        </w:tabs>
        <w:spacing w:before="5"/>
        <w:ind w:leftChars="0" w:right="-1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推行节能措施和清洁生产，将生态环境影响减少到</w:t>
      </w:r>
      <w:r>
        <w:rPr>
          <w:rFonts w:hint="default" w:ascii="Times New Roman" w:hAnsi="Times New Roman" w:cs="Times New Roman"/>
          <w:color w:val="auto"/>
          <w:sz w:val="24"/>
          <w:highlight w:val="none"/>
          <w:lang w:eastAsia="zh-CN"/>
        </w:rPr>
        <w:t>最低程度</w:t>
      </w:r>
      <w:r>
        <w:rPr>
          <w:rFonts w:hint="default" w:ascii="Times New Roman" w:hAnsi="Times New Roman" w:cs="Times New Roman"/>
          <w:color w:val="auto"/>
          <w:sz w:val="24"/>
          <w:highlight w:val="none"/>
        </w:rPr>
        <w:t>。</w:t>
      </w:r>
    </w:p>
    <w:p w14:paraId="17507E6F">
      <w:pPr>
        <w:pStyle w:val="2"/>
        <w:bidi w:val="0"/>
        <w:rPr>
          <w:rFonts w:hint="default" w:ascii="Times New Roman" w:hAnsi="Times New Roman" w:cs="Times New Roman"/>
          <w:color w:val="auto"/>
        </w:rPr>
        <w:sectPr>
          <w:footerReference r:id="rId9" w:type="default"/>
          <w:footerReference r:id="rId10" w:type="even"/>
          <w:pgSz w:w="11910" w:h="16840"/>
          <w:pgMar w:top="1440" w:right="1797" w:bottom="1417" w:left="1797" w:header="896" w:footer="1236" w:gutter="0"/>
          <w:pgBorders>
            <w:top w:val="none" w:sz="0" w:space="0"/>
            <w:left w:val="none" w:sz="0" w:space="0"/>
            <w:bottom w:val="none" w:sz="0" w:space="0"/>
            <w:right w:val="none" w:sz="0" w:space="0"/>
          </w:pgBorders>
          <w:pgNumType w:fmt="decimal"/>
          <w:cols w:space="720" w:num="1"/>
          <w:rtlGutter w:val="0"/>
          <w:docGrid w:linePitch="0" w:charSpace="0"/>
        </w:sectPr>
      </w:pPr>
    </w:p>
    <w:p w14:paraId="28CC486A">
      <w:pPr>
        <w:pStyle w:val="2"/>
        <w:bidi w:val="0"/>
        <w:rPr>
          <w:rFonts w:hint="default" w:ascii="Times New Roman" w:hAnsi="Times New Roman" w:cs="Times New Roman"/>
          <w:color w:val="auto"/>
        </w:rPr>
      </w:pPr>
      <w:bookmarkStart w:id="30" w:name="_Toc16531"/>
      <w:bookmarkStart w:id="31" w:name="_Toc18571"/>
      <w:r>
        <w:rPr>
          <w:rFonts w:hint="default" w:ascii="Times New Roman" w:hAnsi="Times New Roman" w:cs="Times New Roman"/>
          <w:color w:val="auto"/>
        </w:rPr>
        <w:t>工程分析</w:t>
      </w:r>
      <w:bookmarkEnd w:id="30"/>
      <w:bookmarkEnd w:id="31"/>
    </w:p>
    <w:p w14:paraId="05267B27">
      <w:pPr>
        <w:pStyle w:val="3"/>
        <w:bidi w:val="0"/>
        <w:rPr>
          <w:rFonts w:hint="default" w:ascii="Times New Roman" w:hAnsi="Times New Roman" w:cs="Times New Roman"/>
          <w:color w:val="auto"/>
          <w:lang w:val="en-US" w:eastAsia="zh-CN"/>
        </w:rPr>
      </w:pPr>
      <w:bookmarkStart w:id="32" w:name="_Toc2828"/>
      <w:bookmarkStart w:id="33" w:name="_Toc70"/>
      <w:bookmarkStart w:id="34" w:name="_Toc520"/>
      <w:r>
        <w:rPr>
          <w:rFonts w:hint="default" w:ascii="Times New Roman" w:hAnsi="Times New Roman" w:cs="Times New Roman"/>
          <w:color w:val="auto"/>
          <w:lang w:val="en-US" w:eastAsia="zh-CN"/>
        </w:rPr>
        <w:t>项目基本情况</w:t>
      </w:r>
      <w:bookmarkEnd w:id="32"/>
      <w:bookmarkEnd w:id="33"/>
      <w:bookmarkEnd w:id="34"/>
    </w:p>
    <w:p w14:paraId="51F449B9">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rPr>
        <w:t>项目名称：</w:t>
      </w:r>
      <w:r>
        <w:rPr>
          <w:rFonts w:hint="default" w:ascii="Times New Roman" w:hAnsi="Times New Roman" w:cs="Times New Roman"/>
          <w:color w:val="auto"/>
          <w:lang w:val="en-US" w:eastAsia="zh-CN"/>
        </w:rPr>
        <w:t>全智能数字化蛋鸡养殖科技园区</w:t>
      </w:r>
    </w:p>
    <w:p w14:paraId="5134B7B2">
      <w:pPr>
        <w:pStyle w:val="16"/>
        <w:bidi w:val="0"/>
        <w:rPr>
          <w:rFonts w:hint="default" w:ascii="Times New Roman" w:hAnsi="Times New Roman" w:cs="Times New Roman"/>
          <w:color w:val="auto"/>
        </w:rPr>
      </w:pPr>
      <w:r>
        <w:rPr>
          <w:rFonts w:hint="default" w:ascii="Times New Roman" w:hAnsi="Times New Roman" w:cs="Times New Roman"/>
          <w:color w:val="auto"/>
        </w:rPr>
        <w:t>建设单位：</w:t>
      </w:r>
      <w:r>
        <w:rPr>
          <w:rFonts w:hint="default" w:ascii="Times New Roman" w:hAnsi="Times New Roman" w:cs="Times New Roman"/>
          <w:color w:val="auto"/>
          <w:lang w:eastAsia="zh-CN"/>
        </w:rPr>
        <w:t>新疆海川吉蛋福养殖农民专业合作社</w:t>
      </w:r>
    </w:p>
    <w:p w14:paraId="7E53D6FB">
      <w:pPr>
        <w:pStyle w:val="16"/>
        <w:bidi w:val="0"/>
        <w:rPr>
          <w:rFonts w:hint="default" w:ascii="Times New Roman" w:hAnsi="Times New Roman" w:cs="Times New Roman"/>
          <w:color w:val="auto"/>
        </w:rPr>
      </w:pPr>
      <w:r>
        <w:rPr>
          <w:rFonts w:hint="default" w:ascii="Times New Roman" w:hAnsi="Times New Roman" w:cs="Times New Roman"/>
          <w:color w:val="auto"/>
        </w:rPr>
        <w:t>建设地点：</w:t>
      </w:r>
      <w:r>
        <w:rPr>
          <w:rFonts w:hint="default" w:ascii="Times New Roman" w:hAnsi="Times New Roman" w:cs="Times New Roman"/>
          <w:color w:val="auto"/>
          <w:lang w:val="en-US" w:eastAsia="zh-CN"/>
        </w:rPr>
        <w:t>本项目</w:t>
      </w:r>
      <w:r>
        <w:rPr>
          <w:rFonts w:hint="default" w:ascii="Times New Roman" w:hAnsi="Times New Roman" w:cs="Times New Roman"/>
          <w:color w:val="auto"/>
        </w:rPr>
        <w:t>位于</w:t>
      </w:r>
      <w:r>
        <w:rPr>
          <w:rFonts w:hint="default" w:ascii="Times New Roman" w:hAnsi="Times New Roman" w:cs="Times New Roman"/>
          <w:color w:val="auto"/>
          <w:lang w:val="en-US" w:eastAsia="zh-CN"/>
        </w:rPr>
        <w:t>新疆北屯市188团9连，中心地理坐标E87°40′16.546″，N47°19′59.588″</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详见</w:t>
      </w:r>
      <w:r>
        <w:rPr>
          <w:rFonts w:hint="default" w:ascii="Times New Roman" w:hAnsi="Times New Roman" w:cs="Times New Roman"/>
          <w:color w:val="auto"/>
        </w:rPr>
        <w:t>图3-</w:t>
      </w:r>
      <w:r>
        <w:rPr>
          <w:rFonts w:hint="default" w:ascii="Times New Roman" w:hAnsi="Times New Roman" w:cs="Times New Roman"/>
          <w:color w:val="auto"/>
          <w:lang w:val="en-US" w:eastAsia="zh-CN"/>
        </w:rPr>
        <w:t>1</w:t>
      </w:r>
      <w:r>
        <w:rPr>
          <w:rFonts w:hint="default" w:ascii="Times New Roman" w:hAnsi="Times New Roman" w:cs="Times New Roman"/>
          <w:color w:val="auto"/>
        </w:rPr>
        <w:t>项目地理位置图。周边环境情况：</w:t>
      </w:r>
      <w:r>
        <w:rPr>
          <w:rFonts w:hint="default" w:ascii="Times New Roman" w:hAnsi="Times New Roman" w:cs="Times New Roman"/>
          <w:color w:val="auto"/>
          <w:lang w:val="en-US" w:eastAsia="zh-CN"/>
        </w:rPr>
        <w:t>养殖场项目区北侧为养殖场、东侧为林带、西侧为林带，南侧为空地。详见</w:t>
      </w:r>
      <w:r>
        <w:rPr>
          <w:rFonts w:hint="default" w:ascii="Times New Roman" w:hAnsi="Times New Roman" w:cs="Times New Roman"/>
          <w:color w:val="auto"/>
          <w:lang w:eastAsia="zh-CN"/>
        </w:rPr>
        <w:t>周边情况示意</w:t>
      </w:r>
      <w:r>
        <w:rPr>
          <w:rFonts w:hint="default" w:ascii="Times New Roman" w:hAnsi="Times New Roman" w:cs="Times New Roman"/>
          <w:color w:val="auto"/>
          <w:lang w:val="en-US" w:eastAsia="zh-CN"/>
        </w:rPr>
        <w:t>图3-2</w:t>
      </w:r>
      <w:r>
        <w:rPr>
          <w:rFonts w:hint="default" w:ascii="Times New Roman" w:hAnsi="Times New Roman" w:cs="Times New Roman"/>
          <w:color w:val="auto"/>
        </w:rPr>
        <w:t>。</w:t>
      </w:r>
    </w:p>
    <w:p w14:paraId="2366B2A4">
      <w:pPr>
        <w:pStyle w:val="16"/>
        <w:bidi w:val="0"/>
        <w:rPr>
          <w:rFonts w:hint="default" w:ascii="Times New Roman" w:hAnsi="Times New Roman" w:cs="Times New Roman"/>
          <w:color w:val="auto"/>
        </w:rPr>
      </w:pPr>
      <w:r>
        <w:rPr>
          <w:rFonts w:hint="default" w:ascii="Times New Roman" w:hAnsi="Times New Roman" w:cs="Times New Roman"/>
          <w:color w:val="auto"/>
        </w:rPr>
        <w:t>项目建设性质：</w:t>
      </w:r>
      <w:r>
        <w:rPr>
          <w:rFonts w:hint="default" w:ascii="Times New Roman" w:hAnsi="Times New Roman" w:cs="Times New Roman"/>
          <w:color w:val="auto"/>
          <w:lang w:val="en-US" w:eastAsia="zh-CN"/>
        </w:rPr>
        <w:t>新</w:t>
      </w:r>
      <w:r>
        <w:rPr>
          <w:rFonts w:hint="default" w:ascii="Times New Roman" w:hAnsi="Times New Roman" w:cs="Times New Roman"/>
          <w:color w:val="auto"/>
        </w:rPr>
        <w:t>建。</w:t>
      </w:r>
    </w:p>
    <w:p w14:paraId="35EB2A4D">
      <w:pPr>
        <w:pStyle w:val="16"/>
        <w:bidi w:val="0"/>
        <w:rPr>
          <w:rFonts w:hint="default" w:ascii="Times New Roman" w:hAnsi="Times New Roman" w:cs="Times New Roman"/>
          <w:color w:val="auto"/>
          <w:lang w:eastAsia="zh-CN"/>
        </w:rPr>
      </w:pPr>
      <w:r>
        <w:rPr>
          <w:rFonts w:hint="default" w:ascii="Times New Roman" w:hAnsi="Times New Roman" w:cs="Times New Roman"/>
          <w:color w:val="auto"/>
        </w:rPr>
        <w:t>总投资：本项目总投资为</w:t>
      </w:r>
      <w:r>
        <w:rPr>
          <w:rFonts w:hint="default" w:ascii="Times New Roman" w:hAnsi="Times New Roman" w:cs="Times New Roman"/>
          <w:color w:val="auto"/>
          <w:lang w:val="en-US" w:eastAsia="zh-CN"/>
        </w:rPr>
        <w:t>5028</w:t>
      </w:r>
      <w:r>
        <w:rPr>
          <w:rFonts w:hint="default" w:ascii="Times New Roman" w:hAnsi="Times New Roman" w:cs="Times New Roman"/>
          <w:color w:val="auto"/>
        </w:rPr>
        <w:t>万元，其中环保投资</w:t>
      </w:r>
      <w:r>
        <w:rPr>
          <w:rFonts w:hint="default" w:ascii="Times New Roman" w:hAnsi="Times New Roman" w:cs="Times New Roman"/>
          <w:color w:val="auto"/>
          <w:lang w:val="en-US" w:eastAsia="zh-CN"/>
        </w:rPr>
        <w:t>201.4万元</w:t>
      </w:r>
      <w:r>
        <w:rPr>
          <w:rFonts w:hint="default" w:ascii="Times New Roman" w:hAnsi="Times New Roman" w:cs="Times New Roman"/>
          <w:color w:val="auto"/>
          <w:lang w:eastAsia="zh-CN"/>
        </w:rPr>
        <w:t>，</w:t>
      </w:r>
      <w:r>
        <w:rPr>
          <w:rFonts w:hint="default" w:ascii="Times New Roman" w:hAnsi="Times New Roman" w:cs="Times New Roman"/>
          <w:color w:val="auto"/>
        </w:rPr>
        <w:t>占总投资的</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p>
    <w:p w14:paraId="4F586620">
      <w:pPr>
        <w:pStyle w:val="16"/>
        <w:bidi w:val="0"/>
        <w:rPr>
          <w:rFonts w:hint="default" w:ascii="Times New Roman" w:hAnsi="Times New Roman" w:cs="Times New Roman"/>
          <w:color w:val="auto"/>
        </w:rPr>
      </w:pPr>
      <w:r>
        <w:rPr>
          <w:rFonts w:hint="default" w:ascii="Times New Roman" w:hAnsi="Times New Roman" w:cs="Times New Roman"/>
          <w:color w:val="auto"/>
        </w:rPr>
        <w:t>占地面积：</w:t>
      </w:r>
      <w:r>
        <w:rPr>
          <w:rFonts w:hint="default" w:ascii="Times New Roman" w:hAnsi="Times New Roman" w:cs="Times New Roman"/>
          <w:color w:val="auto"/>
          <w:lang w:val="en-US" w:eastAsia="zh-CN"/>
        </w:rPr>
        <w:t>养殖场</w:t>
      </w:r>
      <w:r>
        <w:rPr>
          <w:rFonts w:hint="default" w:ascii="Times New Roman" w:hAnsi="Times New Roman" w:cs="Times New Roman"/>
          <w:color w:val="auto"/>
        </w:rPr>
        <w:t>占地面积</w:t>
      </w:r>
      <w:r>
        <w:rPr>
          <w:rFonts w:hint="default" w:ascii="Times New Roman" w:hAnsi="Times New Roman" w:cs="Times New Roman"/>
          <w:color w:val="auto"/>
          <w:lang w:val="en-US" w:eastAsia="zh-CN"/>
        </w:rPr>
        <w:t>103727.63m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rPr>
        <w:t>，占地为设施农用地。</w:t>
      </w:r>
    </w:p>
    <w:p w14:paraId="1AD03BD9">
      <w:pPr>
        <w:pStyle w:val="4"/>
        <w:bidi w:val="0"/>
        <w:rPr>
          <w:rFonts w:hint="default" w:ascii="Times New Roman" w:hAnsi="Times New Roman" w:cs="Times New Roman"/>
          <w:color w:val="auto"/>
          <w:lang w:val="en-US" w:eastAsia="zh-CN"/>
        </w:rPr>
      </w:pPr>
      <w:bookmarkStart w:id="35" w:name="_Toc24660"/>
      <w:bookmarkStart w:id="36" w:name="_Toc27849"/>
      <w:r>
        <w:rPr>
          <w:rFonts w:hint="default" w:ascii="Times New Roman" w:hAnsi="Times New Roman" w:cs="Times New Roman"/>
          <w:color w:val="auto"/>
          <w:lang w:val="en-US" w:eastAsia="zh-CN"/>
        </w:rPr>
        <w:t>项目建设内容及规模、产品方案</w:t>
      </w:r>
      <w:bookmarkEnd w:id="35"/>
      <w:bookmarkEnd w:id="36"/>
    </w:p>
    <w:p w14:paraId="628783C2">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建设内容</w:t>
      </w:r>
    </w:p>
    <w:p w14:paraId="25B7C74B">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根据项目备案内容：30万羽蛋鸡及全鸡粪发酵</w:t>
      </w:r>
      <w:r>
        <w:rPr>
          <w:rFonts w:hint="eastAsia" w:ascii="Times New Roman" w:hAnsi="Times New Roman" w:cs="Times New Roman"/>
          <w:color w:val="auto"/>
          <w:lang w:val="en-US" w:eastAsia="zh-CN"/>
        </w:rPr>
        <w:t>处理厂</w:t>
      </w:r>
      <w:r>
        <w:rPr>
          <w:rFonts w:hint="default" w:ascii="Times New Roman" w:hAnsi="Times New Roman" w:cs="Times New Roman"/>
          <w:color w:val="auto"/>
          <w:lang w:val="en-US" w:eastAsia="zh-CN"/>
        </w:rPr>
        <w:t>。建设单栋五万只蛋鸡，六栋，8400平方米。单栋五万只育雏育成舍，两栋，2500平方米。鸡粪发酵处理场，2000平方米。中央鸡蛋分级库，1500平方米。</w:t>
      </w:r>
    </w:p>
    <w:p w14:paraId="02C6AA51">
      <w:pPr>
        <w:pStyle w:val="5"/>
        <w:bidi w:val="0"/>
        <w:rPr>
          <w:rFonts w:hint="default" w:ascii="Times New Roman" w:hAnsi="Times New Roman" w:cs="Times New Roman"/>
          <w:color w:val="auto"/>
          <w:lang w:val="en-US"/>
        </w:rPr>
      </w:pPr>
      <w:r>
        <w:rPr>
          <w:rFonts w:hint="default" w:ascii="Times New Roman" w:hAnsi="Times New Roman" w:cs="Times New Roman"/>
          <w:color w:val="auto"/>
          <w:lang w:val="en-US"/>
        </w:rPr>
        <w:t>建设规模及产品</w:t>
      </w:r>
    </w:p>
    <w:p w14:paraId="1EF94987">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养殖规模：项目建成后年存栏蛋鸡30万羽，育雏鸡存栏量30万羽，出栏蛋鸡30万羽，育雏鸡出栏量30万羽，销售鸡蛋2600万枚。育雏鸡根据市场需求部分外售，部分进入蛋鸡舍进行产蛋饲养。</w:t>
      </w:r>
    </w:p>
    <w:p w14:paraId="5FD1E610">
      <w:pPr>
        <w:pStyle w:val="14"/>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宋体" w:cs="Times New Roman"/>
          <w:bCs/>
          <w:color w:val="auto"/>
          <w:sz w:val="21"/>
          <w:szCs w:val="21"/>
          <w:lang w:val="en-US" w:eastAsia="zh-CN"/>
        </w:rPr>
        <w:t>存栏及出栏量一览</w:t>
      </w:r>
      <w:r>
        <w:rPr>
          <w:rFonts w:hint="default" w:ascii="Times New Roman" w:hAnsi="Times New Roman" w:eastAsia="宋体" w:cs="Times New Roman"/>
          <w:bCs/>
          <w:color w:val="auto"/>
          <w:sz w:val="21"/>
          <w:szCs w:val="21"/>
        </w:rPr>
        <w:t>表</w:t>
      </w:r>
    </w:p>
    <w:tbl>
      <w:tblPr>
        <w:tblStyle w:val="33"/>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8"/>
        <w:gridCol w:w="1968"/>
        <w:gridCol w:w="1572"/>
        <w:gridCol w:w="2725"/>
      </w:tblGrid>
      <w:tr w14:paraId="2DA7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268" w:type="pct"/>
            <w:noWrap/>
            <w:vAlign w:val="center"/>
          </w:tcPr>
          <w:p w14:paraId="6EA8698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存栏/出栏</w:t>
            </w:r>
          </w:p>
        </w:tc>
        <w:tc>
          <w:tcPr>
            <w:tcW w:w="1172" w:type="pct"/>
            <w:noWrap/>
            <w:vAlign w:val="center"/>
          </w:tcPr>
          <w:p w14:paraId="238301F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种类</w:t>
            </w:r>
          </w:p>
        </w:tc>
        <w:tc>
          <w:tcPr>
            <w:tcW w:w="936" w:type="pct"/>
            <w:noWrap/>
            <w:vAlign w:val="center"/>
          </w:tcPr>
          <w:p w14:paraId="5B085FF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数量（万羽）</w:t>
            </w:r>
          </w:p>
        </w:tc>
        <w:tc>
          <w:tcPr>
            <w:tcW w:w="1623" w:type="pct"/>
            <w:noWrap/>
            <w:vAlign w:val="center"/>
          </w:tcPr>
          <w:p w14:paraId="27BC8FD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备注</w:t>
            </w:r>
          </w:p>
        </w:tc>
      </w:tr>
      <w:tr w14:paraId="74B2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268" w:type="pct"/>
            <w:noWrap/>
            <w:vAlign w:val="center"/>
          </w:tcPr>
          <w:p w14:paraId="781850C4">
            <w:pPr>
              <w:keepNext w:val="0"/>
              <w:keepLines w:val="0"/>
              <w:pageBreakBefore w:val="0"/>
              <w:widowControl w:val="0"/>
              <w:kinsoku/>
              <w:wordWrap/>
              <w:overflow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存栏量</w:t>
            </w:r>
          </w:p>
        </w:tc>
        <w:tc>
          <w:tcPr>
            <w:tcW w:w="1172" w:type="pct"/>
            <w:noWrap/>
            <w:vAlign w:val="center"/>
          </w:tcPr>
          <w:p w14:paraId="02DC15C9">
            <w:pPr>
              <w:pStyle w:val="79"/>
              <w:keepNext w:val="0"/>
              <w:keepLines w:val="0"/>
              <w:pageBreakBefore w:val="0"/>
              <w:widowControl w:val="0"/>
              <w:tabs>
                <w:tab w:val="left" w:pos="1119"/>
                <w:tab w:val="clear" w:pos="972"/>
              </w:tabs>
              <w:kinsoku/>
              <w:wordWrap/>
              <w:overflowPunct/>
              <w:topLinePunct w:val="0"/>
              <w:autoSpaceDE/>
              <w:autoSpaceDN/>
              <w:bidi w:val="0"/>
              <w:adjustRightInd/>
              <w:snapToGrid/>
              <w:spacing w:before="0" w:after="0"/>
              <w:ind w:right="0" w:rightChars="0" w:firstLine="0" w:firstLineChars="0"/>
              <w:jc w:val="center"/>
              <w:textAlignment w:val="auto"/>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lang w:val="en-US" w:eastAsia="zh-CN"/>
              </w:rPr>
              <w:t>蛋鸡</w:t>
            </w:r>
          </w:p>
        </w:tc>
        <w:tc>
          <w:tcPr>
            <w:tcW w:w="936" w:type="pct"/>
            <w:noWrap/>
            <w:vAlign w:val="center"/>
          </w:tcPr>
          <w:p w14:paraId="41BF35D9">
            <w:pPr>
              <w:keepNext w:val="0"/>
              <w:keepLines w:val="0"/>
              <w:pageBreakBefore w:val="0"/>
              <w:widowControl w:val="0"/>
              <w:kinsoku/>
              <w:wordWrap/>
              <w:overflowPunct/>
              <w:topLinePunct w:val="0"/>
              <w:autoSpaceDE/>
              <w:autoSpaceDN/>
              <w:bidi w:val="0"/>
              <w:adjustRightInd/>
              <w:snapToGrid/>
              <w:ind w:right="0" w:firstLine="0" w:firstLineChars="0"/>
              <w:jc w:val="center"/>
              <w:textAlignment w:val="auto"/>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kern w:val="44"/>
                <w:sz w:val="21"/>
                <w:szCs w:val="21"/>
                <w:lang w:val="en-US" w:eastAsia="zh-CN"/>
              </w:rPr>
              <w:t>30</w:t>
            </w:r>
          </w:p>
        </w:tc>
        <w:tc>
          <w:tcPr>
            <w:tcW w:w="1623" w:type="pct"/>
            <w:noWrap/>
            <w:vAlign w:val="center"/>
          </w:tcPr>
          <w:p w14:paraId="419E3F54">
            <w:pPr>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饲养120d后产蛋</w:t>
            </w:r>
          </w:p>
        </w:tc>
      </w:tr>
      <w:tr w14:paraId="210C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268" w:type="pct"/>
            <w:noWrap/>
            <w:vAlign w:val="center"/>
          </w:tcPr>
          <w:p w14:paraId="23477D03">
            <w:pPr>
              <w:keepNext w:val="0"/>
              <w:keepLines w:val="0"/>
              <w:pageBreakBefore w:val="0"/>
              <w:widowControl w:val="0"/>
              <w:kinsoku/>
              <w:wordWrap/>
              <w:overflow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出栏量</w:t>
            </w:r>
          </w:p>
        </w:tc>
        <w:tc>
          <w:tcPr>
            <w:tcW w:w="1968" w:type="dxa"/>
            <w:noWrap/>
            <w:vAlign w:val="center"/>
          </w:tcPr>
          <w:p w14:paraId="1CEAE1B8">
            <w:pPr>
              <w:keepNext w:val="0"/>
              <w:keepLines w:val="0"/>
              <w:pageBreakBefore w:val="0"/>
              <w:widowControl w:val="0"/>
              <w:kinsoku/>
              <w:wordWrap/>
              <w:overflowPunct/>
              <w:autoSpaceDE/>
              <w:autoSpaceDN/>
              <w:bidi w:val="0"/>
              <w:jc w:val="center"/>
              <w:textAlignment w:val="auto"/>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lang w:val="en-US" w:eastAsia="zh-CN"/>
              </w:rPr>
              <w:t>蛋鸡</w:t>
            </w:r>
          </w:p>
        </w:tc>
        <w:tc>
          <w:tcPr>
            <w:tcW w:w="1572" w:type="dxa"/>
            <w:noWrap/>
            <w:vAlign w:val="center"/>
          </w:tcPr>
          <w:p w14:paraId="315E6794">
            <w:pPr>
              <w:jc w:val="center"/>
              <w:rPr>
                <w:rFonts w:hint="default" w:ascii="Times New Roman" w:hAnsi="Times New Roman" w:cs="Times New Roman"/>
                <w:color w:val="auto"/>
                <w:kern w:val="44"/>
                <w:sz w:val="21"/>
                <w:szCs w:val="21"/>
                <w:lang w:val="en-US" w:eastAsia="zh-CN" w:bidi="zh-CN"/>
              </w:rPr>
            </w:pPr>
            <w:r>
              <w:rPr>
                <w:rFonts w:hint="default" w:ascii="Times New Roman" w:hAnsi="Times New Roman" w:cs="Times New Roman"/>
                <w:color w:val="auto"/>
                <w:kern w:val="44"/>
                <w:sz w:val="21"/>
                <w:szCs w:val="21"/>
                <w:lang w:val="en-US" w:eastAsia="zh-CN" w:bidi="zh-CN"/>
              </w:rPr>
              <w:t>30</w:t>
            </w:r>
          </w:p>
        </w:tc>
        <w:tc>
          <w:tcPr>
            <w:tcW w:w="1623" w:type="pct"/>
            <w:noWrap/>
            <w:vAlign w:val="center"/>
          </w:tcPr>
          <w:p w14:paraId="10D4C6E0">
            <w:pPr>
              <w:jc w:val="center"/>
              <w:rPr>
                <w:rFonts w:hint="default" w:ascii="Times New Roman" w:hAnsi="Times New Roman" w:cs="Times New Roman"/>
                <w:color w:val="auto"/>
                <w:sz w:val="21"/>
                <w:szCs w:val="21"/>
                <w:lang w:val="en-US" w:eastAsia="zh-CN" w:bidi="zh-CN"/>
              </w:rPr>
            </w:pPr>
            <w:r>
              <w:rPr>
                <w:rFonts w:hint="default" w:ascii="Times New Roman" w:hAnsi="Times New Roman" w:eastAsia="宋体" w:cs="Times New Roman"/>
                <w:color w:val="auto"/>
                <w:kern w:val="44"/>
                <w:sz w:val="21"/>
                <w:szCs w:val="21"/>
                <w:lang w:val="en-US" w:eastAsia="zh-CN"/>
              </w:rPr>
              <w:t>淘汰蛋鸡</w:t>
            </w:r>
          </w:p>
        </w:tc>
      </w:tr>
      <w:tr w14:paraId="7C14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268" w:type="pct"/>
            <w:noWrap/>
            <w:vAlign w:val="center"/>
          </w:tcPr>
          <w:p w14:paraId="7A17099A">
            <w:pPr>
              <w:keepNext w:val="0"/>
              <w:keepLines w:val="0"/>
              <w:pageBreakBefore w:val="0"/>
              <w:widowControl w:val="0"/>
              <w:kinsoku/>
              <w:wordWrap/>
              <w:overflowPunct/>
              <w:autoSpaceDE/>
              <w:autoSpaceDN/>
              <w:bidi w:val="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存栏量</w:t>
            </w:r>
          </w:p>
        </w:tc>
        <w:tc>
          <w:tcPr>
            <w:tcW w:w="1172" w:type="pct"/>
            <w:noWrap/>
            <w:vAlign w:val="center"/>
          </w:tcPr>
          <w:p w14:paraId="21BAA788">
            <w:pPr>
              <w:pStyle w:val="79"/>
              <w:keepNext w:val="0"/>
              <w:keepLines w:val="0"/>
              <w:pageBreakBefore w:val="0"/>
              <w:widowControl w:val="0"/>
              <w:tabs>
                <w:tab w:val="left" w:pos="1119"/>
                <w:tab w:val="clear" w:pos="972"/>
              </w:tabs>
              <w:kinsoku/>
              <w:wordWrap/>
              <w:overflowPunct/>
              <w:topLinePunct w:val="0"/>
              <w:autoSpaceDE/>
              <w:autoSpaceDN/>
              <w:bidi w:val="0"/>
              <w:adjustRightInd/>
              <w:snapToGrid/>
              <w:spacing w:before="0" w:after="0"/>
              <w:ind w:right="0" w:rightChars="0" w:firstLine="0" w:firstLineChars="0"/>
              <w:jc w:val="center"/>
              <w:textAlignment w:val="auto"/>
              <w:rPr>
                <w:rFonts w:hint="default" w:ascii="Times New Roman" w:hAnsi="Times New Roman" w:eastAsia="宋体" w:cs="Times New Roman"/>
                <w:color w:val="auto"/>
                <w:kern w:val="44"/>
                <w:sz w:val="21"/>
                <w:szCs w:val="21"/>
                <w:lang w:val="en-US" w:eastAsia="zh-CN"/>
              </w:rPr>
            </w:pPr>
            <w:r>
              <w:rPr>
                <w:rFonts w:hint="default" w:ascii="Times New Roman" w:hAnsi="Times New Roman" w:cs="Times New Roman"/>
                <w:color w:val="auto"/>
                <w:sz w:val="21"/>
                <w:szCs w:val="21"/>
                <w:lang w:val="en-US" w:bidi="ar-SA"/>
              </w:rPr>
              <w:t>育雏鸡</w:t>
            </w:r>
          </w:p>
        </w:tc>
        <w:tc>
          <w:tcPr>
            <w:tcW w:w="936" w:type="pct"/>
            <w:noWrap/>
            <w:vAlign w:val="center"/>
          </w:tcPr>
          <w:p w14:paraId="6B895EA4">
            <w:pPr>
              <w:keepNext w:val="0"/>
              <w:keepLines w:val="0"/>
              <w:pageBreakBefore w:val="0"/>
              <w:widowControl w:val="0"/>
              <w:kinsoku/>
              <w:wordWrap/>
              <w:overflowPunct/>
              <w:topLinePunct w:val="0"/>
              <w:autoSpaceDE/>
              <w:autoSpaceDN/>
              <w:bidi w:val="0"/>
              <w:adjustRightInd/>
              <w:snapToGrid/>
              <w:ind w:right="0" w:firstLine="0" w:firstLineChars="0"/>
              <w:jc w:val="center"/>
              <w:textAlignment w:val="auto"/>
              <w:rPr>
                <w:rFonts w:hint="default" w:ascii="Times New Roman" w:hAnsi="Times New Roman" w:cs="Times New Roman"/>
                <w:color w:val="auto"/>
                <w:kern w:val="44"/>
                <w:sz w:val="21"/>
                <w:szCs w:val="21"/>
                <w:lang w:val="en-US" w:eastAsia="zh-CN" w:bidi="zh-CN"/>
              </w:rPr>
            </w:pPr>
            <w:r>
              <w:rPr>
                <w:rFonts w:hint="default" w:ascii="Times New Roman" w:hAnsi="Times New Roman" w:cs="Times New Roman"/>
                <w:color w:val="auto"/>
                <w:kern w:val="44"/>
                <w:sz w:val="21"/>
                <w:szCs w:val="21"/>
                <w:lang w:val="en-US" w:eastAsia="zh-CN" w:bidi="zh-CN"/>
              </w:rPr>
              <w:t>30</w:t>
            </w:r>
          </w:p>
        </w:tc>
        <w:tc>
          <w:tcPr>
            <w:tcW w:w="1623" w:type="pct"/>
            <w:noWrap/>
            <w:vAlign w:val="center"/>
          </w:tcPr>
          <w:p w14:paraId="2ED931C5">
            <w:pPr>
              <w:jc w:val="center"/>
              <w:rPr>
                <w:rFonts w:hint="default" w:ascii="Times New Roman" w:hAnsi="Times New Roman" w:eastAsia="宋体" w:cs="Times New Roman"/>
                <w:color w:val="auto"/>
                <w:kern w:val="44"/>
                <w:sz w:val="21"/>
                <w:szCs w:val="21"/>
                <w:lang w:val="en-US" w:eastAsia="zh-CN"/>
              </w:rPr>
            </w:pPr>
            <w:r>
              <w:rPr>
                <w:rFonts w:hint="default" w:ascii="Times New Roman" w:hAnsi="Times New Roman" w:eastAsia="宋体" w:cs="Times New Roman"/>
                <w:color w:val="auto"/>
                <w:kern w:val="44"/>
                <w:sz w:val="21"/>
                <w:szCs w:val="21"/>
                <w:lang w:val="en-US" w:eastAsia="zh-CN"/>
              </w:rPr>
              <w:t>/</w:t>
            </w:r>
          </w:p>
        </w:tc>
      </w:tr>
      <w:tr w14:paraId="2D37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268" w:type="pct"/>
            <w:noWrap/>
            <w:vAlign w:val="center"/>
          </w:tcPr>
          <w:p w14:paraId="288D504E">
            <w:pPr>
              <w:keepNext w:val="0"/>
              <w:keepLines w:val="0"/>
              <w:pageBreakBefore w:val="0"/>
              <w:widowControl w:val="0"/>
              <w:kinsoku/>
              <w:wordWrap/>
              <w:overflowPunct/>
              <w:autoSpaceDE/>
              <w:autoSpaceDN/>
              <w:bidi w:val="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出栏量</w:t>
            </w:r>
          </w:p>
        </w:tc>
        <w:tc>
          <w:tcPr>
            <w:tcW w:w="1968" w:type="dxa"/>
            <w:noWrap/>
            <w:vAlign w:val="center"/>
          </w:tcPr>
          <w:p w14:paraId="49527A83">
            <w:pPr>
              <w:pStyle w:val="79"/>
              <w:keepNext w:val="0"/>
              <w:keepLines w:val="0"/>
              <w:pageBreakBefore w:val="0"/>
              <w:widowControl w:val="0"/>
              <w:tabs>
                <w:tab w:val="left" w:pos="1119"/>
                <w:tab w:val="clear" w:pos="972"/>
              </w:tabs>
              <w:kinsoku/>
              <w:wordWrap/>
              <w:overflowPunct/>
              <w:topLinePunct w:val="0"/>
              <w:autoSpaceDE/>
              <w:autoSpaceDN/>
              <w:bidi w:val="0"/>
              <w:adjustRightInd/>
              <w:snapToGrid/>
              <w:spacing w:before="0" w:after="0"/>
              <w:ind w:right="0" w:rightChars="0" w:firstLine="0" w:firstLineChars="0"/>
              <w:jc w:val="center"/>
              <w:textAlignment w:val="auto"/>
              <w:rPr>
                <w:rFonts w:hint="default" w:ascii="Times New Roman" w:hAnsi="Times New Roman" w:cs="Times New Roman"/>
                <w:color w:val="auto"/>
                <w:sz w:val="21"/>
                <w:szCs w:val="21"/>
                <w:lang w:val="en-US" w:bidi="ar-SA"/>
              </w:rPr>
            </w:pPr>
            <w:r>
              <w:rPr>
                <w:rFonts w:hint="default" w:ascii="Times New Roman" w:hAnsi="Times New Roman" w:cs="Times New Roman"/>
                <w:color w:val="auto"/>
                <w:sz w:val="21"/>
                <w:szCs w:val="21"/>
                <w:lang w:val="en-US" w:bidi="ar-SA"/>
              </w:rPr>
              <w:t>育雏鸡</w:t>
            </w:r>
          </w:p>
        </w:tc>
        <w:tc>
          <w:tcPr>
            <w:tcW w:w="1572" w:type="dxa"/>
            <w:noWrap/>
            <w:vAlign w:val="center"/>
          </w:tcPr>
          <w:p w14:paraId="23E18DF4">
            <w:pPr>
              <w:keepNext w:val="0"/>
              <w:keepLines w:val="0"/>
              <w:pageBreakBefore w:val="0"/>
              <w:widowControl w:val="0"/>
              <w:kinsoku/>
              <w:wordWrap/>
              <w:overflowPunct/>
              <w:topLinePunct w:val="0"/>
              <w:autoSpaceDE/>
              <w:autoSpaceDN/>
              <w:bidi w:val="0"/>
              <w:adjustRightInd/>
              <w:snapToGrid/>
              <w:ind w:right="0" w:rightChars="0" w:firstLine="0" w:firstLineChars="0"/>
              <w:jc w:val="center"/>
              <w:textAlignment w:val="auto"/>
              <w:rPr>
                <w:rFonts w:hint="default" w:ascii="Times New Roman" w:hAnsi="Times New Roman" w:cs="Times New Roman"/>
                <w:color w:val="auto"/>
                <w:kern w:val="44"/>
                <w:sz w:val="21"/>
                <w:szCs w:val="21"/>
                <w:lang w:val="en-US" w:eastAsia="zh-CN" w:bidi="zh-CN"/>
              </w:rPr>
            </w:pPr>
            <w:r>
              <w:rPr>
                <w:rFonts w:hint="default" w:ascii="Times New Roman" w:hAnsi="Times New Roman" w:cs="Times New Roman"/>
                <w:color w:val="auto"/>
                <w:kern w:val="44"/>
                <w:sz w:val="21"/>
                <w:szCs w:val="21"/>
                <w:lang w:val="en-US" w:eastAsia="zh-CN" w:bidi="zh-CN"/>
              </w:rPr>
              <w:t>30</w:t>
            </w:r>
          </w:p>
        </w:tc>
        <w:tc>
          <w:tcPr>
            <w:tcW w:w="1623" w:type="pct"/>
            <w:noWrap/>
            <w:vAlign w:val="center"/>
          </w:tcPr>
          <w:p w14:paraId="22DA386E">
            <w:pPr>
              <w:jc w:val="center"/>
              <w:rPr>
                <w:rFonts w:hint="default" w:ascii="Times New Roman" w:hAnsi="Times New Roman" w:eastAsia="宋体" w:cs="Times New Roman"/>
                <w:color w:val="auto"/>
                <w:kern w:val="44"/>
                <w:sz w:val="21"/>
                <w:szCs w:val="21"/>
                <w:lang w:val="en-US" w:eastAsia="zh-CN"/>
              </w:rPr>
            </w:pPr>
            <w:r>
              <w:rPr>
                <w:rFonts w:hint="default" w:ascii="Times New Roman" w:hAnsi="Times New Roman" w:eastAsia="宋体" w:cs="Times New Roman"/>
                <w:color w:val="auto"/>
                <w:kern w:val="44"/>
                <w:sz w:val="21"/>
                <w:szCs w:val="21"/>
                <w:lang w:val="en-US" w:eastAsia="zh-CN"/>
              </w:rPr>
              <w:t>/</w:t>
            </w:r>
          </w:p>
        </w:tc>
      </w:tr>
    </w:tbl>
    <w:p w14:paraId="189DA269">
      <w:pPr>
        <w:pStyle w:val="14"/>
        <w:spacing w:line="240" w:lineRule="auto"/>
        <w:jc w:val="center"/>
        <w:rPr>
          <w:rFonts w:hint="default" w:ascii="Times New Roman" w:hAnsi="Times New Roman" w:eastAsia="宋体" w:cs="Times New Roman"/>
          <w:bCs/>
          <w:color w:val="FF0000"/>
          <w:sz w:val="21"/>
          <w:szCs w:val="21"/>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3.1</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eastAsia="宋体" w:cs="Times New Roman"/>
          <w:bCs/>
          <w:color w:val="FF0000"/>
          <w:sz w:val="21"/>
          <w:szCs w:val="21"/>
          <w:lang w:val="en-US" w:eastAsia="zh-CN"/>
        </w:rPr>
        <w:t>产品方案一览</w:t>
      </w:r>
      <w:r>
        <w:rPr>
          <w:rFonts w:hint="default" w:ascii="Times New Roman" w:hAnsi="Times New Roman" w:eastAsia="宋体" w:cs="Times New Roman"/>
          <w:bCs/>
          <w:color w:val="FF0000"/>
          <w:sz w:val="21"/>
          <w:szCs w:val="21"/>
        </w:rPr>
        <w:t>表</w:t>
      </w:r>
    </w:p>
    <w:tbl>
      <w:tblPr>
        <w:tblStyle w:val="33"/>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64"/>
        <w:gridCol w:w="3238"/>
        <w:gridCol w:w="3241"/>
      </w:tblGrid>
      <w:tr w14:paraId="689E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117" w:type="pct"/>
            <w:noWrap/>
            <w:vAlign w:val="center"/>
          </w:tcPr>
          <w:p w14:paraId="347C50CF">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产品名称</w:t>
            </w:r>
          </w:p>
        </w:tc>
        <w:tc>
          <w:tcPr>
            <w:tcW w:w="1940" w:type="pct"/>
            <w:noWrap/>
            <w:vAlign w:val="center"/>
          </w:tcPr>
          <w:p w14:paraId="6DCAFBCD">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规模</w:t>
            </w:r>
          </w:p>
        </w:tc>
        <w:tc>
          <w:tcPr>
            <w:tcW w:w="1941" w:type="pct"/>
            <w:noWrap/>
            <w:vAlign w:val="center"/>
          </w:tcPr>
          <w:p w14:paraId="101CD6C5">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备注</w:t>
            </w:r>
          </w:p>
        </w:tc>
      </w:tr>
      <w:tr w14:paraId="0F58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117" w:type="pct"/>
            <w:noWrap/>
            <w:vAlign w:val="center"/>
          </w:tcPr>
          <w:p w14:paraId="1D4CBA89">
            <w:pPr>
              <w:keepNext w:val="0"/>
              <w:keepLines w:val="0"/>
              <w:pageBreakBefore w:val="0"/>
              <w:widowControl w:val="0"/>
              <w:kinsoku/>
              <w:wordWrap/>
              <w:overflowPunct/>
              <w:autoSpaceDE/>
              <w:autoSpaceDN/>
              <w:bidi w:val="0"/>
              <w:jc w:val="center"/>
              <w:textAlignment w:val="auto"/>
              <w:rPr>
                <w:rFonts w:hint="default" w:ascii="Times New Roman" w:hAnsi="Times New Roman" w:eastAsia="宋体" w:cs="Times New Roman"/>
                <w:color w:val="FF0000"/>
                <w:kern w:val="44"/>
                <w:sz w:val="21"/>
                <w:szCs w:val="21"/>
                <w:lang w:val="en-US" w:eastAsia="zh-CN" w:bidi="ar-SA"/>
              </w:rPr>
            </w:pPr>
            <w:r>
              <w:rPr>
                <w:rFonts w:hint="default" w:ascii="Times New Roman" w:hAnsi="Times New Roman" w:eastAsia="宋体" w:cs="Times New Roman"/>
                <w:color w:val="FF0000"/>
                <w:kern w:val="44"/>
                <w:sz w:val="21"/>
                <w:szCs w:val="21"/>
                <w:lang w:val="en-US" w:eastAsia="zh-CN" w:bidi="ar-SA"/>
              </w:rPr>
              <w:t>鸡蛋</w:t>
            </w:r>
          </w:p>
        </w:tc>
        <w:tc>
          <w:tcPr>
            <w:tcW w:w="1940" w:type="pct"/>
            <w:noWrap/>
            <w:vAlign w:val="center"/>
          </w:tcPr>
          <w:p w14:paraId="39F3B989">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2600万枚/a</w:t>
            </w:r>
          </w:p>
        </w:tc>
        <w:tc>
          <w:tcPr>
            <w:tcW w:w="1941" w:type="pct"/>
            <w:noWrap/>
            <w:vAlign w:val="center"/>
          </w:tcPr>
          <w:p w14:paraId="1D00C725">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外售</w:t>
            </w:r>
          </w:p>
        </w:tc>
      </w:tr>
      <w:tr w14:paraId="5704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117" w:type="pct"/>
            <w:noWrap/>
            <w:vAlign w:val="center"/>
          </w:tcPr>
          <w:p w14:paraId="04740B00">
            <w:pPr>
              <w:keepNext w:val="0"/>
              <w:keepLines w:val="0"/>
              <w:pageBreakBefore w:val="0"/>
              <w:widowControl w:val="0"/>
              <w:kinsoku/>
              <w:wordWrap/>
              <w:overflowPunct/>
              <w:autoSpaceDE/>
              <w:autoSpaceDN/>
              <w:bidi w:val="0"/>
              <w:jc w:val="center"/>
              <w:textAlignment w:val="auto"/>
              <w:rPr>
                <w:rFonts w:hint="default" w:ascii="Times New Roman" w:hAnsi="Times New Roman" w:eastAsia="宋体" w:cs="Times New Roman"/>
                <w:color w:val="FF0000"/>
                <w:kern w:val="44"/>
                <w:sz w:val="21"/>
                <w:szCs w:val="21"/>
                <w:lang w:val="en-US" w:eastAsia="zh-CN" w:bidi="ar-SA"/>
              </w:rPr>
            </w:pPr>
            <w:bookmarkStart w:id="37" w:name="_Toc22601"/>
            <w:bookmarkStart w:id="38" w:name="_Toc28182"/>
            <w:r>
              <w:rPr>
                <w:rFonts w:hint="default" w:ascii="Times New Roman" w:hAnsi="Times New Roman" w:eastAsia="宋体" w:cs="Times New Roman"/>
                <w:color w:val="FF0000"/>
                <w:kern w:val="44"/>
                <w:sz w:val="21"/>
                <w:szCs w:val="21"/>
                <w:lang w:val="en-US" w:eastAsia="zh-CN" w:bidi="ar-SA"/>
              </w:rPr>
              <w:t>有机肥</w:t>
            </w:r>
          </w:p>
        </w:tc>
        <w:tc>
          <w:tcPr>
            <w:tcW w:w="1940" w:type="pct"/>
            <w:noWrap/>
            <w:vAlign w:val="center"/>
          </w:tcPr>
          <w:p w14:paraId="736D9225">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28470t/a</w:t>
            </w:r>
          </w:p>
        </w:tc>
        <w:tc>
          <w:tcPr>
            <w:tcW w:w="1941" w:type="pct"/>
            <w:noWrap/>
            <w:vAlign w:val="center"/>
          </w:tcPr>
          <w:p w14:paraId="3438A35D">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外售</w:t>
            </w:r>
          </w:p>
        </w:tc>
      </w:tr>
      <w:tr w14:paraId="49DD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117" w:type="pct"/>
            <w:noWrap/>
            <w:vAlign w:val="center"/>
          </w:tcPr>
          <w:p w14:paraId="4E43860A">
            <w:pPr>
              <w:keepNext w:val="0"/>
              <w:keepLines w:val="0"/>
              <w:pageBreakBefore w:val="0"/>
              <w:widowControl w:val="0"/>
              <w:kinsoku/>
              <w:wordWrap/>
              <w:overflowPunct/>
              <w:autoSpaceDE/>
              <w:autoSpaceDN/>
              <w:bidi w:val="0"/>
              <w:jc w:val="center"/>
              <w:textAlignment w:val="auto"/>
              <w:rPr>
                <w:rFonts w:hint="default" w:ascii="Times New Roman" w:hAnsi="Times New Roman" w:eastAsia="宋体" w:cs="Times New Roman"/>
                <w:color w:val="FF0000"/>
                <w:kern w:val="44"/>
                <w:sz w:val="21"/>
                <w:szCs w:val="21"/>
                <w:lang w:val="en-US" w:eastAsia="zh-CN" w:bidi="ar-SA"/>
              </w:rPr>
            </w:pPr>
            <w:r>
              <w:rPr>
                <w:rFonts w:hint="default" w:ascii="Times New Roman" w:hAnsi="Times New Roman" w:eastAsia="宋体" w:cs="Times New Roman"/>
                <w:color w:val="FF0000"/>
                <w:kern w:val="44"/>
                <w:sz w:val="21"/>
                <w:szCs w:val="21"/>
                <w:lang w:val="en-US" w:eastAsia="zh-CN"/>
              </w:rPr>
              <w:t>蛋鸡</w:t>
            </w:r>
          </w:p>
        </w:tc>
        <w:tc>
          <w:tcPr>
            <w:tcW w:w="1940" w:type="pct"/>
            <w:noWrap/>
            <w:vAlign w:val="center"/>
          </w:tcPr>
          <w:p w14:paraId="16595A39">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kern w:val="44"/>
                <w:sz w:val="21"/>
                <w:szCs w:val="21"/>
                <w:lang w:val="en-US" w:eastAsia="zh-CN" w:bidi="zh-CN"/>
              </w:rPr>
              <w:t>30</w:t>
            </w:r>
            <w:r>
              <w:rPr>
                <w:rFonts w:hint="default" w:ascii="Times New Roman" w:hAnsi="Times New Roman" w:cs="Times New Roman"/>
                <w:color w:val="FF0000"/>
                <w:sz w:val="21"/>
                <w:szCs w:val="21"/>
                <w:lang w:val="en-US" w:eastAsia="zh-CN"/>
              </w:rPr>
              <w:t>万羽/a</w:t>
            </w:r>
          </w:p>
        </w:tc>
        <w:tc>
          <w:tcPr>
            <w:tcW w:w="1941" w:type="pct"/>
            <w:noWrap/>
            <w:vAlign w:val="center"/>
          </w:tcPr>
          <w:p w14:paraId="293D1F70">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kern w:val="44"/>
                <w:sz w:val="21"/>
                <w:szCs w:val="21"/>
                <w:lang w:val="en-US" w:eastAsia="zh-CN"/>
              </w:rPr>
              <w:t>外售淘汰蛋鸡</w:t>
            </w:r>
          </w:p>
        </w:tc>
      </w:tr>
      <w:tr w14:paraId="59FF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117" w:type="pct"/>
            <w:noWrap/>
            <w:vAlign w:val="center"/>
          </w:tcPr>
          <w:p w14:paraId="4CEF08A3">
            <w:pPr>
              <w:keepNext w:val="0"/>
              <w:keepLines w:val="0"/>
              <w:pageBreakBefore w:val="0"/>
              <w:widowControl w:val="0"/>
              <w:kinsoku/>
              <w:wordWrap/>
              <w:overflowPunct/>
              <w:autoSpaceDE/>
              <w:autoSpaceDN/>
              <w:bidi w:val="0"/>
              <w:jc w:val="center"/>
              <w:textAlignment w:val="auto"/>
              <w:rPr>
                <w:rFonts w:hint="default" w:ascii="Times New Roman" w:hAnsi="Times New Roman" w:eastAsia="宋体" w:cs="Times New Roman"/>
                <w:color w:val="FF0000"/>
                <w:kern w:val="44"/>
                <w:sz w:val="21"/>
                <w:szCs w:val="21"/>
                <w:lang w:val="en-US" w:eastAsia="zh-CN"/>
              </w:rPr>
            </w:pPr>
            <w:r>
              <w:rPr>
                <w:rFonts w:hint="default" w:ascii="Times New Roman" w:hAnsi="Times New Roman" w:cs="Times New Roman"/>
                <w:color w:val="FF0000"/>
                <w:sz w:val="21"/>
                <w:szCs w:val="21"/>
                <w:lang w:val="en-US" w:bidi="ar-SA"/>
              </w:rPr>
              <w:t>育雏鸡</w:t>
            </w:r>
          </w:p>
        </w:tc>
        <w:tc>
          <w:tcPr>
            <w:tcW w:w="1940" w:type="pct"/>
            <w:shd w:val="clear" w:color="auto" w:fill="auto"/>
            <w:noWrap/>
            <w:vAlign w:val="center"/>
          </w:tcPr>
          <w:p w14:paraId="285AF247">
            <w:pPr>
              <w:pStyle w:val="79"/>
              <w:keepNext w:val="0"/>
              <w:keepLines w:val="0"/>
              <w:pageBreakBefore w:val="0"/>
              <w:widowControl w:val="0"/>
              <w:tabs>
                <w:tab w:val="left" w:pos="1119"/>
                <w:tab w:val="clear" w:pos="972"/>
              </w:tabs>
              <w:kinsoku/>
              <w:wordWrap/>
              <w:overflowPunct/>
              <w:topLinePunct w:val="0"/>
              <w:autoSpaceDE/>
              <w:autoSpaceDN/>
              <w:bidi w:val="0"/>
              <w:adjustRightInd/>
              <w:snapToGrid/>
              <w:spacing w:before="0" w:after="0"/>
              <w:ind w:right="0" w:rightChars="0" w:firstLine="0" w:firstLineChars="0"/>
              <w:jc w:val="center"/>
              <w:textAlignment w:val="auto"/>
              <w:rPr>
                <w:rFonts w:hint="default" w:ascii="Times New Roman" w:hAnsi="Times New Roman" w:cs="Times New Roman"/>
                <w:color w:val="FF0000"/>
                <w:kern w:val="40"/>
                <w:sz w:val="21"/>
                <w:szCs w:val="21"/>
                <w:highlight w:val="none"/>
                <w:lang w:val="en-US" w:eastAsia="zh-CN" w:bidi="ar-SA"/>
              </w:rPr>
            </w:pPr>
            <w:r>
              <w:rPr>
                <w:rFonts w:hint="default" w:ascii="Times New Roman" w:hAnsi="Times New Roman" w:cs="Times New Roman"/>
                <w:color w:val="FF0000"/>
                <w:kern w:val="44"/>
                <w:sz w:val="21"/>
                <w:szCs w:val="21"/>
                <w:lang w:val="en-US" w:eastAsia="zh-CN" w:bidi="zh-CN"/>
              </w:rPr>
              <w:t>30</w:t>
            </w:r>
            <w:r>
              <w:rPr>
                <w:rFonts w:hint="default" w:ascii="Times New Roman" w:hAnsi="Times New Roman" w:cs="Times New Roman"/>
                <w:color w:val="FF0000"/>
                <w:sz w:val="21"/>
                <w:szCs w:val="21"/>
                <w:lang w:val="en-US" w:eastAsia="zh-CN"/>
              </w:rPr>
              <w:t>万羽/a</w:t>
            </w:r>
          </w:p>
        </w:tc>
        <w:tc>
          <w:tcPr>
            <w:tcW w:w="1941" w:type="pct"/>
            <w:shd w:val="clear" w:color="auto" w:fill="auto"/>
            <w:noWrap/>
            <w:vAlign w:val="center"/>
          </w:tcPr>
          <w:p w14:paraId="528F43C5">
            <w:pPr>
              <w:keepNext w:val="0"/>
              <w:keepLines w:val="0"/>
              <w:pageBreakBefore w:val="0"/>
              <w:widowControl w:val="0"/>
              <w:kinsoku/>
              <w:wordWrap/>
              <w:overflowPunct/>
              <w:topLinePunct w:val="0"/>
              <w:autoSpaceDE/>
              <w:autoSpaceDN/>
              <w:bidi w:val="0"/>
              <w:adjustRightInd/>
              <w:snapToGrid/>
              <w:ind w:right="0" w:rightChars="0" w:firstLine="0" w:firstLineChars="0"/>
              <w:jc w:val="center"/>
              <w:textAlignment w:val="auto"/>
              <w:rPr>
                <w:rFonts w:hint="default" w:ascii="Times New Roman" w:hAnsi="Times New Roman" w:cs="Times New Roman"/>
                <w:color w:val="FF0000"/>
                <w:kern w:val="44"/>
                <w:sz w:val="21"/>
                <w:szCs w:val="21"/>
                <w:lang w:val="en-US" w:eastAsia="zh-CN" w:bidi="zh-CN"/>
              </w:rPr>
            </w:pPr>
            <w:r>
              <w:rPr>
                <w:rFonts w:hint="default" w:ascii="Times New Roman" w:hAnsi="Times New Roman" w:cs="Times New Roman"/>
                <w:color w:val="FF0000"/>
                <w:kern w:val="44"/>
                <w:sz w:val="21"/>
                <w:szCs w:val="21"/>
                <w:lang w:val="en-US" w:eastAsia="zh-CN" w:bidi="zh-CN"/>
              </w:rPr>
              <w:t>进入下一次养殖阶段</w:t>
            </w:r>
          </w:p>
        </w:tc>
      </w:tr>
    </w:tbl>
    <w:p w14:paraId="6EAE5CD3">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项目组成</w:t>
      </w:r>
      <w:bookmarkEnd w:id="37"/>
      <w:bookmarkEnd w:id="38"/>
    </w:p>
    <w:p w14:paraId="4307BFAB">
      <w:pPr>
        <w:pStyle w:val="16"/>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全智能数字化蛋鸡养殖科技园区</w:t>
      </w:r>
      <w:r>
        <w:rPr>
          <w:rFonts w:hint="default" w:ascii="Times New Roman" w:hAnsi="Times New Roman" w:cs="Times New Roman"/>
          <w:color w:val="auto"/>
        </w:rPr>
        <w:t>组成见表</w:t>
      </w:r>
      <w:r>
        <w:rPr>
          <w:rFonts w:hint="default" w:ascii="Times New Roman" w:hAnsi="Times New Roman" w:cs="Times New Roman"/>
          <w:color w:val="auto"/>
          <w:lang w:val="en-US"/>
        </w:rPr>
        <w:t>3.</w:t>
      </w:r>
      <w:r>
        <w:rPr>
          <w:rFonts w:hint="default" w:ascii="Times New Roman" w:hAnsi="Times New Roman" w:cs="Times New Roman"/>
          <w:color w:val="auto"/>
          <w:lang w:val="en-US" w:eastAsia="zh-CN"/>
        </w:rPr>
        <w:t>1-3</w:t>
      </w:r>
      <w:r>
        <w:rPr>
          <w:rFonts w:hint="default" w:ascii="Times New Roman" w:hAnsi="Times New Roman" w:cs="Times New Roman"/>
          <w:color w:val="auto"/>
        </w:rPr>
        <w:t>。</w:t>
      </w:r>
    </w:p>
    <w:p w14:paraId="2891B39A">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工程组成一览表</w:t>
      </w:r>
    </w:p>
    <w:tbl>
      <w:tblPr>
        <w:tblStyle w:val="33"/>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9"/>
        <w:gridCol w:w="555"/>
        <w:gridCol w:w="996"/>
        <w:gridCol w:w="1543"/>
        <w:gridCol w:w="4074"/>
        <w:gridCol w:w="656"/>
      </w:tblGrid>
      <w:tr w14:paraId="07D3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69" w:type="dxa"/>
            <w:noWrap/>
            <w:vAlign w:val="center"/>
          </w:tcPr>
          <w:p w14:paraId="5372F6A1">
            <w:pPr>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工程</w:t>
            </w:r>
          </w:p>
          <w:p w14:paraId="7E18971E">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3"/>
                <w:kern w:val="0"/>
                <w:sz w:val="21"/>
                <w:szCs w:val="21"/>
              </w:rPr>
              <w:t>类别</w:t>
            </w:r>
          </w:p>
        </w:tc>
        <w:tc>
          <w:tcPr>
            <w:tcW w:w="1551" w:type="dxa"/>
            <w:gridSpan w:val="2"/>
            <w:noWrap/>
            <w:vAlign w:val="center"/>
          </w:tcPr>
          <w:p w14:paraId="41759B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5617" w:type="dxa"/>
            <w:gridSpan w:val="2"/>
            <w:noWrap/>
            <w:vAlign w:val="center"/>
          </w:tcPr>
          <w:p w14:paraId="085E2976">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3"/>
                <w:kern w:val="0"/>
                <w:sz w:val="21"/>
                <w:szCs w:val="21"/>
              </w:rPr>
              <w:t>建设内容</w:t>
            </w:r>
          </w:p>
        </w:tc>
        <w:tc>
          <w:tcPr>
            <w:tcW w:w="656" w:type="dxa"/>
            <w:noWrap/>
            <w:vAlign w:val="center"/>
          </w:tcPr>
          <w:p w14:paraId="3371F9C3">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3"/>
                <w:kern w:val="0"/>
                <w:sz w:val="21"/>
                <w:szCs w:val="21"/>
              </w:rPr>
              <w:t>备注</w:t>
            </w:r>
          </w:p>
        </w:tc>
      </w:tr>
      <w:tr w14:paraId="2715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569" w:type="dxa"/>
            <w:vMerge w:val="restart"/>
            <w:noWrap/>
            <w:vAlign w:val="center"/>
          </w:tcPr>
          <w:p w14:paraId="4B09EA10">
            <w:pPr>
              <w:keepNext w:val="0"/>
              <w:keepLines w:val="0"/>
              <w:pageBreakBefore w:val="0"/>
              <w:widowControl w:val="0"/>
              <w:kinsoku/>
              <w:wordWrap/>
              <w:overflowPunct/>
              <w:autoSpaceDE/>
              <w:autoSpaceDN/>
              <w:bidi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w:t>
            </w:r>
          </w:p>
          <w:p w14:paraId="1F561C63">
            <w:pPr>
              <w:keepNext w:val="0"/>
              <w:keepLines w:val="0"/>
              <w:pageBreakBefore w:val="0"/>
              <w:widowControl w:val="0"/>
              <w:kinsoku/>
              <w:wordWrap/>
              <w:overflowPunct/>
              <w:autoSpaceDE/>
              <w:autoSpaceDN/>
              <w:bidi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551" w:type="dxa"/>
            <w:gridSpan w:val="2"/>
            <w:noWrap/>
            <w:vAlign w:val="center"/>
          </w:tcPr>
          <w:p w14:paraId="7B388C7A">
            <w:pPr>
              <w:pStyle w:val="79"/>
              <w:keepNext w:val="0"/>
              <w:keepLines w:val="0"/>
              <w:pageBreakBefore w:val="0"/>
              <w:widowControl w:val="0"/>
              <w:tabs>
                <w:tab w:val="left" w:pos="1119"/>
                <w:tab w:val="clear" w:pos="972"/>
              </w:tabs>
              <w:kinsoku/>
              <w:wordWrap/>
              <w:overflowPunct/>
              <w:autoSpaceDE/>
              <w:autoSpaceDN/>
              <w:bidi w:val="0"/>
              <w:spacing w:after="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44"/>
                <w:sz w:val="21"/>
                <w:szCs w:val="21"/>
                <w:lang w:val="en-US" w:eastAsia="zh-CN"/>
              </w:rPr>
              <w:t>育雏育成舍</w:t>
            </w:r>
          </w:p>
        </w:tc>
        <w:tc>
          <w:tcPr>
            <w:tcW w:w="5617" w:type="dxa"/>
            <w:gridSpan w:val="2"/>
            <w:noWrap/>
            <w:vAlign w:val="center"/>
          </w:tcPr>
          <w:p w14:paraId="6BB4FBBF">
            <w:pPr>
              <w:keepNext w:val="0"/>
              <w:keepLines w:val="0"/>
              <w:pageBreakBefore w:val="0"/>
              <w:widowControl w:val="0"/>
              <w:kinsoku/>
              <w:wordWrap/>
              <w:overflowPunct/>
              <w:autoSpaceDE/>
              <w:autoSpaceDN/>
              <w:bidi w:val="0"/>
              <w:jc w:val="center"/>
              <w:textAlignment w:val="auto"/>
              <w:rPr>
                <w:rFonts w:hint="default" w:ascii="Times New Roman" w:hAnsi="Times New Roman" w:cs="Times New Roman"/>
                <w:color w:val="auto"/>
                <w:kern w:val="44"/>
                <w:sz w:val="21"/>
                <w:szCs w:val="21"/>
              </w:rPr>
            </w:pPr>
            <w:r>
              <w:rPr>
                <w:rFonts w:hint="default" w:ascii="Times New Roman" w:hAnsi="Times New Roman" w:cs="Times New Roman"/>
                <w:color w:val="auto"/>
                <w:kern w:val="44"/>
                <w:sz w:val="21"/>
                <w:szCs w:val="21"/>
                <w:lang w:val="en-US" w:eastAsia="zh-CN"/>
              </w:rPr>
              <w:t>2</w:t>
            </w:r>
            <w:r>
              <w:rPr>
                <w:rFonts w:hint="default" w:ascii="Times New Roman" w:hAnsi="Times New Roman" w:cs="Times New Roman"/>
                <w:color w:val="auto"/>
                <w:kern w:val="44"/>
                <w:sz w:val="21"/>
                <w:szCs w:val="21"/>
              </w:rPr>
              <w:t>栋</w:t>
            </w:r>
            <w:r>
              <w:rPr>
                <w:rFonts w:hint="default" w:ascii="Times New Roman" w:hAnsi="Times New Roman" w:cs="Times New Roman"/>
                <w:color w:val="auto"/>
                <w:sz w:val="21"/>
                <w:szCs w:val="21"/>
                <w:lang w:val="en-US" w:eastAsia="zh-CN"/>
              </w:rPr>
              <w:t>，每栋建筑面积1080</w:t>
            </w:r>
            <w:r>
              <w:rPr>
                <w:rFonts w:hint="default" w:ascii="Times New Roman" w:hAnsi="Times New Roman" w:cs="Times New Roman"/>
                <w:color w:val="auto"/>
                <w:kern w:val="44"/>
                <w:sz w:val="21"/>
                <w:szCs w:val="21"/>
              </w:rPr>
              <w:t>m</w:t>
            </w:r>
            <w:r>
              <w:rPr>
                <w:rFonts w:hint="default" w:ascii="Times New Roman" w:hAnsi="Times New Roman" w:cs="Times New Roman"/>
                <w:color w:val="auto"/>
                <w:kern w:val="44"/>
                <w:sz w:val="21"/>
                <w:szCs w:val="21"/>
                <w:vertAlign w:val="superscript"/>
              </w:rPr>
              <w:t>2</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kern w:val="44"/>
                <w:sz w:val="21"/>
                <w:szCs w:val="21"/>
                <w:lang w:val="en-US" w:eastAsia="zh-CN"/>
              </w:rPr>
              <w:t>总</w:t>
            </w:r>
            <w:r>
              <w:rPr>
                <w:rFonts w:hint="default" w:ascii="Times New Roman" w:hAnsi="Times New Roman" w:cs="Times New Roman"/>
                <w:color w:val="auto"/>
                <w:kern w:val="44"/>
                <w:sz w:val="21"/>
                <w:szCs w:val="21"/>
              </w:rPr>
              <w:t>建设面积</w:t>
            </w:r>
            <w:r>
              <w:rPr>
                <w:rFonts w:hint="default" w:ascii="Times New Roman" w:hAnsi="Times New Roman" w:cs="Times New Roman"/>
                <w:color w:val="auto"/>
                <w:kern w:val="44"/>
                <w:sz w:val="21"/>
                <w:szCs w:val="21"/>
                <w:lang w:val="en-US" w:eastAsia="zh-CN"/>
              </w:rPr>
              <w:t>2160</w:t>
            </w:r>
            <w:r>
              <w:rPr>
                <w:rFonts w:hint="default" w:ascii="Times New Roman" w:hAnsi="Times New Roman" w:cs="Times New Roman"/>
                <w:color w:val="auto"/>
                <w:kern w:val="44"/>
                <w:sz w:val="21"/>
                <w:szCs w:val="21"/>
              </w:rPr>
              <w:t>m</w:t>
            </w:r>
            <w:r>
              <w:rPr>
                <w:rFonts w:hint="default" w:ascii="Times New Roman" w:hAnsi="Times New Roman" w:cs="Times New Roman"/>
                <w:color w:val="auto"/>
                <w:kern w:val="44"/>
                <w:sz w:val="21"/>
                <w:szCs w:val="21"/>
                <w:vertAlign w:val="superscript"/>
              </w:rPr>
              <w:t>2</w:t>
            </w:r>
          </w:p>
        </w:tc>
        <w:tc>
          <w:tcPr>
            <w:tcW w:w="656" w:type="dxa"/>
            <w:noWrap/>
            <w:vAlign w:val="center"/>
          </w:tcPr>
          <w:p w14:paraId="4930F43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709A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569" w:type="dxa"/>
            <w:vMerge w:val="continue"/>
            <w:noWrap/>
            <w:vAlign w:val="center"/>
          </w:tcPr>
          <w:p w14:paraId="57B98AEE">
            <w:pPr>
              <w:keepNext w:val="0"/>
              <w:keepLines w:val="0"/>
              <w:pageBreakBefore w:val="0"/>
              <w:widowControl w:val="0"/>
              <w:kinsoku/>
              <w:wordWrap/>
              <w:overflowPunct/>
              <w:autoSpaceDE/>
              <w:autoSpaceDN/>
              <w:bidi w:val="0"/>
              <w:jc w:val="center"/>
              <w:textAlignment w:val="auto"/>
              <w:rPr>
                <w:rFonts w:hint="default" w:ascii="Times New Roman" w:hAnsi="Times New Roman" w:cs="Times New Roman"/>
                <w:color w:val="auto"/>
                <w:sz w:val="21"/>
                <w:szCs w:val="21"/>
              </w:rPr>
            </w:pPr>
          </w:p>
        </w:tc>
        <w:tc>
          <w:tcPr>
            <w:tcW w:w="1551" w:type="dxa"/>
            <w:gridSpan w:val="2"/>
            <w:noWrap/>
            <w:vAlign w:val="center"/>
          </w:tcPr>
          <w:p w14:paraId="02CD48E1">
            <w:pPr>
              <w:pStyle w:val="79"/>
              <w:keepNext w:val="0"/>
              <w:keepLines w:val="0"/>
              <w:pageBreakBefore w:val="0"/>
              <w:widowControl w:val="0"/>
              <w:tabs>
                <w:tab w:val="left" w:pos="1119"/>
                <w:tab w:val="clear" w:pos="972"/>
              </w:tabs>
              <w:kinsoku/>
              <w:wordWrap/>
              <w:overflowPunct/>
              <w:autoSpaceDE/>
              <w:autoSpaceDN/>
              <w:bidi w:val="0"/>
              <w:spacing w:after="0"/>
              <w:jc w:val="both"/>
              <w:textAlignment w:val="auto"/>
              <w:rPr>
                <w:rFonts w:hint="default" w:ascii="Times New Roman" w:hAnsi="Times New Roman" w:eastAsia="宋体" w:cs="Times New Roman"/>
                <w:color w:val="auto"/>
                <w:kern w:val="44"/>
                <w:sz w:val="21"/>
                <w:szCs w:val="21"/>
                <w:lang w:val="en-US" w:eastAsia="zh-CN"/>
              </w:rPr>
            </w:pPr>
            <w:r>
              <w:rPr>
                <w:rFonts w:hint="default" w:ascii="Times New Roman" w:hAnsi="Times New Roman" w:eastAsia="宋体" w:cs="Times New Roman"/>
                <w:color w:val="auto"/>
                <w:kern w:val="44"/>
                <w:sz w:val="21"/>
                <w:szCs w:val="21"/>
                <w:lang w:val="en-US" w:eastAsia="zh-CN"/>
              </w:rPr>
              <w:t>蛋鸡舍</w:t>
            </w:r>
          </w:p>
        </w:tc>
        <w:tc>
          <w:tcPr>
            <w:tcW w:w="5617" w:type="dxa"/>
            <w:gridSpan w:val="2"/>
            <w:noWrap/>
            <w:vAlign w:val="center"/>
          </w:tcPr>
          <w:p w14:paraId="2A307BF4">
            <w:pPr>
              <w:keepNext w:val="0"/>
              <w:keepLines w:val="0"/>
              <w:pageBreakBefore w:val="0"/>
              <w:widowControl w:val="0"/>
              <w:kinsoku/>
              <w:wordWrap/>
              <w:overflowPunct/>
              <w:autoSpaceDE/>
              <w:autoSpaceDN/>
              <w:bidi w:val="0"/>
              <w:jc w:val="center"/>
              <w:textAlignment w:val="auto"/>
              <w:rPr>
                <w:rFonts w:hint="default" w:ascii="Times New Roman" w:hAnsi="Times New Roman" w:cs="Times New Roman"/>
                <w:color w:val="auto"/>
                <w:kern w:val="44"/>
                <w:sz w:val="21"/>
                <w:szCs w:val="21"/>
              </w:rPr>
            </w:pPr>
            <w:r>
              <w:rPr>
                <w:rFonts w:hint="default" w:ascii="Times New Roman" w:hAnsi="Times New Roman" w:cs="Times New Roman"/>
                <w:color w:val="auto"/>
                <w:kern w:val="44"/>
                <w:sz w:val="21"/>
                <w:szCs w:val="21"/>
                <w:lang w:val="en-US" w:eastAsia="zh-CN"/>
              </w:rPr>
              <w:t>6</w:t>
            </w:r>
            <w:r>
              <w:rPr>
                <w:rFonts w:hint="default" w:ascii="Times New Roman" w:hAnsi="Times New Roman" w:cs="Times New Roman"/>
                <w:color w:val="auto"/>
                <w:kern w:val="44"/>
                <w:sz w:val="21"/>
                <w:szCs w:val="21"/>
              </w:rPr>
              <w:t>栋，</w:t>
            </w:r>
            <w:r>
              <w:rPr>
                <w:rFonts w:hint="default" w:ascii="Times New Roman" w:hAnsi="Times New Roman" w:cs="Times New Roman"/>
                <w:color w:val="auto"/>
                <w:sz w:val="21"/>
                <w:szCs w:val="21"/>
                <w:lang w:val="en-US" w:eastAsia="zh-CN"/>
              </w:rPr>
              <w:t>每栋建筑面1575</w:t>
            </w:r>
            <w:r>
              <w:rPr>
                <w:rFonts w:hint="default" w:ascii="Times New Roman" w:hAnsi="Times New Roman" w:cs="Times New Roman"/>
                <w:color w:val="auto"/>
                <w:kern w:val="44"/>
                <w:sz w:val="21"/>
                <w:szCs w:val="21"/>
              </w:rPr>
              <w:t>m</w:t>
            </w:r>
            <w:r>
              <w:rPr>
                <w:rFonts w:hint="default" w:ascii="Times New Roman" w:hAnsi="Times New Roman" w:cs="Times New Roman"/>
                <w:color w:val="auto"/>
                <w:kern w:val="44"/>
                <w:sz w:val="21"/>
                <w:szCs w:val="21"/>
                <w:vertAlign w:val="superscript"/>
              </w:rPr>
              <w:t>2</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kern w:val="44"/>
                <w:sz w:val="21"/>
                <w:szCs w:val="21"/>
                <w:lang w:val="en-US" w:eastAsia="zh-CN"/>
              </w:rPr>
              <w:t>总</w:t>
            </w:r>
            <w:r>
              <w:rPr>
                <w:rFonts w:hint="default" w:ascii="Times New Roman" w:hAnsi="Times New Roman" w:cs="Times New Roman"/>
                <w:color w:val="auto"/>
                <w:kern w:val="44"/>
                <w:sz w:val="21"/>
                <w:szCs w:val="21"/>
              </w:rPr>
              <w:t>建设面积</w:t>
            </w:r>
            <w:r>
              <w:rPr>
                <w:rFonts w:hint="default" w:ascii="Times New Roman" w:hAnsi="Times New Roman" w:cs="Times New Roman"/>
                <w:color w:val="auto"/>
                <w:kern w:val="44"/>
                <w:sz w:val="21"/>
                <w:szCs w:val="21"/>
                <w:lang w:val="en-US" w:eastAsia="zh-CN"/>
              </w:rPr>
              <w:t>9450</w:t>
            </w:r>
            <w:r>
              <w:rPr>
                <w:rFonts w:hint="default" w:ascii="Times New Roman" w:hAnsi="Times New Roman" w:cs="Times New Roman"/>
                <w:color w:val="auto"/>
                <w:kern w:val="44"/>
                <w:sz w:val="21"/>
                <w:szCs w:val="21"/>
              </w:rPr>
              <w:t>m</w:t>
            </w:r>
            <w:r>
              <w:rPr>
                <w:rFonts w:hint="default" w:ascii="Times New Roman" w:hAnsi="Times New Roman" w:cs="Times New Roman"/>
                <w:color w:val="auto"/>
                <w:kern w:val="44"/>
                <w:sz w:val="21"/>
                <w:szCs w:val="21"/>
                <w:vertAlign w:val="superscript"/>
              </w:rPr>
              <w:t>2</w:t>
            </w:r>
          </w:p>
        </w:tc>
        <w:tc>
          <w:tcPr>
            <w:tcW w:w="656" w:type="dxa"/>
            <w:noWrap/>
            <w:vAlign w:val="center"/>
          </w:tcPr>
          <w:p w14:paraId="4278E30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新建</w:t>
            </w:r>
          </w:p>
        </w:tc>
      </w:tr>
      <w:tr w14:paraId="17EE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569" w:type="dxa"/>
            <w:vMerge w:val="restart"/>
            <w:noWrap/>
            <w:vAlign w:val="center"/>
          </w:tcPr>
          <w:p w14:paraId="15CA1FF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w:t>
            </w:r>
          </w:p>
          <w:p w14:paraId="7897D5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551" w:type="dxa"/>
            <w:gridSpan w:val="2"/>
            <w:noWrap/>
            <w:vAlign w:val="center"/>
          </w:tcPr>
          <w:p w14:paraId="7A64B39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综合检疫、消毒室</w:t>
            </w:r>
          </w:p>
        </w:tc>
        <w:tc>
          <w:tcPr>
            <w:tcW w:w="5617" w:type="dxa"/>
            <w:gridSpan w:val="2"/>
            <w:noWrap/>
            <w:vAlign w:val="center"/>
          </w:tcPr>
          <w:p w14:paraId="0EDBD94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1栋，地上1层，建筑高度3.7m，采用砖混结构，建筑面积126m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w:t>
            </w:r>
          </w:p>
        </w:tc>
        <w:tc>
          <w:tcPr>
            <w:tcW w:w="656" w:type="dxa"/>
            <w:noWrap/>
            <w:vAlign w:val="center"/>
          </w:tcPr>
          <w:p w14:paraId="749BC22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新建</w:t>
            </w:r>
          </w:p>
        </w:tc>
      </w:tr>
      <w:tr w14:paraId="71A6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569" w:type="dxa"/>
            <w:vMerge w:val="continue"/>
            <w:noWrap/>
            <w:vAlign w:val="center"/>
          </w:tcPr>
          <w:p w14:paraId="463EB4D1">
            <w:pPr>
              <w:jc w:val="center"/>
              <w:rPr>
                <w:rFonts w:hint="default" w:ascii="Times New Roman" w:hAnsi="Times New Roman" w:cs="Times New Roman"/>
                <w:color w:val="auto"/>
                <w:sz w:val="21"/>
                <w:szCs w:val="21"/>
              </w:rPr>
            </w:pPr>
          </w:p>
        </w:tc>
        <w:tc>
          <w:tcPr>
            <w:tcW w:w="1551" w:type="dxa"/>
            <w:gridSpan w:val="2"/>
            <w:noWrap/>
            <w:vAlign w:val="center"/>
          </w:tcPr>
          <w:p w14:paraId="628DA15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办公区</w:t>
            </w:r>
          </w:p>
        </w:tc>
        <w:tc>
          <w:tcPr>
            <w:tcW w:w="5617" w:type="dxa"/>
            <w:gridSpan w:val="2"/>
            <w:noWrap/>
            <w:vAlign w:val="center"/>
          </w:tcPr>
          <w:p w14:paraId="44EE0B3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办公用房1座，</w:t>
            </w:r>
            <w:r>
              <w:rPr>
                <w:rFonts w:hint="default" w:ascii="Times New Roman" w:hAnsi="Times New Roman" w:cs="Times New Roman"/>
                <w:color w:val="auto"/>
                <w:sz w:val="21"/>
                <w:szCs w:val="21"/>
              </w:rPr>
              <w:t>建筑面积</w:t>
            </w:r>
            <w:r>
              <w:rPr>
                <w:rFonts w:hint="default" w:ascii="Times New Roman" w:hAnsi="Times New Roman" w:cs="Times New Roman"/>
                <w:color w:val="auto"/>
                <w:sz w:val="21"/>
                <w:szCs w:val="21"/>
                <w:lang w:val="en-US" w:eastAsia="zh-CN"/>
              </w:rPr>
              <w:t>300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lang w:val="en-US" w:eastAsia="zh-CN"/>
              </w:rPr>
              <w:t>（设置有鸡蛋存放处）</w:t>
            </w:r>
          </w:p>
        </w:tc>
        <w:tc>
          <w:tcPr>
            <w:tcW w:w="656" w:type="dxa"/>
            <w:noWrap/>
            <w:vAlign w:val="center"/>
          </w:tcPr>
          <w:p w14:paraId="7D08781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新建</w:t>
            </w:r>
          </w:p>
        </w:tc>
      </w:tr>
      <w:tr w14:paraId="25D1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569" w:type="dxa"/>
            <w:vMerge w:val="continue"/>
            <w:noWrap/>
            <w:vAlign w:val="center"/>
          </w:tcPr>
          <w:p w14:paraId="67A304EC">
            <w:pPr>
              <w:jc w:val="center"/>
              <w:rPr>
                <w:rFonts w:hint="default" w:ascii="Times New Roman" w:hAnsi="Times New Roman" w:cs="Times New Roman"/>
                <w:color w:val="auto"/>
                <w:sz w:val="21"/>
                <w:szCs w:val="21"/>
              </w:rPr>
            </w:pPr>
          </w:p>
        </w:tc>
        <w:tc>
          <w:tcPr>
            <w:tcW w:w="1551" w:type="dxa"/>
            <w:gridSpan w:val="2"/>
            <w:noWrap/>
            <w:vAlign w:val="center"/>
          </w:tcPr>
          <w:p w14:paraId="2F05987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门卫</w:t>
            </w:r>
          </w:p>
        </w:tc>
        <w:tc>
          <w:tcPr>
            <w:tcW w:w="5617" w:type="dxa"/>
            <w:gridSpan w:val="2"/>
            <w:noWrap/>
            <w:vAlign w:val="center"/>
          </w:tcPr>
          <w:p w14:paraId="59AFFE1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1座，</w:t>
            </w:r>
            <w:r>
              <w:rPr>
                <w:rFonts w:hint="default" w:ascii="Times New Roman" w:hAnsi="Times New Roman" w:cs="Times New Roman"/>
                <w:color w:val="auto"/>
                <w:sz w:val="21"/>
                <w:szCs w:val="21"/>
              </w:rPr>
              <w:t>建筑面积</w:t>
            </w:r>
            <w:r>
              <w:rPr>
                <w:rFonts w:hint="default"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656" w:type="dxa"/>
            <w:noWrap/>
            <w:vAlign w:val="center"/>
          </w:tcPr>
          <w:p w14:paraId="076EFC7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新建</w:t>
            </w:r>
          </w:p>
        </w:tc>
      </w:tr>
      <w:tr w14:paraId="6693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569" w:type="dxa"/>
            <w:vMerge w:val="continue"/>
            <w:noWrap/>
            <w:vAlign w:val="center"/>
          </w:tcPr>
          <w:p w14:paraId="1DDAE8F1">
            <w:pPr>
              <w:jc w:val="center"/>
              <w:rPr>
                <w:rFonts w:hint="default" w:ascii="Times New Roman" w:hAnsi="Times New Roman" w:cs="Times New Roman"/>
                <w:color w:val="auto"/>
                <w:sz w:val="21"/>
                <w:szCs w:val="21"/>
              </w:rPr>
            </w:pPr>
          </w:p>
        </w:tc>
        <w:tc>
          <w:tcPr>
            <w:tcW w:w="1551" w:type="dxa"/>
            <w:gridSpan w:val="2"/>
            <w:noWrap/>
            <w:vAlign w:val="center"/>
          </w:tcPr>
          <w:p w14:paraId="7A8F885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车辆洗消区</w:t>
            </w:r>
          </w:p>
        </w:tc>
        <w:tc>
          <w:tcPr>
            <w:tcW w:w="5617" w:type="dxa"/>
            <w:gridSpan w:val="2"/>
            <w:noWrap/>
            <w:vAlign w:val="center"/>
          </w:tcPr>
          <w:p w14:paraId="391DE1D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1栋，地上1层，</w:t>
            </w:r>
            <w:r>
              <w:rPr>
                <w:rFonts w:hint="default" w:ascii="Times New Roman" w:hAnsi="Times New Roman" w:cs="Times New Roman"/>
                <w:color w:val="auto"/>
                <w:sz w:val="21"/>
                <w:szCs w:val="21"/>
              </w:rPr>
              <w:t>建筑面积</w:t>
            </w:r>
            <w:r>
              <w:rPr>
                <w:rFonts w:hint="default"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656" w:type="dxa"/>
            <w:noWrap/>
            <w:vAlign w:val="center"/>
          </w:tcPr>
          <w:p w14:paraId="43F2990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新建</w:t>
            </w:r>
          </w:p>
        </w:tc>
      </w:tr>
      <w:tr w14:paraId="69D2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569" w:type="dxa"/>
            <w:vMerge w:val="continue"/>
            <w:noWrap/>
            <w:vAlign w:val="center"/>
          </w:tcPr>
          <w:p w14:paraId="4AAC4910">
            <w:pPr>
              <w:jc w:val="center"/>
              <w:rPr>
                <w:rFonts w:hint="default" w:ascii="Times New Roman" w:hAnsi="Times New Roman" w:cs="Times New Roman"/>
                <w:color w:val="auto"/>
                <w:sz w:val="21"/>
                <w:szCs w:val="21"/>
              </w:rPr>
            </w:pPr>
          </w:p>
        </w:tc>
        <w:tc>
          <w:tcPr>
            <w:tcW w:w="1551" w:type="dxa"/>
            <w:gridSpan w:val="2"/>
            <w:noWrap/>
            <w:vAlign w:val="center"/>
          </w:tcPr>
          <w:p w14:paraId="45D1956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中央鸡蛋分级库</w:t>
            </w:r>
          </w:p>
        </w:tc>
        <w:tc>
          <w:tcPr>
            <w:tcW w:w="5617" w:type="dxa"/>
            <w:gridSpan w:val="2"/>
            <w:noWrap/>
            <w:vAlign w:val="center"/>
          </w:tcPr>
          <w:p w14:paraId="5A662B97">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1栋，地上1层，</w:t>
            </w:r>
            <w:r>
              <w:rPr>
                <w:rFonts w:hint="default" w:ascii="Times New Roman" w:hAnsi="Times New Roman" w:cs="Times New Roman"/>
                <w:color w:val="auto"/>
                <w:sz w:val="21"/>
                <w:szCs w:val="21"/>
              </w:rPr>
              <w:t>建筑面积</w:t>
            </w:r>
            <w:r>
              <w:rPr>
                <w:rFonts w:hint="default" w:ascii="Times New Roman" w:hAnsi="Times New Roman" w:cs="Times New Roman"/>
                <w:color w:val="auto"/>
                <w:sz w:val="21"/>
                <w:szCs w:val="21"/>
                <w:lang w:val="en-US" w:eastAsia="zh-CN"/>
              </w:rPr>
              <w:t>2112</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656" w:type="dxa"/>
            <w:noWrap/>
            <w:vAlign w:val="center"/>
          </w:tcPr>
          <w:p w14:paraId="2D5D6DF0">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760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569" w:type="dxa"/>
            <w:vMerge w:val="continue"/>
            <w:noWrap/>
            <w:vAlign w:val="center"/>
          </w:tcPr>
          <w:p w14:paraId="0CFA46A6">
            <w:pPr>
              <w:jc w:val="center"/>
              <w:rPr>
                <w:rFonts w:hint="default" w:ascii="Times New Roman" w:hAnsi="Times New Roman" w:cs="Times New Roman"/>
                <w:color w:val="auto"/>
                <w:sz w:val="21"/>
                <w:szCs w:val="21"/>
              </w:rPr>
            </w:pPr>
          </w:p>
        </w:tc>
        <w:tc>
          <w:tcPr>
            <w:tcW w:w="1551" w:type="dxa"/>
            <w:gridSpan w:val="2"/>
            <w:noWrap/>
            <w:vAlign w:val="center"/>
          </w:tcPr>
          <w:p w14:paraId="07B34137">
            <w:pPr>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料库</w:t>
            </w:r>
          </w:p>
        </w:tc>
        <w:tc>
          <w:tcPr>
            <w:tcW w:w="5617" w:type="dxa"/>
            <w:gridSpan w:val="2"/>
            <w:noWrap/>
            <w:vAlign w:val="center"/>
          </w:tcPr>
          <w:p w14:paraId="6D5ADF36">
            <w:pPr>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lang w:val="en-US" w:eastAsia="zh-CN"/>
              </w:rPr>
              <w:t>1栋，地上1层，</w:t>
            </w:r>
            <w:r>
              <w:rPr>
                <w:rFonts w:hint="default" w:ascii="Times New Roman" w:hAnsi="Times New Roman" w:cs="Times New Roman"/>
                <w:color w:val="FF0000"/>
                <w:sz w:val="21"/>
                <w:szCs w:val="21"/>
              </w:rPr>
              <w:t>建筑面积</w:t>
            </w:r>
            <w:r>
              <w:rPr>
                <w:rFonts w:hint="default" w:ascii="Times New Roman" w:hAnsi="Times New Roman" w:cs="Times New Roman"/>
                <w:color w:val="FF0000"/>
                <w:sz w:val="21"/>
                <w:szCs w:val="21"/>
                <w:lang w:val="en-US" w:eastAsia="zh-CN"/>
              </w:rPr>
              <w:t>1920</w:t>
            </w:r>
            <w:r>
              <w:rPr>
                <w:rFonts w:hint="default" w:ascii="Times New Roman" w:hAnsi="Times New Roman" w:cs="Times New Roman"/>
                <w:color w:val="FF0000"/>
                <w:sz w:val="21"/>
                <w:szCs w:val="21"/>
              </w:rPr>
              <w:t>m</w:t>
            </w:r>
            <w:r>
              <w:rPr>
                <w:rFonts w:hint="default" w:ascii="Times New Roman" w:hAnsi="Times New Roman" w:cs="Times New Roman"/>
                <w:color w:val="FF0000"/>
                <w:sz w:val="21"/>
                <w:szCs w:val="21"/>
                <w:vertAlign w:val="superscript"/>
              </w:rPr>
              <w:t>2</w:t>
            </w:r>
          </w:p>
        </w:tc>
        <w:tc>
          <w:tcPr>
            <w:tcW w:w="656" w:type="dxa"/>
            <w:noWrap/>
            <w:vAlign w:val="center"/>
          </w:tcPr>
          <w:p w14:paraId="4817482C">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124C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continue"/>
            <w:noWrap/>
            <w:vAlign w:val="center"/>
          </w:tcPr>
          <w:p w14:paraId="0784563E">
            <w:pPr>
              <w:jc w:val="center"/>
              <w:rPr>
                <w:rFonts w:hint="default" w:ascii="Times New Roman" w:hAnsi="Times New Roman" w:cs="Times New Roman"/>
                <w:color w:val="auto"/>
                <w:sz w:val="21"/>
                <w:szCs w:val="21"/>
              </w:rPr>
            </w:pPr>
          </w:p>
        </w:tc>
        <w:tc>
          <w:tcPr>
            <w:tcW w:w="1551" w:type="dxa"/>
            <w:gridSpan w:val="2"/>
            <w:noWrap/>
            <w:vAlign w:val="center"/>
          </w:tcPr>
          <w:p w14:paraId="6B31CEFA">
            <w:pPr>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饲料加工区</w:t>
            </w:r>
          </w:p>
        </w:tc>
        <w:tc>
          <w:tcPr>
            <w:tcW w:w="5617" w:type="dxa"/>
            <w:gridSpan w:val="2"/>
            <w:noWrap/>
            <w:vAlign w:val="center"/>
          </w:tcPr>
          <w:p w14:paraId="5BE6A224">
            <w:pPr>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cs="Times New Roman"/>
                <w:color w:val="FF0000"/>
                <w:sz w:val="21"/>
                <w:szCs w:val="21"/>
                <w:lang w:val="en-US" w:eastAsia="zh-CN"/>
              </w:rPr>
              <w:t>1栋，地上1层，</w:t>
            </w:r>
            <w:r>
              <w:rPr>
                <w:rFonts w:hint="default" w:ascii="Times New Roman" w:hAnsi="Times New Roman" w:cs="Times New Roman"/>
                <w:color w:val="FF0000"/>
                <w:sz w:val="21"/>
                <w:szCs w:val="21"/>
              </w:rPr>
              <w:t>建筑面积</w:t>
            </w:r>
            <w:r>
              <w:rPr>
                <w:rFonts w:hint="default" w:ascii="Times New Roman" w:hAnsi="Times New Roman" w:cs="Times New Roman"/>
                <w:color w:val="FF0000"/>
                <w:sz w:val="21"/>
                <w:szCs w:val="21"/>
                <w:lang w:val="en-US" w:eastAsia="zh-CN"/>
              </w:rPr>
              <w:t>500</w:t>
            </w:r>
            <w:r>
              <w:rPr>
                <w:rFonts w:hint="default" w:ascii="Times New Roman" w:hAnsi="Times New Roman" w:cs="Times New Roman"/>
                <w:color w:val="FF0000"/>
                <w:sz w:val="21"/>
                <w:szCs w:val="21"/>
              </w:rPr>
              <w:t>m</w:t>
            </w:r>
            <w:r>
              <w:rPr>
                <w:rFonts w:hint="default" w:ascii="Times New Roman" w:hAnsi="Times New Roman" w:cs="Times New Roman"/>
                <w:color w:val="FF0000"/>
                <w:sz w:val="21"/>
                <w:szCs w:val="21"/>
                <w:vertAlign w:val="superscript"/>
              </w:rPr>
              <w:t>2</w:t>
            </w:r>
            <w:r>
              <w:rPr>
                <w:rFonts w:hint="default" w:ascii="Times New Roman" w:hAnsi="Times New Roman" w:cs="Times New Roman"/>
                <w:color w:val="FF0000"/>
                <w:sz w:val="21"/>
                <w:szCs w:val="21"/>
                <w:vertAlign w:val="baseline"/>
                <w:lang w:eastAsia="zh-CN"/>
              </w:rPr>
              <w:t>，</w:t>
            </w:r>
            <w:r>
              <w:rPr>
                <w:rFonts w:hint="default" w:ascii="Times New Roman" w:hAnsi="Times New Roman" w:cs="Times New Roman"/>
                <w:color w:val="FF0000"/>
                <w:sz w:val="21"/>
                <w:szCs w:val="21"/>
                <w:vertAlign w:val="baseline"/>
                <w:lang w:val="en-US" w:eastAsia="zh-CN"/>
              </w:rPr>
              <w:t>生产车间1座，并设置两个料仓（每个容积500t）</w:t>
            </w:r>
          </w:p>
        </w:tc>
        <w:tc>
          <w:tcPr>
            <w:tcW w:w="656" w:type="dxa"/>
            <w:noWrap/>
            <w:vAlign w:val="center"/>
          </w:tcPr>
          <w:p w14:paraId="66814BA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70BC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noWrap/>
            <w:vAlign w:val="center"/>
          </w:tcPr>
          <w:p w14:paraId="53B45D4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w:t>
            </w:r>
          </w:p>
          <w:p w14:paraId="258F627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551" w:type="dxa"/>
            <w:gridSpan w:val="2"/>
            <w:noWrap/>
            <w:vAlign w:val="center"/>
          </w:tcPr>
          <w:p w14:paraId="49679BA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鸡粪发酵处理场</w:t>
            </w:r>
          </w:p>
        </w:tc>
        <w:tc>
          <w:tcPr>
            <w:tcW w:w="5617" w:type="dxa"/>
            <w:gridSpan w:val="2"/>
            <w:noWrap/>
            <w:vAlign w:val="center"/>
          </w:tcPr>
          <w:p w14:paraId="2F82B04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长125m，宽16m，占地面积为2000m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。进行鸡粪便收集、堆存</w:t>
            </w:r>
          </w:p>
        </w:tc>
        <w:tc>
          <w:tcPr>
            <w:tcW w:w="656" w:type="dxa"/>
            <w:noWrap/>
            <w:vAlign w:val="center"/>
          </w:tcPr>
          <w:p w14:paraId="423002C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新建</w:t>
            </w:r>
          </w:p>
        </w:tc>
      </w:tr>
      <w:tr w14:paraId="35BA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569" w:type="dxa"/>
            <w:vMerge w:val="restart"/>
            <w:noWrap/>
            <w:vAlign w:val="center"/>
          </w:tcPr>
          <w:p w14:paraId="3A9CF4F3">
            <w:pPr>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公用</w:t>
            </w:r>
          </w:p>
          <w:p w14:paraId="6F841758">
            <w:pPr>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工程</w:t>
            </w:r>
          </w:p>
        </w:tc>
        <w:tc>
          <w:tcPr>
            <w:tcW w:w="1551" w:type="dxa"/>
            <w:gridSpan w:val="2"/>
            <w:noWrap/>
            <w:vAlign w:val="center"/>
          </w:tcPr>
          <w:p w14:paraId="12CF0983">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3"/>
                <w:kern w:val="0"/>
                <w:sz w:val="21"/>
                <w:szCs w:val="21"/>
              </w:rPr>
              <w:t>供水</w:t>
            </w:r>
          </w:p>
        </w:tc>
        <w:tc>
          <w:tcPr>
            <w:tcW w:w="6273" w:type="dxa"/>
            <w:gridSpan w:val="3"/>
            <w:noWrap/>
            <w:vAlign w:val="center"/>
          </w:tcPr>
          <w:p w14:paraId="41C29B0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市政供水管网供给</w:t>
            </w:r>
          </w:p>
        </w:tc>
      </w:tr>
      <w:tr w14:paraId="40F5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continue"/>
            <w:noWrap/>
            <w:vAlign w:val="center"/>
          </w:tcPr>
          <w:p w14:paraId="0DB05DBE">
            <w:pPr>
              <w:jc w:val="center"/>
              <w:rPr>
                <w:rFonts w:hint="default" w:ascii="Times New Roman" w:hAnsi="Times New Roman" w:cs="Times New Roman"/>
                <w:color w:val="auto"/>
                <w:spacing w:val="3"/>
                <w:kern w:val="0"/>
                <w:sz w:val="21"/>
                <w:szCs w:val="21"/>
              </w:rPr>
            </w:pPr>
          </w:p>
        </w:tc>
        <w:tc>
          <w:tcPr>
            <w:tcW w:w="1551" w:type="dxa"/>
            <w:gridSpan w:val="2"/>
            <w:noWrap/>
            <w:vAlign w:val="center"/>
          </w:tcPr>
          <w:p w14:paraId="6BB7A4B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6273" w:type="dxa"/>
            <w:gridSpan w:val="3"/>
            <w:noWrap/>
            <w:vAlign w:val="center"/>
          </w:tcPr>
          <w:p w14:paraId="1178A707">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项目采用干清粪工艺，</w:t>
            </w:r>
            <w:r>
              <w:rPr>
                <w:rFonts w:hint="default" w:ascii="Times New Roman" w:hAnsi="Times New Roman" w:cs="Times New Roman"/>
                <w:color w:val="auto"/>
                <w:sz w:val="21"/>
                <w:szCs w:val="21"/>
                <w:lang w:val="en-US" w:eastAsia="zh-CN"/>
              </w:rPr>
              <w:t>鸡舍内设横斜向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，鸡排出的粪便主要通过清粪机进入横向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内，通过斜向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进入鸡粪发酵</w:t>
            </w:r>
            <w:r>
              <w:rPr>
                <w:rFonts w:hint="eastAsia" w:ascii="Times New Roman" w:hAnsi="Times New Roman" w:cs="Times New Roman"/>
                <w:color w:val="auto"/>
                <w:sz w:val="21"/>
                <w:szCs w:val="21"/>
                <w:lang w:val="en-US" w:eastAsia="zh-CN"/>
              </w:rPr>
              <w:t>处理厂</w:t>
            </w:r>
            <w:r>
              <w:rPr>
                <w:rFonts w:hint="default" w:ascii="Times New Roman" w:hAnsi="Times New Roman" w:cs="Times New Roman"/>
                <w:color w:val="auto"/>
                <w:sz w:val="21"/>
                <w:szCs w:val="21"/>
                <w:lang w:val="en-US" w:eastAsia="zh-CN"/>
              </w:rPr>
              <w:t>，外售实现综合利用。</w:t>
            </w:r>
          </w:p>
          <w:p w14:paraId="3F64C66D">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圈舍不进行清洗，无养殖废水产生；项目鸡舍粪便收集设施（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和清粪机）定期进行冲洗，鸡舍粪便收集设施（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和清粪机）冲洗废水收集后排入1座100m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lang w:val="en-US" w:eastAsia="zh-CN"/>
              </w:rPr>
              <w:t>废水收集池与生活污水发酵，还田。</w:t>
            </w:r>
          </w:p>
        </w:tc>
      </w:tr>
      <w:tr w14:paraId="56C6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569" w:type="dxa"/>
            <w:vMerge w:val="continue"/>
            <w:noWrap/>
            <w:vAlign w:val="center"/>
          </w:tcPr>
          <w:p w14:paraId="4608B112">
            <w:pPr>
              <w:jc w:val="center"/>
              <w:rPr>
                <w:rFonts w:hint="default" w:ascii="Times New Roman" w:hAnsi="Times New Roman" w:cs="Times New Roman"/>
                <w:color w:val="auto"/>
                <w:spacing w:val="3"/>
                <w:kern w:val="0"/>
                <w:sz w:val="21"/>
                <w:szCs w:val="21"/>
              </w:rPr>
            </w:pPr>
          </w:p>
        </w:tc>
        <w:tc>
          <w:tcPr>
            <w:tcW w:w="1551" w:type="dxa"/>
            <w:gridSpan w:val="2"/>
            <w:noWrap/>
            <w:vAlign w:val="center"/>
          </w:tcPr>
          <w:p w14:paraId="1E594C9B">
            <w:pPr>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供电</w:t>
            </w:r>
          </w:p>
        </w:tc>
        <w:tc>
          <w:tcPr>
            <w:tcW w:w="6273" w:type="dxa"/>
            <w:gridSpan w:val="3"/>
            <w:noWrap/>
            <w:vAlign w:val="center"/>
          </w:tcPr>
          <w:p w14:paraId="34DC30E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市政</w:t>
            </w:r>
            <w:r>
              <w:rPr>
                <w:rFonts w:hint="default" w:ascii="Times New Roman" w:hAnsi="Times New Roman" w:cs="Times New Roman"/>
                <w:color w:val="auto"/>
                <w:sz w:val="21"/>
                <w:szCs w:val="21"/>
              </w:rPr>
              <w:t>电网</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备用柴油发电机</w:t>
            </w:r>
          </w:p>
        </w:tc>
      </w:tr>
      <w:tr w14:paraId="4328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569" w:type="dxa"/>
            <w:vMerge w:val="continue"/>
            <w:noWrap/>
            <w:vAlign w:val="center"/>
          </w:tcPr>
          <w:p w14:paraId="3C6CD5CC">
            <w:pPr>
              <w:jc w:val="center"/>
              <w:rPr>
                <w:rFonts w:hint="default" w:ascii="Times New Roman" w:hAnsi="Times New Roman" w:cs="Times New Roman"/>
                <w:color w:val="auto"/>
                <w:spacing w:val="3"/>
                <w:kern w:val="0"/>
                <w:sz w:val="21"/>
                <w:szCs w:val="21"/>
              </w:rPr>
            </w:pPr>
          </w:p>
        </w:tc>
        <w:tc>
          <w:tcPr>
            <w:tcW w:w="1551" w:type="dxa"/>
            <w:gridSpan w:val="2"/>
            <w:noWrap/>
            <w:vAlign w:val="center"/>
          </w:tcPr>
          <w:p w14:paraId="095BF10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供热</w:t>
            </w:r>
          </w:p>
        </w:tc>
        <w:tc>
          <w:tcPr>
            <w:tcW w:w="6273" w:type="dxa"/>
            <w:gridSpan w:val="3"/>
            <w:noWrap/>
            <w:vAlign w:val="center"/>
          </w:tcPr>
          <w:p w14:paraId="10E2B70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生活区和</w:t>
            </w:r>
            <w:r>
              <w:rPr>
                <w:rFonts w:hint="default" w:ascii="Times New Roman" w:hAnsi="Times New Roman" w:cs="Times New Roman"/>
                <w:color w:val="auto"/>
                <w:sz w:val="21"/>
                <w:szCs w:val="21"/>
                <w:lang w:val="en-US" w:eastAsia="zh-CN"/>
              </w:rPr>
              <w:t>鸡舍</w:t>
            </w:r>
            <w:r>
              <w:rPr>
                <w:rFonts w:hint="default" w:ascii="Times New Roman" w:hAnsi="Times New Roman" w:cs="Times New Roman"/>
                <w:color w:val="auto"/>
                <w:sz w:val="21"/>
                <w:szCs w:val="21"/>
                <w:lang w:eastAsia="zh-CN"/>
              </w:rPr>
              <w:t>采用</w:t>
            </w:r>
            <w:r>
              <w:rPr>
                <w:rFonts w:hint="default" w:ascii="Times New Roman" w:hAnsi="Times New Roman" w:cs="Times New Roman"/>
                <w:color w:val="auto"/>
                <w:sz w:val="21"/>
                <w:szCs w:val="21"/>
                <w:lang w:val="en-US" w:eastAsia="zh-CN"/>
              </w:rPr>
              <w:t>电锅炉（2t/h）供热。</w:t>
            </w:r>
          </w:p>
        </w:tc>
      </w:tr>
      <w:tr w14:paraId="6D0A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569" w:type="dxa"/>
            <w:vMerge w:val="continue"/>
            <w:noWrap/>
            <w:vAlign w:val="center"/>
          </w:tcPr>
          <w:p w14:paraId="0CC27A4A">
            <w:pPr>
              <w:jc w:val="center"/>
              <w:rPr>
                <w:rFonts w:hint="default" w:ascii="Times New Roman" w:hAnsi="Times New Roman" w:cs="Times New Roman"/>
                <w:color w:val="auto"/>
                <w:spacing w:val="3"/>
                <w:kern w:val="0"/>
                <w:sz w:val="21"/>
                <w:szCs w:val="21"/>
              </w:rPr>
            </w:pPr>
          </w:p>
        </w:tc>
        <w:tc>
          <w:tcPr>
            <w:tcW w:w="1551" w:type="dxa"/>
            <w:gridSpan w:val="2"/>
            <w:noWrap/>
            <w:vAlign w:val="center"/>
          </w:tcPr>
          <w:p w14:paraId="7136868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通风降温</w:t>
            </w:r>
          </w:p>
        </w:tc>
        <w:tc>
          <w:tcPr>
            <w:tcW w:w="6273" w:type="dxa"/>
            <w:gridSpan w:val="3"/>
            <w:noWrap/>
            <w:vAlign w:val="center"/>
          </w:tcPr>
          <w:p w14:paraId="1D92FB28">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采用机械通风，湿帘降温</w:t>
            </w:r>
          </w:p>
        </w:tc>
      </w:tr>
      <w:tr w14:paraId="099F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restart"/>
            <w:noWrap/>
            <w:vAlign w:val="center"/>
          </w:tcPr>
          <w:p w14:paraId="286EE6A9">
            <w:pPr>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环保</w:t>
            </w:r>
          </w:p>
          <w:p w14:paraId="504F146C">
            <w:pPr>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工程</w:t>
            </w:r>
          </w:p>
        </w:tc>
        <w:tc>
          <w:tcPr>
            <w:tcW w:w="1551" w:type="dxa"/>
            <w:gridSpan w:val="2"/>
            <w:vMerge w:val="restart"/>
            <w:noWrap/>
            <w:vAlign w:val="center"/>
          </w:tcPr>
          <w:p w14:paraId="32BA2B8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w:t>
            </w:r>
          </w:p>
        </w:tc>
        <w:tc>
          <w:tcPr>
            <w:tcW w:w="6273" w:type="dxa"/>
            <w:gridSpan w:val="3"/>
            <w:noWrap/>
            <w:vAlign w:val="center"/>
          </w:tcPr>
          <w:p w14:paraId="07BBD81E">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粉碎、搅拌产生的粉尘经集气罩收集通过布袋除尘器处理后，由一根不低于15m高的排气筒排放</w:t>
            </w:r>
          </w:p>
        </w:tc>
      </w:tr>
      <w:tr w14:paraId="3177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continue"/>
            <w:noWrap/>
            <w:vAlign w:val="center"/>
          </w:tcPr>
          <w:p w14:paraId="1C3694BD">
            <w:pPr>
              <w:jc w:val="center"/>
              <w:rPr>
                <w:rFonts w:hint="default" w:ascii="Times New Roman" w:hAnsi="Times New Roman" w:cs="Times New Roman"/>
                <w:color w:val="auto"/>
                <w:spacing w:val="3"/>
                <w:kern w:val="0"/>
                <w:sz w:val="21"/>
                <w:szCs w:val="21"/>
              </w:rPr>
            </w:pPr>
          </w:p>
        </w:tc>
        <w:tc>
          <w:tcPr>
            <w:tcW w:w="1551" w:type="dxa"/>
            <w:gridSpan w:val="2"/>
            <w:vMerge w:val="continue"/>
            <w:noWrap/>
            <w:vAlign w:val="center"/>
          </w:tcPr>
          <w:p w14:paraId="50BF21B1">
            <w:pPr>
              <w:adjustRightInd w:val="0"/>
              <w:snapToGrid w:val="0"/>
              <w:jc w:val="center"/>
              <w:rPr>
                <w:rFonts w:hint="default" w:ascii="Times New Roman" w:hAnsi="Times New Roman" w:cs="Times New Roman"/>
                <w:color w:val="auto"/>
                <w:sz w:val="21"/>
                <w:szCs w:val="21"/>
              </w:rPr>
            </w:pPr>
          </w:p>
        </w:tc>
        <w:tc>
          <w:tcPr>
            <w:tcW w:w="6273" w:type="dxa"/>
            <w:gridSpan w:val="3"/>
            <w:noWrap/>
            <w:vAlign w:val="center"/>
          </w:tcPr>
          <w:p w14:paraId="6B1CF08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饮食业油烟经油烟净化器处理后通过屋顶的排气筒排出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圈舍：</w:t>
            </w:r>
            <w:r>
              <w:rPr>
                <w:rFonts w:hint="default" w:ascii="Times New Roman" w:hAnsi="Times New Roman" w:cs="Times New Roman"/>
                <w:color w:val="auto"/>
                <w:sz w:val="21"/>
                <w:szCs w:val="21"/>
                <w:lang w:eastAsia="zh-CN"/>
              </w:rPr>
              <w:t>鸡</w:t>
            </w:r>
            <w:r>
              <w:rPr>
                <w:rFonts w:hint="default" w:ascii="Times New Roman" w:hAnsi="Times New Roman" w:cs="Times New Roman"/>
                <w:color w:val="auto"/>
                <w:sz w:val="21"/>
                <w:szCs w:val="21"/>
              </w:rPr>
              <w:t>舍采用自然通风和机械通风，</w:t>
            </w:r>
            <w:r>
              <w:rPr>
                <w:rFonts w:hint="default" w:ascii="Times New Roman" w:hAnsi="Times New Roman" w:cs="Times New Roman"/>
                <w:color w:val="auto"/>
                <w:sz w:val="21"/>
                <w:szCs w:val="21"/>
                <w:lang w:val="en-US" w:eastAsia="zh-CN"/>
              </w:rPr>
              <w:t>项目鸡舍采用干清粪工艺，定期喷洒除臭剂。设置鸡粪发酵处理场，采取喷洒生物除臭剂。</w:t>
            </w:r>
          </w:p>
        </w:tc>
      </w:tr>
      <w:tr w14:paraId="40CC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continue"/>
            <w:noWrap/>
            <w:vAlign w:val="center"/>
          </w:tcPr>
          <w:p w14:paraId="629E9247">
            <w:pPr>
              <w:jc w:val="center"/>
              <w:rPr>
                <w:rFonts w:hint="default" w:ascii="Times New Roman" w:hAnsi="Times New Roman" w:cs="Times New Roman"/>
                <w:color w:val="auto"/>
                <w:spacing w:val="3"/>
                <w:kern w:val="0"/>
                <w:sz w:val="21"/>
                <w:szCs w:val="21"/>
              </w:rPr>
            </w:pPr>
          </w:p>
        </w:tc>
        <w:tc>
          <w:tcPr>
            <w:tcW w:w="1551" w:type="dxa"/>
            <w:gridSpan w:val="2"/>
            <w:noWrap/>
            <w:vAlign w:val="center"/>
          </w:tcPr>
          <w:p w14:paraId="719FF05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废水处理</w:t>
            </w:r>
          </w:p>
        </w:tc>
        <w:tc>
          <w:tcPr>
            <w:tcW w:w="6273" w:type="dxa"/>
            <w:gridSpan w:val="3"/>
            <w:noWrap/>
            <w:vAlign w:val="center"/>
          </w:tcPr>
          <w:p w14:paraId="55B9926E">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项目采用干清粪工艺，</w:t>
            </w:r>
            <w:r>
              <w:rPr>
                <w:rFonts w:hint="default" w:ascii="Times New Roman" w:hAnsi="Times New Roman" w:cs="Times New Roman"/>
                <w:color w:val="auto"/>
                <w:sz w:val="21"/>
                <w:szCs w:val="21"/>
                <w:lang w:val="en-US" w:eastAsia="zh-CN"/>
              </w:rPr>
              <w:t>鸡舍内设横斜向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，鸡排出的粪便主要通过清粪机进入横向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内，传输至清粪房再通过斜向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进入鸡粪发酵</w:t>
            </w:r>
            <w:r>
              <w:rPr>
                <w:rFonts w:hint="eastAsia" w:ascii="Times New Roman" w:hAnsi="Times New Roman" w:cs="Times New Roman"/>
                <w:color w:val="auto"/>
                <w:sz w:val="21"/>
                <w:szCs w:val="21"/>
                <w:lang w:val="en-US" w:eastAsia="zh-CN"/>
              </w:rPr>
              <w:t>处理厂</w:t>
            </w:r>
            <w:r>
              <w:rPr>
                <w:rFonts w:hint="default" w:ascii="Times New Roman" w:hAnsi="Times New Roman" w:cs="Times New Roman"/>
                <w:color w:val="auto"/>
                <w:sz w:val="21"/>
                <w:szCs w:val="21"/>
                <w:lang w:val="en-US" w:eastAsia="zh-CN"/>
              </w:rPr>
              <w:t>，外售实现综合利用。</w:t>
            </w:r>
          </w:p>
          <w:p w14:paraId="781D2B12">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圈舍不进行清洗，无养殖废水产生；项目鸡舍粪便收集设施（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和清粪机）定期进行冲洗，鸡舍粪便收集设施（</w:t>
            </w:r>
            <w:r>
              <w:rPr>
                <w:rFonts w:hint="eastAsia" w:ascii="Times New Roman" w:hAnsi="Times New Roman" w:cs="Times New Roman"/>
                <w:bCs/>
                <w:color w:val="auto"/>
                <w:sz w:val="21"/>
                <w:szCs w:val="21"/>
                <w:lang w:val="en-US" w:eastAsia="zh-CN"/>
              </w:rPr>
              <w:t>粪便传送带</w:t>
            </w:r>
            <w:r>
              <w:rPr>
                <w:rFonts w:hint="default" w:ascii="Times New Roman" w:hAnsi="Times New Roman" w:cs="Times New Roman"/>
                <w:bCs/>
                <w:color w:val="auto"/>
                <w:sz w:val="21"/>
                <w:szCs w:val="21"/>
                <w:lang w:val="en-US" w:eastAsia="zh-CN"/>
              </w:rPr>
              <w:t>和清粪机）冲洗废水与生活污水通过污水管道全部排入场区排入1座100m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lang w:val="en-US" w:eastAsia="zh-CN"/>
              </w:rPr>
              <w:t>废水收集池发酵处理，用于还田。</w:t>
            </w:r>
          </w:p>
        </w:tc>
      </w:tr>
      <w:tr w14:paraId="7E15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569" w:type="dxa"/>
            <w:vMerge w:val="continue"/>
            <w:noWrap/>
            <w:vAlign w:val="center"/>
          </w:tcPr>
          <w:p w14:paraId="31EA4E33">
            <w:pPr>
              <w:jc w:val="center"/>
              <w:rPr>
                <w:rFonts w:hint="default" w:ascii="Times New Roman" w:hAnsi="Times New Roman" w:cs="Times New Roman"/>
                <w:color w:val="auto"/>
                <w:spacing w:val="3"/>
                <w:kern w:val="0"/>
                <w:sz w:val="21"/>
                <w:szCs w:val="21"/>
              </w:rPr>
            </w:pPr>
          </w:p>
        </w:tc>
        <w:tc>
          <w:tcPr>
            <w:tcW w:w="1551" w:type="dxa"/>
            <w:gridSpan w:val="2"/>
            <w:noWrap/>
            <w:vAlign w:val="center"/>
          </w:tcPr>
          <w:p w14:paraId="225EE27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6273" w:type="dxa"/>
            <w:gridSpan w:val="3"/>
            <w:noWrap/>
            <w:vAlign w:val="center"/>
          </w:tcPr>
          <w:p w14:paraId="08C95F54">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设备采取减震、隔声措施</w:t>
            </w:r>
          </w:p>
        </w:tc>
      </w:tr>
      <w:tr w14:paraId="78A2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continue"/>
            <w:noWrap/>
            <w:vAlign w:val="center"/>
          </w:tcPr>
          <w:p w14:paraId="4985E292">
            <w:pPr>
              <w:jc w:val="center"/>
              <w:rPr>
                <w:rFonts w:hint="default" w:ascii="Times New Roman" w:hAnsi="Times New Roman" w:cs="Times New Roman"/>
                <w:color w:val="auto"/>
                <w:spacing w:val="3"/>
                <w:kern w:val="0"/>
                <w:sz w:val="21"/>
                <w:szCs w:val="21"/>
              </w:rPr>
            </w:pPr>
          </w:p>
        </w:tc>
        <w:tc>
          <w:tcPr>
            <w:tcW w:w="555" w:type="dxa"/>
            <w:noWrap/>
            <w:vAlign w:val="center"/>
          </w:tcPr>
          <w:p w14:paraId="2D22BBF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固体废物处理</w:t>
            </w:r>
          </w:p>
        </w:tc>
        <w:tc>
          <w:tcPr>
            <w:tcW w:w="996" w:type="dxa"/>
            <w:noWrap/>
            <w:vAlign w:val="center"/>
          </w:tcPr>
          <w:p w14:paraId="3D23E57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鸡</w:t>
            </w:r>
            <w:r>
              <w:rPr>
                <w:rFonts w:hint="default" w:ascii="Times New Roman" w:hAnsi="Times New Roman" w:cs="Times New Roman"/>
                <w:color w:val="auto"/>
                <w:sz w:val="21"/>
                <w:szCs w:val="21"/>
              </w:rPr>
              <w:t>粪</w:t>
            </w:r>
            <w:r>
              <w:rPr>
                <w:rFonts w:hint="default" w:ascii="Times New Roman" w:hAnsi="Times New Roman" w:cs="Times New Roman"/>
                <w:color w:val="auto"/>
                <w:sz w:val="21"/>
                <w:szCs w:val="21"/>
                <w:lang w:eastAsia="zh-CN"/>
              </w:rPr>
              <w:t>、饲料残渣及散落毛羽和破损蛋</w:t>
            </w:r>
          </w:p>
        </w:tc>
        <w:tc>
          <w:tcPr>
            <w:tcW w:w="6273" w:type="dxa"/>
            <w:gridSpan w:val="3"/>
            <w:noWrap/>
            <w:vAlign w:val="center"/>
          </w:tcPr>
          <w:p w14:paraId="08EBB2C6">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每栋鸡舍均设自动清粪系统对</w:t>
            </w:r>
            <w:r>
              <w:rPr>
                <w:rFonts w:hint="default" w:ascii="Times New Roman" w:hAnsi="Times New Roman" w:cs="Times New Roman"/>
                <w:bCs/>
                <w:color w:val="auto"/>
                <w:sz w:val="21"/>
                <w:szCs w:val="21"/>
                <w:lang w:val="en-US" w:eastAsia="zh-CN"/>
              </w:rPr>
              <w:t>粪便收集设施进行清洗</w:t>
            </w:r>
            <w:r>
              <w:rPr>
                <w:rFonts w:hint="default" w:ascii="Times New Roman" w:hAnsi="Times New Roman" w:cs="Times New Roman"/>
                <w:color w:val="auto"/>
                <w:sz w:val="21"/>
                <w:szCs w:val="21"/>
                <w:lang w:val="en-US" w:eastAsia="zh-CN"/>
              </w:rPr>
              <w:t>，鸡舍内设横斜向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，鸡排出的粪便主要通过清粪机进入横向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内，通过斜向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进入鸡粪发酵处理场，</w:t>
            </w:r>
            <w:r>
              <w:rPr>
                <w:rFonts w:hint="default" w:ascii="Times New Roman" w:hAnsi="Times New Roman" w:cs="Times New Roman"/>
                <w:color w:val="0000FF"/>
                <w:sz w:val="21"/>
                <w:szCs w:val="21"/>
                <w:lang w:val="en-US" w:eastAsia="zh-CN"/>
              </w:rPr>
              <w:t>外售农户综合利用。</w:t>
            </w:r>
          </w:p>
        </w:tc>
      </w:tr>
      <w:tr w14:paraId="423A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569" w:type="dxa"/>
            <w:vMerge w:val="continue"/>
            <w:noWrap/>
            <w:vAlign w:val="center"/>
          </w:tcPr>
          <w:p w14:paraId="274F3D9F">
            <w:pPr>
              <w:jc w:val="center"/>
              <w:rPr>
                <w:rFonts w:hint="default" w:ascii="Times New Roman" w:hAnsi="Times New Roman" w:cs="Times New Roman"/>
                <w:color w:val="auto"/>
                <w:spacing w:val="3"/>
                <w:kern w:val="0"/>
                <w:sz w:val="21"/>
                <w:szCs w:val="21"/>
              </w:rPr>
            </w:pPr>
          </w:p>
        </w:tc>
        <w:tc>
          <w:tcPr>
            <w:tcW w:w="1551" w:type="dxa"/>
            <w:gridSpan w:val="2"/>
            <w:vMerge w:val="restart"/>
            <w:noWrap/>
            <w:vAlign w:val="center"/>
          </w:tcPr>
          <w:p w14:paraId="47819E5E">
            <w:pPr>
              <w:jc w:val="center"/>
              <w:rPr>
                <w:rFonts w:hint="default" w:ascii="Times New Roman" w:hAnsi="Times New Roman" w:cs="Times New Roman"/>
                <w:bCs/>
                <w:color w:val="auto"/>
                <w:sz w:val="21"/>
                <w:szCs w:val="21"/>
              </w:rPr>
            </w:pPr>
          </w:p>
        </w:tc>
        <w:tc>
          <w:tcPr>
            <w:tcW w:w="1543" w:type="dxa"/>
            <w:noWrap/>
            <w:vAlign w:val="center"/>
          </w:tcPr>
          <w:p w14:paraId="41E4B357">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动物</w:t>
            </w:r>
            <w:r>
              <w:rPr>
                <w:rFonts w:hint="default" w:ascii="Times New Roman" w:hAnsi="Times New Roman" w:cs="Times New Roman"/>
                <w:bCs/>
                <w:color w:val="auto"/>
                <w:sz w:val="21"/>
                <w:szCs w:val="21"/>
              </w:rPr>
              <w:t>医疗废物</w:t>
            </w:r>
          </w:p>
        </w:tc>
        <w:tc>
          <w:tcPr>
            <w:tcW w:w="4730" w:type="dxa"/>
            <w:gridSpan w:val="2"/>
            <w:noWrap/>
            <w:vAlign w:val="center"/>
          </w:tcPr>
          <w:p w14:paraId="52F60D3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医疗废物暂存间，交</w:t>
            </w:r>
            <w:r>
              <w:rPr>
                <w:rFonts w:hint="default" w:ascii="Times New Roman" w:hAnsi="Times New Roman" w:cs="Times New Roman"/>
                <w:color w:val="auto"/>
                <w:sz w:val="21"/>
                <w:szCs w:val="21"/>
                <w:lang w:eastAsia="zh-CN"/>
              </w:rPr>
              <w:t>由</w:t>
            </w:r>
            <w:r>
              <w:rPr>
                <w:rFonts w:hint="default" w:ascii="Times New Roman" w:hAnsi="Times New Roman" w:cs="Times New Roman"/>
                <w:color w:val="auto"/>
                <w:sz w:val="21"/>
                <w:szCs w:val="21"/>
                <w:lang w:val="en-US" w:eastAsia="zh-CN"/>
              </w:rPr>
              <w:t>相关</w:t>
            </w:r>
            <w:r>
              <w:rPr>
                <w:rFonts w:hint="default" w:ascii="Times New Roman" w:hAnsi="Times New Roman" w:cs="Times New Roman"/>
                <w:color w:val="auto"/>
                <w:sz w:val="21"/>
                <w:szCs w:val="21"/>
              </w:rPr>
              <w:t>资质</w:t>
            </w:r>
            <w:r>
              <w:rPr>
                <w:rFonts w:hint="default" w:ascii="Times New Roman" w:hAnsi="Times New Roman" w:cs="Times New Roman"/>
                <w:color w:val="auto"/>
                <w:sz w:val="21"/>
                <w:szCs w:val="21"/>
                <w:lang w:val="en-US" w:eastAsia="zh-CN"/>
              </w:rPr>
              <w:t>收运处置</w:t>
            </w:r>
            <w:r>
              <w:rPr>
                <w:rFonts w:hint="default" w:ascii="Times New Roman" w:hAnsi="Times New Roman" w:cs="Times New Roman"/>
                <w:color w:val="auto"/>
                <w:sz w:val="21"/>
                <w:szCs w:val="21"/>
                <w:lang w:eastAsia="zh-CN"/>
              </w:rPr>
              <w:t>。</w:t>
            </w:r>
          </w:p>
        </w:tc>
      </w:tr>
      <w:tr w14:paraId="3F2C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569" w:type="dxa"/>
            <w:vMerge w:val="continue"/>
            <w:noWrap/>
            <w:vAlign w:val="center"/>
          </w:tcPr>
          <w:p w14:paraId="27428ED4">
            <w:pPr>
              <w:jc w:val="center"/>
              <w:rPr>
                <w:rFonts w:hint="default" w:ascii="Times New Roman" w:hAnsi="Times New Roman" w:cs="Times New Roman"/>
                <w:color w:val="auto"/>
                <w:spacing w:val="3"/>
                <w:kern w:val="0"/>
                <w:sz w:val="21"/>
                <w:szCs w:val="21"/>
              </w:rPr>
            </w:pPr>
          </w:p>
        </w:tc>
        <w:tc>
          <w:tcPr>
            <w:tcW w:w="1551" w:type="dxa"/>
            <w:gridSpan w:val="2"/>
            <w:vMerge w:val="continue"/>
            <w:noWrap/>
            <w:vAlign w:val="center"/>
          </w:tcPr>
          <w:p w14:paraId="35AA5443">
            <w:pPr>
              <w:jc w:val="center"/>
              <w:rPr>
                <w:rFonts w:hint="default" w:ascii="Times New Roman" w:hAnsi="Times New Roman" w:cs="Times New Roman"/>
                <w:bCs/>
                <w:color w:val="auto"/>
                <w:sz w:val="21"/>
                <w:szCs w:val="21"/>
              </w:rPr>
            </w:pPr>
          </w:p>
        </w:tc>
        <w:tc>
          <w:tcPr>
            <w:tcW w:w="1543" w:type="dxa"/>
            <w:noWrap/>
            <w:vAlign w:val="center"/>
          </w:tcPr>
          <w:p w14:paraId="5E1385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病死</w:t>
            </w:r>
            <w:r>
              <w:rPr>
                <w:rFonts w:hint="default" w:ascii="Times New Roman" w:hAnsi="Times New Roman" w:eastAsia="宋体" w:cs="Times New Roman"/>
                <w:color w:val="auto"/>
                <w:sz w:val="21"/>
                <w:szCs w:val="21"/>
                <w:lang w:eastAsia="zh-CN"/>
              </w:rPr>
              <w:t>鸡</w:t>
            </w:r>
          </w:p>
        </w:tc>
        <w:tc>
          <w:tcPr>
            <w:tcW w:w="4730" w:type="dxa"/>
            <w:gridSpan w:val="2"/>
            <w:noWrap/>
            <w:vAlign w:val="center"/>
          </w:tcPr>
          <w:p w14:paraId="4657A81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设置填埋井，进行无害化填埋处置。</w:t>
            </w:r>
          </w:p>
        </w:tc>
      </w:tr>
      <w:tr w14:paraId="0994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569" w:type="dxa"/>
            <w:vMerge w:val="continue"/>
            <w:noWrap/>
            <w:vAlign w:val="center"/>
          </w:tcPr>
          <w:p w14:paraId="7EAEDA7F">
            <w:pPr>
              <w:jc w:val="center"/>
              <w:rPr>
                <w:rFonts w:hint="default" w:ascii="Times New Roman" w:hAnsi="Times New Roman" w:cs="Times New Roman"/>
                <w:color w:val="auto"/>
                <w:spacing w:val="3"/>
                <w:kern w:val="0"/>
                <w:sz w:val="21"/>
                <w:szCs w:val="21"/>
              </w:rPr>
            </w:pPr>
          </w:p>
        </w:tc>
        <w:tc>
          <w:tcPr>
            <w:tcW w:w="1551" w:type="dxa"/>
            <w:gridSpan w:val="2"/>
            <w:vMerge w:val="continue"/>
            <w:noWrap/>
            <w:vAlign w:val="center"/>
          </w:tcPr>
          <w:p w14:paraId="35866BB8">
            <w:pPr>
              <w:jc w:val="center"/>
              <w:rPr>
                <w:rFonts w:hint="default" w:ascii="Times New Roman" w:hAnsi="Times New Roman" w:cs="Times New Roman"/>
                <w:bCs/>
                <w:color w:val="auto"/>
                <w:sz w:val="21"/>
                <w:szCs w:val="21"/>
              </w:rPr>
            </w:pPr>
          </w:p>
        </w:tc>
        <w:tc>
          <w:tcPr>
            <w:tcW w:w="1543" w:type="dxa"/>
            <w:noWrap/>
            <w:vAlign w:val="center"/>
          </w:tcPr>
          <w:p w14:paraId="5767056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废包装</w:t>
            </w:r>
          </w:p>
        </w:tc>
        <w:tc>
          <w:tcPr>
            <w:tcW w:w="4730" w:type="dxa"/>
            <w:gridSpan w:val="2"/>
            <w:noWrap/>
            <w:vAlign w:val="center"/>
          </w:tcPr>
          <w:p w14:paraId="1466E7FF">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收集后由厂家回收或外售。</w:t>
            </w:r>
          </w:p>
        </w:tc>
      </w:tr>
      <w:tr w14:paraId="1BB6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continue"/>
            <w:noWrap/>
            <w:vAlign w:val="center"/>
          </w:tcPr>
          <w:p w14:paraId="58C0D0D4">
            <w:pPr>
              <w:jc w:val="center"/>
              <w:rPr>
                <w:rFonts w:hint="default" w:ascii="Times New Roman" w:hAnsi="Times New Roman" w:cs="Times New Roman"/>
                <w:color w:val="auto"/>
                <w:spacing w:val="3"/>
                <w:kern w:val="0"/>
                <w:sz w:val="21"/>
                <w:szCs w:val="21"/>
              </w:rPr>
            </w:pPr>
          </w:p>
        </w:tc>
        <w:tc>
          <w:tcPr>
            <w:tcW w:w="1551" w:type="dxa"/>
            <w:gridSpan w:val="2"/>
            <w:vMerge w:val="continue"/>
            <w:noWrap/>
            <w:vAlign w:val="center"/>
          </w:tcPr>
          <w:p w14:paraId="10F77708">
            <w:pPr>
              <w:jc w:val="center"/>
              <w:rPr>
                <w:rFonts w:hint="default" w:ascii="Times New Roman" w:hAnsi="Times New Roman" w:cs="Times New Roman"/>
                <w:bCs/>
                <w:color w:val="auto"/>
                <w:sz w:val="21"/>
                <w:szCs w:val="21"/>
              </w:rPr>
            </w:pPr>
          </w:p>
        </w:tc>
        <w:tc>
          <w:tcPr>
            <w:tcW w:w="1543" w:type="dxa"/>
            <w:noWrap/>
            <w:vAlign w:val="center"/>
          </w:tcPr>
          <w:p w14:paraId="690237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sz w:val="21"/>
                <w:szCs w:val="21"/>
              </w:rPr>
              <w:t>生活垃圾</w:t>
            </w:r>
          </w:p>
        </w:tc>
        <w:tc>
          <w:tcPr>
            <w:tcW w:w="4730" w:type="dxa"/>
            <w:gridSpan w:val="2"/>
            <w:noWrap/>
            <w:vAlign w:val="center"/>
          </w:tcPr>
          <w:p w14:paraId="036760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生活垃圾箱，委托环卫部门清运</w:t>
            </w:r>
            <w:r>
              <w:rPr>
                <w:rFonts w:hint="default" w:ascii="Times New Roman" w:hAnsi="Times New Roman" w:cs="Times New Roman"/>
                <w:color w:val="auto"/>
                <w:sz w:val="21"/>
                <w:szCs w:val="21"/>
                <w:lang w:val="en-US" w:eastAsia="zh-CN"/>
              </w:rPr>
              <w:t>至生活垃圾填埋场填埋处置。</w:t>
            </w:r>
          </w:p>
        </w:tc>
      </w:tr>
      <w:tr w14:paraId="64A0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continue"/>
            <w:noWrap/>
            <w:vAlign w:val="center"/>
          </w:tcPr>
          <w:p w14:paraId="0D109E7D">
            <w:pPr>
              <w:jc w:val="center"/>
              <w:rPr>
                <w:rFonts w:hint="default" w:ascii="Times New Roman" w:hAnsi="Times New Roman" w:cs="Times New Roman"/>
                <w:color w:val="auto"/>
                <w:spacing w:val="3"/>
                <w:kern w:val="0"/>
                <w:sz w:val="21"/>
                <w:szCs w:val="21"/>
              </w:rPr>
            </w:pPr>
          </w:p>
        </w:tc>
        <w:tc>
          <w:tcPr>
            <w:tcW w:w="1551" w:type="dxa"/>
            <w:gridSpan w:val="2"/>
            <w:vMerge w:val="continue"/>
            <w:noWrap/>
            <w:vAlign w:val="center"/>
          </w:tcPr>
          <w:p w14:paraId="3AEDF1A9">
            <w:pPr>
              <w:jc w:val="center"/>
              <w:rPr>
                <w:rFonts w:hint="default" w:ascii="Times New Roman" w:hAnsi="Times New Roman" w:cs="Times New Roman"/>
                <w:bCs/>
                <w:color w:val="auto"/>
                <w:sz w:val="21"/>
                <w:szCs w:val="21"/>
              </w:rPr>
            </w:pPr>
          </w:p>
        </w:tc>
        <w:tc>
          <w:tcPr>
            <w:tcW w:w="1543" w:type="dxa"/>
            <w:noWrap/>
            <w:vAlign w:val="center"/>
          </w:tcPr>
          <w:p w14:paraId="4603E7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布袋收集粉尘</w:t>
            </w:r>
          </w:p>
        </w:tc>
        <w:tc>
          <w:tcPr>
            <w:tcW w:w="4730" w:type="dxa"/>
            <w:gridSpan w:val="2"/>
            <w:noWrap/>
            <w:vAlign w:val="center"/>
          </w:tcPr>
          <w:p w14:paraId="2699DD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项目生产过程中产生的粉尘经收集后，由布袋除尘设施进行处理。全部返回生产过程</w:t>
            </w:r>
          </w:p>
        </w:tc>
      </w:tr>
    </w:tbl>
    <w:p w14:paraId="4DA3F988">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公用工程</w:t>
      </w:r>
    </w:p>
    <w:p w14:paraId="55A76E1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（1）供水</w:t>
      </w:r>
    </w:p>
    <w:p w14:paraId="657FA1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用水由市政供水管网供给，畜禽饮用水水质需满足《畜禽养殖产地环境评价规范》（HJ568-2010）中表2标准。</w:t>
      </w:r>
    </w:p>
    <w:p w14:paraId="3D4A9A7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新鲜用水主要由养殖生产用水、员工生活用水等</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总用水量为</w:t>
      </w:r>
      <w:r>
        <w:rPr>
          <w:rFonts w:hint="default" w:ascii="Times New Roman" w:hAnsi="Times New Roman" w:eastAsia="宋体" w:cs="Times New Roman"/>
          <w:i w:val="0"/>
          <w:iCs w:val="0"/>
          <w:color w:val="000000"/>
          <w:kern w:val="0"/>
          <w:sz w:val="24"/>
          <w:szCs w:val="24"/>
          <w:u w:val="none"/>
          <w:lang w:val="en-US" w:eastAsia="zh-CN" w:bidi="ar"/>
        </w:rPr>
        <w:t>52801.8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/a。其中，养殖生产用水包括</w:t>
      </w:r>
      <w:r>
        <w:rPr>
          <w:rFonts w:hint="default" w:ascii="Times New Roman" w:hAnsi="Times New Roman" w:cs="Times New Roman"/>
          <w:color w:val="auto"/>
          <w:sz w:val="24"/>
          <w:szCs w:val="24"/>
          <w:lang w:val="en-US" w:eastAsia="zh-CN"/>
        </w:rPr>
        <w:t>鸡</w:t>
      </w:r>
      <w:r>
        <w:rPr>
          <w:rFonts w:hint="default" w:ascii="Times New Roman" w:hAnsi="Times New Roman" w:cs="Times New Roman"/>
          <w:color w:val="auto"/>
          <w:sz w:val="24"/>
          <w:szCs w:val="24"/>
        </w:rPr>
        <w:t>饮用水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鸡舍粪便收集设施（</w:t>
      </w:r>
      <w:r>
        <w:rPr>
          <w:rFonts w:hint="eastAsia" w:ascii="Times New Roman" w:hAnsi="Times New Roman" w:cs="Times New Roman"/>
          <w:color w:val="auto"/>
          <w:sz w:val="24"/>
          <w:szCs w:val="24"/>
          <w:lang w:val="en-US" w:eastAsia="zh-CN"/>
        </w:rPr>
        <w:t>粪便传送带</w:t>
      </w:r>
      <w:r>
        <w:rPr>
          <w:rFonts w:hint="default" w:ascii="Times New Roman" w:hAnsi="Times New Roman" w:cs="Times New Roman"/>
          <w:color w:val="auto"/>
          <w:sz w:val="24"/>
          <w:szCs w:val="24"/>
          <w:lang w:val="en-US" w:eastAsia="zh-CN"/>
        </w:rPr>
        <w:t>和清粪机）清洗用水</w:t>
      </w:r>
      <w:r>
        <w:rPr>
          <w:rFonts w:hint="default" w:ascii="Times New Roman" w:hAnsi="Times New Roman" w:cs="Times New Roman"/>
          <w:color w:val="auto"/>
          <w:sz w:val="24"/>
          <w:szCs w:val="24"/>
        </w:rPr>
        <w:t>。</w:t>
      </w:r>
    </w:p>
    <w:p w14:paraId="6E75B99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1）鸡饮用水</w:t>
      </w:r>
    </w:p>
    <w:p w14:paraId="565E576F">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养殖饮水系统采用全自动控制，采用先进的乳头饮水器，限位饮水器底部槽体液面始终保持在2cm的液面高度，在此液面高度上，饮水器与外界空气形成负压，当鸡喝水时，饮水器与空气接触，内部压力大于外部压力，水自动地从管内流出直至液面高度在2cm时饮水器自动停止供水，保证鸡随时饮用新鲜水，同时节约用水。</w:t>
      </w:r>
    </w:p>
    <w:p w14:paraId="3F2A975F">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根据同行业相关资料，按每只鸡平均用水量0.2L/d计算，本项目年存栏蛋鸡60万羽，则全年鸡饮用水量为43800m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/a，鸡饮用水量为120m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/d，鸡饮用水量大部分被生长代谢消耗，少部分随粪便排出，无尿液排放。</w:t>
      </w:r>
    </w:p>
    <w:p w14:paraId="43DBF2F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2）消毒用水</w:t>
      </w:r>
    </w:p>
    <w:p w14:paraId="2DD4BE7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本项目鸡舍采用干清粪工艺，正常饲养期不产生废水，仅一个饲养周期结束后需对整个鸡舍进行打扫和消毒，不用水冲洗，采用喷雾消毒，消毒水蒸发损耗，无废水排放。通风晾晒15天后再进行养殖。</w:t>
      </w:r>
    </w:p>
    <w:p w14:paraId="09B4709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项目养殖场进出口均设置消毒池，凡进入车辆，必须进行消毒。项目区进出人员消毒室采取喷雾消毒，圈舍、各生产用具均喷雾消毒，消毒用水量按1m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/d计，全部蒸发消耗，不外排。年用水量约365m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p>
    <w:p w14:paraId="0408ED2B">
      <w:pPr>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3）鸡舍粪便收集设施（</w:t>
      </w:r>
      <w:r>
        <w:rPr>
          <w:rFonts w:hint="eastAsia" w:ascii="Times New Roman" w:hAnsi="Times New Roman" w:cs="Times New Roman"/>
          <w:color w:val="auto"/>
          <w:sz w:val="24"/>
          <w:szCs w:val="24"/>
          <w:lang w:val="en-US" w:eastAsia="zh-CN"/>
        </w:rPr>
        <w:t>粪便传送带</w:t>
      </w:r>
      <w:r>
        <w:rPr>
          <w:rFonts w:hint="default" w:ascii="Times New Roman" w:hAnsi="Times New Roman" w:cs="Times New Roman"/>
          <w:color w:val="auto"/>
          <w:sz w:val="24"/>
          <w:szCs w:val="24"/>
          <w:lang w:val="en-US" w:eastAsia="zh-CN"/>
        </w:rPr>
        <w:t>和清粪机）清洗用水</w:t>
      </w:r>
    </w:p>
    <w:p w14:paraId="57B6C763">
      <w:pPr>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0070C0"/>
          <w:sz w:val="24"/>
          <w:szCs w:val="24"/>
          <w:lang w:val="en-US" w:eastAsia="zh-CN"/>
        </w:rPr>
        <w:t>项目鸡舍粪便收集设施（</w:t>
      </w:r>
      <w:r>
        <w:rPr>
          <w:rFonts w:hint="eastAsia" w:ascii="Times New Roman" w:hAnsi="Times New Roman" w:cs="Times New Roman"/>
          <w:color w:val="0070C0"/>
          <w:sz w:val="24"/>
          <w:szCs w:val="24"/>
          <w:lang w:val="en-US" w:eastAsia="zh-CN"/>
        </w:rPr>
        <w:t>粪便传送带</w:t>
      </w:r>
      <w:r>
        <w:rPr>
          <w:rFonts w:hint="default" w:ascii="Times New Roman" w:hAnsi="Times New Roman" w:cs="Times New Roman"/>
          <w:color w:val="0070C0"/>
          <w:sz w:val="24"/>
          <w:szCs w:val="24"/>
          <w:lang w:val="en-US" w:eastAsia="zh-CN"/>
        </w:rPr>
        <w:t>和清粪机）需要定期进行清洗，根据建设单位提供资料，拟定2个星期清洗一次，一次用水量约5m</w:t>
      </w:r>
      <w:r>
        <w:rPr>
          <w:rFonts w:hint="default" w:ascii="Times New Roman" w:hAnsi="Times New Roman" w:cs="Times New Roman"/>
          <w:color w:val="0070C0"/>
          <w:sz w:val="24"/>
          <w:szCs w:val="24"/>
          <w:vertAlign w:val="superscript"/>
          <w:lang w:val="en-US" w:eastAsia="zh-CN"/>
        </w:rPr>
        <w:t>3</w:t>
      </w:r>
      <w:r>
        <w:rPr>
          <w:rFonts w:hint="default" w:ascii="Times New Roman" w:hAnsi="Times New Roman" w:cs="Times New Roman"/>
          <w:color w:val="0070C0"/>
          <w:sz w:val="24"/>
          <w:szCs w:val="24"/>
          <w:lang w:val="en-US" w:eastAsia="zh-CN"/>
        </w:rPr>
        <w:t>，项目共设置鸡舍8栋，一次清洗总用水量为40m</w:t>
      </w:r>
      <w:r>
        <w:rPr>
          <w:rFonts w:hint="default" w:ascii="Times New Roman" w:hAnsi="Times New Roman" w:cs="Times New Roman"/>
          <w:color w:val="0070C0"/>
          <w:sz w:val="24"/>
          <w:szCs w:val="24"/>
          <w:vertAlign w:val="superscript"/>
          <w:lang w:val="en-US" w:eastAsia="zh-CN"/>
        </w:rPr>
        <w:t>3</w:t>
      </w:r>
      <w:r>
        <w:rPr>
          <w:rFonts w:hint="default" w:ascii="Times New Roman" w:hAnsi="Times New Roman" w:cs="Times New Roman"/>
          <w:color w:val="0070C0"/>
          <w:sz w:val="24"/>
          <w:szCs w:val="24"/>
          <w:lang w:val="en-US" w:eastAsia="zh-CN"/>
        </w:rPr>
        <w:t>，项目年清洗共48次，总清洗用水量为1920m</w:t>
      </w:r>
      <w:r>
        <w:rPr>
          <w:rFonts w:hint="default" w:ascii="Times New Roman" w:hAnsi="Times New Roman" w:cs="Times New Roman"/>
          <w:color w:val="0070C0"/>
          <w:sz w:val="24"/>
          <w:szCs w:val="24"/>
          <w:vertAlign w:val="superscript"/>
          <w:lang w:val="en-US" w:eastAsia="zh-CN"/>
        </w:rPr>
        <w:t>3</w:t>
      </w:r>
      <w:r>
        <w:rPr>
          <w:rFonts w:hint="default" w:ascii="Times New Roman" w:hAnsi="Times New Roman" w:cs="Times New Roman"/>
          <w:color w:val="0070C0"/>
          <w:sz w:val="24"/>
          <w:szCs w:val="24"/>
          <w:lang w:val="en-US" w:eastAsia="zh-CN"/>
        </w:rPr>
        <w:t>/a</w:t>
      </w:r>
      <w:r>
        <w:rPr>
          <w:rFonts w:hint="default" w:ascii="Times New Roman" w:hAnsi="Times New Roman" w:cs="Times New Roman"/>
          <w:color w:val="auto"/>
          <w:sz w:val="24"/>
          <w:szCs w:val="24"/>
          <w:lang w:val="en-US" w:eastAsia="zh-CN"/>
        </w:rPr>
        <w:t>。</w:t>
      </w:r>
    </w:p>
    <w:p w14:paraId="6D1B59F9">
      <w:pPr>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生活用水</w:t>
      </w:r>
    </w:p>
    <w:p w14:paraId="4746B88F">
      <w:pPr>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本项目劳动定员为</w:t>
      </w:r>
      <w:r>
        <w:rPr>
          <w:rFonts w:hint="default"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人，根据《新疆维吾尔自治区生活用水定额》集体宿舍取</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0L/人•d。则职工生活用水量为</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730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14:paraId="70544EA5">
      <w:pPr>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5）水帘降温用水</w:t>
      </w:r>
    </w:p>
    <w:p w14:paraId="6D9B4F92">
      <w:pPr>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FF0000"/>
          <w:sz w:val="24"/>
          <w:szCs w:val="24"/>
          <w:lang w:val="en-US" w:eastAsia="zh-CN"/>
        </w:rPr>
      </w:pPr>
      <w:r>
        <w:rPr>
          <w:rFonts w:hint="default" w:ascii="Times New Roman" w:hAnsi="Times New Roman" w:cs="Times New Roman"/>
          <w:color w:val="FF0000"/>
          <w:sz w:val="24"/>
          <w:szCs w:val="24"/>
          <w:lang w:val="en-US" w:eastAsia="zh-CN"/>
        </w:rPr>
        <w:t>由于到夏季温度较高，各鸡舍均需要采用水帘降温，水帘的清水循环使用，但随着水的蒸发消耗，需要补充新鲜水，根据建设单位介绍，项目每栋鸡舍内设置一套水帘降温系统，共8套，控温水除部分蒸发损失，循环水不足时补充，不外排。鸡舍降温用水量按0.1L/m</w:t>
      </w:r>
      <w:r>
        <w:rPr>
          <w:rFonts w:hint="default" w:ascii="Times New Roman" w:hAnsi="Times New Roman" w:cs="Times New Roman"/>
          <w:color w:val="FF0000"/>
          <w:sz w:val="24"/>
          <w:szCs w:val="24"/>
          <w:vertAlign w:val="superscript"/>
          <w:lang w:val="en-US" w:eastAsia="zh-CN"/>
        </w:rPr>
        <w:t>2</w:t>
      </w:r>
      <w:r>
        <w:rPr>
          <w:rFonts w:hint="default" w:ascii="Times New Roman" w:hAnsi="Times New Roman" w:cs="Times New Roman"/>
          <w:color w:val="FF0000"/>
          <w:sz w:val="24"/>
          <w:szCs w:val="24"/>
          <w:lang w:val="en-US" w:eastAsia="zh-CN"/>
        </w:rPr>
        <w:t>·d计算（参考《</w:t>
      </w:r>
      <w:r>
        <w:rPr>
          <w:rFonts w:hint="default" w:ascii="Times New Roman" w:hAnsi="Times New Roman" w:eastAsia="Segoe UI" w:cs="Times New Roman"/>
          <w:i w:val="0"/>
          <w:iCs w:val="0"/>
          <w:caps w:val="0"/>
          <w:color w:val="FF0000"/>
          <w:spacing w:val="0"/>
          <w:sz w:val="24"/>
          <w:szCs w:val="24"/>
          <w:shd w:val="clear" w:fill="FFFFFF"/>
        </w:rPr>
        <w:t>乌鲁木齐市绿源天润种养殖农民专业合作社的项目</w:t>
      </w:r>
      <w:r>
        <w:rPr>
          <w:rFonts w:hint="default" w:ascii="Times New Roman" w:hAnsi="Times New Roman" w:cs="Times New Roman"/>
          <w:color w:val="FF0000"/>
          <w:sz w:val="24"/>
          <w:szCs w:val="24"/>
          <w:lang w:val="en-US" w:eastAsia="zh-CN"/>
        </w:rPr>
        <w:t>》），水帘运行时间为6~9月（按120天计），鸡舍面积为10900m</w:t>
      </w:r>
      <w:r>
        <w:rPr>
          <w:rFonts w:hint="default" w:ascii="Times New Roman" w:hAnsi="Times New Roman" w:cs="Times New Roman"/>
          <w:color w:val="FF0000"/>
          <w:sz w:val="24"/>
          <w:szCs w:val="24"/>
          <w:vertAlign w:val="superscript"/>
          <w:lang w:val="en-US" w:eastAsia="zh-CN"/>
        </w:rPr>
        <w:t>2</w:t>
      </w:r>
      <w:r>
        <w:rPr>
          <w:rFonts w:hint="default" w:ascii="Times New Roman" w:hAnsi="Times New Roman" w:cs="Times New Roman"/>
          <w:color w:val="FF0000"/>
          <w:sz w:val="24"/>
          <w:szCs w:val="24"/>
          <w:lang w:val="en-US" w:eastAsia="zh-CN"/>
        </w:rPr>
        <w:t>，则每年需要的降温用水量约130.8m</w:t>
      </w:r>
      <w:r>
        <w:rPr>
          <w:rFonts w:hint="default" w:ascii="Times New Roman" w:hAnsi="Times New Roman" w:cs="Times New Roman"/>
          <w:color w:val="FF0000"/>
          <w:sz w:val="24"/>
          <w:szCs w:val="24"/>
          <w:vertAlign w:val="superscript"/>
          <w:lang w:val="en-US" w:eastAsia="zh-CN"/>
        </w:rPr>
        <w:t>3</w:t>
      </w:r>
      <w:r>
        <w:rPr>
          <w:rFonts w:hint="default" w:ascii="Times New Roman" w:hAnsi="Times New Roman" w:cs="Times New Roman"/>
          <w:color w:val="FF0000"/>
          <w:sz w:val="24"/>
          <w:szCs w:val="24"/>
          <w:lang w:val="en-US" w:eastAsia="zh-CN"/>
        </w:rPr>
        <w:t>。</w:t>
      </w:r>
    </w:p>
    <w:p w14:paraId="3D42401B">
      <w:pPr>
        <w:keepLines w:val="0"/>
        <w:pageBreakBefore w:val="0"/>
        <w:widowControl w:val="0"/>
        <w:kinsoku/>
        <w:wordWrap/>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FF0000"/>
          <w:sz w:val="24"/>
          <w:szCs w:val="32"/>
          <w:lang w:val="en-US" w:eastAsia="zh-CN"/>
        </w:rPr>
      </w:pPr>
      <w:r>
        <w:rPr>
          <w:rFonts w:hint="default" w:ascii="Times New Roman" w:hAnsi="Times New Roman" w:cs="Times New Roman"/>
          <w:color w:val="FF0000"/>
          <w:sz w:val="24"/>
          <w:szCs w:val="32"/>
          <w:lang w:val="en-US" w:eastAsia="zh-CN"/>
        </w:rPr>
        <w:t>6）锅炉用水</w:t>
      </w:r>
    </w:p>
    <w:p w14:paraId="1FEE4431">
      <w:pPr>
        <w:keepLines w:val="0"/>
        <w:pageBreakBefore w:val="0"/>
        <w:widowControl w:val="0"/>
        <w:kinsoku/>
        <w:wordWrap/>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FF0000"/>
          <w:sz w:val="24"/>
          <w:szCs w:val="32"/>
          <w:lang w:eastAsia="zh-CN"/>
        </w:rPr>
      </w:pPr>
      <w:r>
        <w:rPr>
          <w:rFonts w:hint="default" w:ascii="Times New Roman" w:hAnsi="Times New Roman" w:cs="Times New Roman"/>
          <w:color w:val="FF0000"/>
          <w:sz w:val="24"/>
          <w:szCs w:val="32"/>
        </w:rPr>
        <w:t>本工程锅炉房的水源为</w:t>
      </w:r>
      <w:r>
        <w:rPr>
          <w:rFonts w:hint="default" w:ascii="Times New Roman" w:hAnsi="Times New Roman" w:cs="Times New Roman"/>
          <w:color w:val="FF0000"/>
          <w:sz w:val="24"/>
          <w:szCs w:val="32"/>
          <w:lang w:val="en-US" w:eastAsia="zh-CN"/>
        </w:rPr>
        <w:t>市政</w:t>
      </w:r>
      <w:r>
        <w:rPr>
          <w:rFonts w:hint="default" w:ascii="Times New Roman" w:hAnsi="Times New Roman" w:cs="Times New Roman"/>
          <w:color w:val="FF0000"/>
          <w:sz w:val="24"/>
          <w:szCs w:val="32"/>
          <w:lang w:eastAsia="zh-CN"/>
        </w:rPr>
        <w:t>供水</w:t>
      </w:r>
      <w:r>
        <w:rPr>
          <w:rFonts w:hint="default" w:ascii="Times New Roman" w:hAnsi="Times New Roman" w:cs="Times New Roman"/>
          <w:color w:val="FF0000"/>
          <w:sz w:val="24"/>
          <w:szCs w:val="32"/>
        </w:rPr>
        <w:t>。生活区和鸡舍采用电锅炉（2t/h）供热。</w:t>
      </w:r>
      <w:r>
        <w:rPr>
          <w:rFonts w:hint="default" w:ascii="Times New Roman" w:hAnsi="Times New Roman" w:cs="Times New Roman"/>
          <w:color w:val="FF0000"/>
          <w:sz w:val="24"/>
          <w:szCs w:val="32"/>
          <w:lang w:eastAsia="zh-CN"/>
        </w:rPr>
        <w:t>项目区用水主要为锅炉用水，通常情况下，锅炉的用水量一般为蒸发量、锅炉排污损失和管道汽水损失的总和。管道汽水损失一般都为3%。</w:t>
      </w:r>
      <w:r>
        <w:rPr>
          <w:rFonts w:hint="default" w:ascii="Times New Roman" w:hAnsi="Times New Roman" w:cs="Times New Roman"/>
          <w:color w:val="FF0000"/>
          <w:sz w:val="24"/>
          <w:szCs w:val="32"/>
          <w:lang w:val="en-US" w:eastAsia="zh-CN"/>
        </w:rPr>
        <w:t>冷凝水的回收率为90%，生产工序损耗为10%，</w:t>
      </w:r>
      <w:r>
        <w:rPr>
          <w:rFonts w:hint="default" w:ascii="Times New Roman" w:hAnsi="Times New Roman" w:cs="Times New Roman"/>
          <w:color w:val="FF0000"/>
          <w:sz w:val="24"/>
          <w:szCs w:val="32"/>
          <w:lang w:eastAsia="zh-CN"/>
        </w:rPr>
        <w:t>按这个计算，热水锅炉用水量5856</w:t>
      </w:r>
      <w:r>
        <w:rPr>
          <w:rFonts w:hint="default" w:ascii="Times New Roman" w:hAnsi="Times New Roman" w:eastAsia="宋体" w:cs="Times New Roman"/>
          <w:b w:val="0"/>
          <w:bCs w:val="0"/>
          <w:color w:val="FF0000"/>
          <w:sz w:val="24"/>
          <w:szCs w:val="24"/>
          <w:lang w:val="en-US" w:eastAsia="zh-CN"/>
        </w:rPr>
        <w:t>m</w:t>
      </w:r>
      <w:r>
        <w:rPr>
          <w:rFonts w:hint="default" w:ascii="Times New Roman" w:hAnsi="Times New Roman" w:eastAsia="宋体" w:cs="Times New Roman"/>
          <w:b w:val="0"/>
          <w:bCs w:val="0"/>
          <w:color w:val="FF0000"/>
          <w:sz w:val="24"/>
          <w:szCs w:val="24"/>
          <w:vertAlign w:val="superscript"/>
          <w:lang w:val="en-US" w:eastAsia="zh-CN"/>
        </w:rPr>
        <w:t>3</w:t>
      </w:r>
      <w:r>
        <w:rPr>
          <w:rFonts w:hint="default" w:ascii="Times New Roman" w:hAnsi="Times New Roman" w:eastAsia="宋体" w:cs="Times New Roman"/>
          <w:b w:val="0"/>
          <w:bCs w:val="0"/>
          <w:color w:val="FF0000"/>
          <w:sz w:val="24"/>
          <w:szCs w:val="24"/>
          <w:lang w:val="en-US" w:eastAsia="zh-CN"/>
        </w:rPr>
        <w:t>/a</w:t>
      </w:r>
      <w:r>
        <w:rPr>
          <w:rFonts w:hint="default" w:ascii="Times New Roman" w:hAnsi="Times New Roman" w:cs="Times New Roman"/>
          <w:color w:val="FF0000"/>
          <w:sz w:val="24"/>
          <w:szCs w:val="32"/>
          <w:lang w:eastAsia="zh-CN"/>
        </w:rPr>
        <w:t>。</w:t>
      </w:r>
    </w:p>
    <w:p w14:paraId="4E2ABA32">
      <w:pPr>
        <w:keepLines w:val="0"/>
        <w:pageBreakBefore w:val="0"/>
        <w:widowControl w:val="0"/>
        <w:kinsoku/>
        <w:wordWrap/>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kern w:val="2"/>
          <w:sz w:val="24"/>
          <w:szCs w:val="24"/>
          <w:u w:val="none"/>
          <w:shd w:val="clear" w:color="auto" w:fill="auto"/>
          <w:lang w:val="en-US" w:eastAsia="zh-CN" w:bidi="ar-SA"/>
        </w:rPr>
      </w:pPr>
      <w:r>
        <w:rPr>
          <w:rFonts w:hint="default" w:ascii="Times New Roman" w:hAnsi="Times New Roman" w:eastAsia="宋体" w:cs="Times New Roman"/>
          <w:b w:val="0"/>
          <w:bCs w:val="0"/>
          <w:color w:val="auto"/>
          <w:sz w:val="24"/>
          <w:szCs w:val="24"/>
          <w:lang w:val="en-US" w:eastAsia="zh-CN"/>
        </w:rPr>
        <w:t>根据《4430工业锅炉（热力生产和供应行业）产污系数表-工业废水量》，天然气锅炉（锅炉排污水＋软化处理废水）的产污系数为13.56吨/万立方米-原料，故锅炉排污水和软化处理废水的排放量为7.94m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p>
    <w:p w14:paraId="13C7B8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2"/>
          <w:sz w:val="24"/>
          <w:szCs w:val="24"/>
          <w:u w:val="none"/>
          <w:shd w:val="clear" w:color="auto" w:fill="auto"/>
          <w:lang w:val="en-US" w:eastAsia="zh-CN" w:bidi="ar-SA"/>
        </w:rPr>
        <w:t>本项目供水主要为项目区自来水，通过管道输送至各生产、生活用水点。</w:t>
      </w:r>
    </w:p>
    <w:p w14:paraId="7766259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（2）排水</w:t>
      </w:r>
    </w:p>
    <w:p w14:paraId="468427F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本项目鸡舍采用干清粪工艺，鸡舍采用喷雾消毒方式消毒，不需要对鸡舍进行冲洗，不产生圈舍冲洗废水；</w:t>
      </w:r>
      <w:r>
        <w:rPr>
          <w:rFonts w:hint="default" w:ascii="Times New Roman" w:hAnsi="Times New Roman" w:cs="Times New Roman"/>
          <w:color w:val="auto"/>
          <w:sz w:val="24"/>
          <w:szCs w:val="24"/>
        </w:rPr>
        <w:t>本项目废水主要</w:t>
      </w:r>
      <w:r>
        <w:rPr>
          <w:rFonts w:hint="default" w:ascii="Times New Roman" w:hAnsi="Times New Roman" w:cs="Times New Roman"/>
          <w:color w:val="auto"/>
          <w:sz w:val="24"/>
          <w:szCs w:val="24"/>
          <w:lang w:val="en-US" w:eastAsia="zh-CN"/>
        </w:rPr>
        <w:t>为</w:t>
      </w:r>
      <w:r>
        <w:rPr>
          <w:rFonts w:hint="default" w:ascii="Times New Roman" w:hAnsi="Times New Roman" w:cs="Times New Roman"/>
          <w:color w:val="auto"/>
          <w:sz w:val="24"/>
          <w:szCs w:val="24"/>
        </w:rPr>
        <w:t>职工生活污水</w:t>
      </w:r>
      <w:r>
        <w:rPr>
          <w:rFonts w:hint="default" w:ascii="Times New Roman" w:hAnsi="Times New Roman" w:cs="Times New Roman"/>
          <w:color w:val="auto"/>
          <w:sz w:val="24"/>
          <w:szCs w:val="24"/>
          <w:lang w:val="en-US" w:eastAsia="zh-CN"/>
        </w:rPr>
        <w:t>和鸡舍粪便收集设施（</w:t>
      </w:r>
      <w:r>
        <w:rPr>
          <w:rFonts w:hint="eastAsia" w:ascii="Times New Roman" w:hAnsi="Times New Roman" w:cs="Times New Roman"/>
          <w:color w:val="auto"/>
          <w:sz w:val="24"/>
          <w:szCs w:val="24"/>
          <w:lang w:val="en-US" w:eastAsia="zh-CN"/>
        </w:rPr>
        <w:t>粪便传送带</w:t>
      </w:r>
      <w:r>
        <w:rPr>
          <w:rFonts w:hint="default" w:ascii="Times New Roman" w:hAnsi="Times New Roman" w:cs="Times New Roman"/>
          <w:color w:val="auto"/>
          <w:sz w:val="24"/>
          <w:szCs w:val="24"/>
          <w:lang w:val="en-US" w:eastAsia="zh-CN"/>
        </w:rPr>
        <w:t>和清粪机）冲洗废水</w:t>
      </w:r>
      <w:r>
        <w:rPr>
          <w:rFonts w:hint="default" w:ascii="Times New Roman" w:hAnsi="Times New Roman" w:cs="Times New Roman"/>
          <w:color w:val="auto"/>
          <w:sz w:val="24"/>
          <w:szCs w:val="24"/>
        </w:rPr>
        <w:t>。</w:t>
      </w:r>
    </w:p>
    <w:p w14:paraId="58E5E4D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1）工作人员生活污水：项目工作人员生活用水量为730m³/a，</w:t>
      </w:r>
      <w:r>
        <w:rPr>
          <w:rFonts w:hint="default" w:ascii="Times New Roman" w:hAnsi="Times New Roman" w:cs="Times New Roman"/>
          <w:color w:val="auto"/>
          <w:sz w:val="24"/>
          <w:szCs w:val="24"/>
        </w:rPr>
        <w:t>生活污水按用水量80%计，则排水量为</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584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/a。本项目职工</w:t>
      </w:r>
      <w:r>
        <w:rPr>
          <w:rFonts w:hint="default" w:ascii="Times New Roman" w:hAnsi="Times New Roman" w:cs="Times New Roman"/>
          <w:color w:val="auto"/>
          <w:sz w:val="24"/>
          <w:szCs w:val="24"/>
          <w:lang w:val="en-US" w:eastAsia="zh-CN"/>
        </w:rPr>
        <w:t>生活污水排入废水收集池发酵处理后用于农田灌溉</w:t>
      </w:r>
      <w:r>
        <w:rPr>
          <w:rFonts w:hint="default" w:ascii="Times New Roman" w:hAnsi="Times New Roman" w:cs="Times New Roman"/>
          <w:color w:val="auto"/>
          <w:sz w:val="24"/>
          <w:szCs w:val="24"/>
        </w:rPr>
        <w:t>。</w:t>
      </w:r>
    </w:p>
    <w:p w14:paraId="38FC701A">
      <w:pPr>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2）鸡舍粪便收集设施（</w:t>
      </w:r>
      <w:r>
        <w:rPr>
          <w:rFonts w:hint="eastAsia" w:ascii="Times New Roman" w:hAnsi="Times New Roman" w:cs="Times New Roman"/>
          <w:color w:val="auto"/>
          <w:sz w:val="24"/>
          <w:szCs w:val="24"/>
          <w:lang w:val="en-US" w:eastAsia="zh-CN"/>
        </w:rPr>
        <w:t>粪便传送带</w:t>
      </w:r>
      <w:r>
        <w:rPr>
          <w:rFonts w:hint="default" w:ascii="Times New Roman" w:hAnsi="Times New Roman" w:cs="Times New Roman"/>
          <w:color w:val="auto"/>
          <w:sz w:val="24"/>
          <w:szCs w:val="24"/>
          <w:lang w:val="en-US" w:eastAsia="zh-CN"/>
        </w:rPr>
        <w:t>和清粪机）清洗废水：项目鸡舍粪便收集设施（</w:t>
      </w:r>
      <w:r>
        <w:rPr>
          <w:rFonts w:hint="eastAsia" w:ascii="Times New Roman" w:hAnsi="Times New Roman" w:cs="Times New Roman"/>
          <w:color w:val="auto"/>
          <w:sz w:val="24"/>
          <w:szCs w:val="24"/>
          <w:lang w:val="en-US" w:eastAsia="zh-CN"/>
        </w:rPr>
        <w:t>粪便传送带</w:t>
      </w:r>
      <w:r>
        <w:rPr>
          <w:rFonts w:hint="default" w:ascii="Times New Roman" w:hAnsi="Times New Roman" w:cs="Times New Roman"/>
          <w:color w:val="auto"/>
          <w:sz w:val="24"/>
          <w:szCs w:val="24"/>
          <w:lang w:val="en-US" w:eastAsia="zh-CN"/>
        </w:rPr>
        <w:t>和清粪机）总清洗用水量为1920m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/a，项目年清洗共48次，项目仅用清水进行冲洗，未添加洗涤剂，废水产生量</w:t>
      </w:r>
      <w:r>
        <w:rPr>
          <w:rFonts w:hint="default" w:ascii="Times New Roman" w:hAnsi="Times New Roman" w:cs="Times New Roman"/>
          <w:color w:val="auto"/>
          <w:sz w:val="24"/>
          <w:szCs w:val="24"/>
        </w:rPr>
        <w:t>按用水量80%计，则</w:t>
      </w:r>
      <w:r>
        <w:rPr>
          <w:rFonts w:hint="default" w:ascii="Times New Roman" w:hAnsi="Times New Roman" w:cs="Times New Roman"/>
          <w:color w:val="auto"/>
          <w:sz w:val="24"/>
          <w:szCs w:val="24"/>
          <w:lang w:val="en-US" w:eastAsia="zh-CN"/>
        </w:rPr>
        <w:t>清洗废水</w:t>
      </w:r>
      <w:r>
        <w:rPr>
          <w:rFonts w:hint="default" w:ascii="Times New Roman" w:hAnsi="Times New Roman" w:cs="Times New Roman"/>
          <w:color w:val="auto"/>
          <w:sz w:val="24"/>
          <w:szCs w:val="24"/>
        </w:rPr>
        <w:t>量为</w:t>
      </w:r>
      <w:r>
        <w:rPr>
          <w:rFonts w:hint="default" w:ascii="Times New Roman" w:hAnsi="Times New Roman" w:cs="Times New Roman"/>
          <w:color w:val="auto"/>
          <w:sz w:val="24"/>
          <w:szCs w:val="24"/>
          <w:lang w:val="en-US" w:eastAsia="zh-CN"/>
        </w:rPr>
        <w:t>1536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（每次产生量</w:t>
      </w:r>
      <w:r>
        <w:rPr>
          <w:rFonts w:hint="default" w:ascii="Times New Roman" w:hAnsi="Times New Roman" w:cs="Times New Roman"/>
          <w:color w:val="auto"/>
          <w:sz w:val="24"/>
          <w:szCs w:val="24"/>
          <w:lang w:val="en-US" w:eastAsia="zh-CN"/>
        </w:rPr>
        <w:t>32m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鸡舍粪便收集设施（</w:t>
      </w:r>
      <w:r>
        <w:rPr>
          <w:rFonts w:hint="eastAsia" w:ascii="Times New Roman" w:hAnsi="Times New Roman" w:cs="Times New Roman"/>
          <w:color w:val="auto"/>
          <w:sz w:val="24"/>
          <w:szCs w:val="24"/>
          <w:lang w:val="en-US" w:eastAsia="zh-CN"/>
        </w:rPr>
        <w:t>粪便传送带</w:t>
      </w:r>
      <w:r>
        <w:rPr>
          <w:rFonts w:hint="default" w:ascii="Times New Roman" w:hAnsi="Times New Roman" w:cs="Times New Roman"/>
          <w:color w:val="auto"/>
          <w:sz w:val="24"/>
          <w:szCs w:val="24"/>
          <w:lang w:val="en-US" w:eastAsia="zh-CN"/>
        </w:rPr>
        <w:t>和清粪机）冲洗废水收集后排入1座100m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废水收集</w:t>
      </w:r>
      <w:r>
        <w:rPr>
          <w:rFonts w:hint="default" w:ascii="Times New Roman" w:hAnsi="Times New Roman" w:cs="Times New Roman"/>
          <w:color w:val="auto"/>
          <w:sz w:val="24"/>
          <w:szCs w:val="24"/>
          <w:lang w:val="en-US" w:eastAsia="zh-CN"/>
        </w:rPr>
        <w:t>池，本项目每次废水产生量为32m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废水排入100m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废水收集池，用于粪便堆肥，增加有机肥湿度处理。</w:t>
      </w:r>
    </w:p>
    <w:p w14:paraId="0AA9DC7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本项目</w:t>
      </w:r>
      <w:r>
        <w:rPr>
          <w:rFonts w:hint="default" w:ascii="Times New Roman" w:hAnsi="Times New Roman" w:cs="Times New Roman"/>
          <w:color w:val="FF0000"/>
          <w:sz w:val="24"/>
          <w:szCs w:val="24"/>
          <w:lang w:eastAsia="zh-CN"/>
        </w:rPr>
        <w:t>供排水</w:t>
      </w:r>
      <w:r>
        <w:rPr>
          <w:rFonts w:hint="default" w:ascii="Times New Roman" w:hAnsi="Times New Roman" w:cs="Times New Roman"/>
          <w:color w:val="FF0000"/>
          <w:sz w:val="24"/>
          <w:szCs w:val="24"/>
        </w:rPr>
        <w:t>情况见表3.</w:t>
      </w:r>
      <w:r>
        <w:rPr>
          <w:rFonts w:hint="default" w:ascii="Times New Roman" w:hAnsi="Times New Roman" w:cs="Times New Roman"/>
          <w:color w:val="FF0000"/>
          <w:sz w:val="24"/>
          <w:szCs w:val="24"/>
          <w:lang w:val="en-US" w:eastAsia="zh-CN"/>
        </w:rPr>
        <w:t>1</w:t>
      </w:r>
      <w:r>
        <w:rPr>
          <w:rFonts w:hint="default" w:ascii="Times New Roman" w:hAnsi="Times New Roman" w:cs="Times New Roman"/>
          <w:color w:val="FF0000"/>
          <w:sz w:val="24"/>
          <w:szCs w:val="24"/>
        </w:rPr>
        <w:t>-</w:t>
      </w:r>
      <w:r>
        <w:rPr>
          <w:rFonts w:hint="default" w:ascii="Times New Roman" w:hAnsi="Times New Roman" w:cs="Times New Roman"/>
          <w:color w:val="FF0000"/>
          <w:sz w:val="24"/>
          <w:szCs w:val="24"/>
          <w:lang w:val="en-US" w:eastAsia="zh-CN"/>
        </w:rPr>
        <w:t>4</w:t>
      </w:r>
      <w:r>
        <w:rPr>
          <w:rFonts w:hint="default" w:ascii="Times New Roman" w:hAnsi="Times New Roman" w:cs="Times New Roman"/>
          <w:color w:val="FF0000"/>
          <w:sz w:val="24"/>
          <w:szCs w:val="24"/>
        </w:rPr>
        <w:t>。本项目</w:t>
      </w:r>
      <w:r>
        <w:rPr>
          <w:rFonts w:hint="default" w:ascii="Times New Roman" w:hAnsi="Times New Roman" w:cs="Times New Roman"/>
          <w:color w:val="FF0000"/>
          <w:sz w:val="24"/>
          <w:szCs w:val="24"/>
          <w:lang w:eastAsia="zh-CN"/>
        </w:rPr>
        <w:t>供排水</w:t>
      </w:r>
      <w:r>
        <w:rPr>
          <w:rFonts w:hint="default" w:ascii="Times New Roman" w:hAnsi="Times New Roman" w:cs="Times New Roman"/>
          <w:color w:val="FF0000"/>
          <w:sz w:val="24"/>
          <w:szCs w:val="24"/>
        </w:rPr>
        <w:t>平衡见下图3.</w:t>
      </w:r>
      <w:r>
        <w:rPr>
          <w:rFonts w:hint="default" w:ascii="Times New Roman" w:hAnsi="Times New Roman" w:cs="Times New Roman"/>
          <w:color w:val="FF0000"/>
          <w:sz w:val="24"/>
          <w:szCs w:val="24"/>
          <w:lang w:val="en-US" w:eastAsia="zh-CN"/>
        </w:rPr>
        <w:t>1</w:t>
      </w:r>
      <w:r>
        <w:rPr>
          <w:rFonts w:hint="default" w:ascii="Times New Roman" w:hAnsi="Times New Roman" w:cs="Times New Roman"/>
          <w:color w:val="FF0000"/>
          <w:sz w:val="24"/>
          <w:szCs w:val="24"/>
        </w:rPr>
        <w:t>-</w:t>
      </w:r>
      <w:r>
        <w:rPr>
          <w:rFonts w:hint="default" w:ascii="Times New Roman" w:hAnsi="Times New Roman" w:cs="Times New Roman"/>
          <w:color w:val="FF0000"/>
          <w:sz w:val="24"/>
          <w:szCs w:val="24"/>
          <w:lang w:val="en-US" w:eastAsia="zh-CN"/>
        </w:rPr>
        <w:t>3</w:t>
      </w:r>
      <w:r>
        <w:rPr>
          <w:rFonts w:hint="default" w:ascii="Times New Roman" w:hAnsi="Times New Roman" w:cs="Times New Roman"/>
          <w:color w:val="FF0000"/>
          <w:sz w:val="24"/>
          <w:szCs w:val="24"/>
        </w:rPr>
        <w:t>。</w:t>
      </w:r>
    </w:p>
    <w:p w14:paraId="1137A5D2">
      <w:pPr>
        <w:pStyle w:val="14"/>
        <w:spacing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3.1</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4</w:t>
      </w:r>
      <w:r>
        <w:rPr>
          <w:rFonts w:hint="default" w:ascii="Times New Roman" w:hAnsi="Times New Roman" w:cs="Times New Roman"/>
          <w:color w:val="FF0000"/>
        </w:rPr>
        <w:fldChar w:fldCharType="end"/>
      </w:r>
      <w:r>
        <w:rPr>
          <w:rFonts w:hint="default" w:ascii="Times New Roman" w:hAnsi="Times New Roman" w:cs="Times New Roman"/>
          <w:b/>
          <w:bCs/>
          <w:color w:val="FF0000"/>
          <w:sz w:val="21"/>
          <w:szCs w:val="21"/>
        </w:rPr>
        <w:t>本项目</w:t>
      </w:r>
      <w:r>
        <w:rPr>
          <w:rFonts w:hint="default" w:ascii="Times New Roman" w:hAnsi="Times New Roman" w:cs="Times New Roman"/>
          <w:b/>
          <w:bCs/>
          <w:color w:val="FF0000"/>
          <w:sz w:val="21"/>
          <w:szCs w:val="21"/>
          <w:lang w:val="en-US" w:eastAsia="zh-CN"/>
        </w:rPr>
        <w:t>水平衡</w:t>
      </w:r>
      <w:r>
        <w:rPr>
          <w:rFonts w:hint="default" w:ascii="Times New Roman" w:hAnsi="Times New Roman" w:cs="Times New Roman"/>
          <w:b/>
          <w:bCs/>
          <w:color w:val="FF0000"/>
          <w:sz w:val="21"/>
          <w:szCs w:val="21"/>
        </w:rPr>
        <w:t>一览表单位：m</w:t>
      </w:r>
      <w:r>
        <w:rPr>
          <w:rFonts w:hint="default" w:ascii="Times New Roman" w:hAnsi="Times New Roman" w:cs="Times New Roman"/>
          <w:b/>
          <w:bCs/>
          <w:color w:val="FF0000"/>
          <w:sz w:val="21"/>
          <w:szCs w:val="21"/>
          <w:vertAlign w:val="superscript"/>
        </w:rPr>
        <w:t>3</w:t>
      </w:r>
      <w:r>
        <w:rPr>
          <w:rFonts w:hint="default" w:ascii="Times New Roman" w:hAnsi="Times New Roman" w:cs="Times New Roman"/>
          <w:b/>
          <w:bCs/>
          <w:color w:val="FF0000"/>
          <w:sz w:val="21"/>
          <w:szCs w:val="21"/>
        </w:rPr>
        <w:t>/a</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20"/>
        <w:gridCol w:w="823"/>
        <w:gridCol w:w="1072"/>
        <w:gridCol w:w="848"/>
        <w:gridCol w:w="926"/>
        <w:gridCol w:w="652"/>
        <w:gridCol w:w="2731"/>
      </w:tblGrid>
      <w:tr w14:paraId="7FA6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788" w:type="pct"/>
            <w:tcBorders>
              <w:tl2br w:val="nil"/>
              <w:tr2bl w:val="nil"/>
            </w:tcBorders>
            <w:noWrap/>
            <w:vAlign w:val="center"/>
          </w:tcPr>
          <w:p w14:paraId="06B5826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项目</w:t>
            </w:r>
          </w:p>
        </w:tc>
        <w:tc>
          <w:tcPr>
            <w:tcW w:w="491" w:type="pct"/>
            <w:tcBorders>
              <w:tl2br w:val="nil"/>
              <w:tr2bl w:val="nil"/>
            </w:tcBorders>
            <w:noWrap/>
            <w:vAlign w:val="center"/>
          </w:tcPr>
          <w:p w14:paraId="5280860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数量</w:t>
            </w:r>
          </w:p>
        </w:tc>
        <w:tc>
          <w:tcPr>
            <w:tcW w:w="640" w:type="pct"/>
            <w:tcBorders>
              <w:tl2br w:val="nil"/>
              <w:tr2bl w:val="nil"/>
            </w:tcBorders>
            <w:noWrap/>
            <w:vAlign w:val="center"/>
          </w:tcPr>
          <w:p w14:paraId="7BE6AC4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用水量</w:t>
            </w:r>
          </w:p>
        </w:tc>
        <w:tc>
          <w:tcPr>
            <w:tcW w:w="506" w:type="pct"/>
            <w:tcBorders>
              <w:tl2br w:val="nil"/>
              <w:tr2bl w:val="nil"/>
            </w:tcBorders>
            <w:noWrap/>
            <w:vAlign w:val="center"/>
          </w:tcPr>
          <w:p w14:paraId="21D345F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用水量</w:t>
            </w:r>
          </w:p>
        </w:tc>
        <w:tc>
          <w:tcPr>
            <w:tcW w:w="553" w:type="pct"/>
            <w:tcBorders>
              <w:tl2br w:val="nil"/>
              <w:tr2bl w:val="nil"/>
            </w:tcBorders>
            <w:noWrap/>
            <w:vAlign w:val="center"/>
          </w:tcPr>
          <w:p w14:paraId="4EB5F9B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损失量</w:t>
            </w:r>
          </w:p>
        </w:tc>
        <w:tc>
          <w:tcPr>
            <w:tcW w:w="389" w:type="pct"/>
            <w:tcBorders>
              <w:tl2br w:val="nil"/>
              <w:tr2bl w:val="nil"/>
            </w:tcBorders>
            <w:noWrap/>
            <w:vAlign w:val="center"/>
          </w:tcPr>
          <w:p w14:paraId="6810C73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排水量</w:t>
            </w:r>
          </w:p>
        </w:tc>
        <w:tc>
          <w:tcPr>
            <w:tcW w:w="1631" w:type="pct"/>
            <w:tcBorders>
              <w:tl2br w:val="nil"/>
              <w:tr2bl w:val="nil"/>
            </w:tcBorders>
            <w:noWrap/>
            <w:vAlign w:val="center"/>
          </w:tcPr>
          <w:p w14:paraId="0392190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FF0000"/>
                <w:kern w:val="0"/>
                <w:sz w:val="21"/>
                <w:szCs w:val="21"/>
                <w:lang w:val="en-US" w:eastAsia="zh-CN"/>
              </w:rPr>
            </w:pPr>
            <w:r>
              <w:rPr>
                <w:rFonts w:hint="default" w:ascii="Times New Roman" w:hAnsi="Times New Roman" w:cs="Times New Roman"/>
                <w:b/>
                <w:bCs/>
                <w:color w:val="FF0000"/>
                <w:kern w:val="0"/>
                <w:sz w:val="21"/>
                <w:szCs w:val="21"/>
                <w:lang w:val="en-US" w:eastAsia="zh-CN"/>
              </w:rPr>
              <w:t>备注</w:t>
            </w:r>
          </w:p>
        </w:tc>
      </w:tr>
      <w:tr w14:paraId="25F2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 w:hRule="atLeast"/>
          <w:jc w:val="center"/>
        </w:trPr>
        <w:tc>
          <w:tcPr>
            <w:tcW w:w="788" w:type="pct"/>
            <w:tcBorders>
              <w:tl2br w:val="nil"/>
              <w:tr2bl w:val="nil"/>
            </w:tcBorders>
            <w:noWrap/>
            <w:vAlign w:val="center"/>
          </w:tcPr>
          <w:p w14:paraId="4401553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lang w:eastAsia="zh-CN"/>
              </w:rPr>
              <w:t>鸡</w:t>
            </w:r>
            <w:r>
              <w:rPr>
                <w:rFonts w:hint="default" w:ascii="Times New Roman" w:hAnsi="Times New Roman" w:cs="Times New Roman"/>
                <w:color w:val="FF0000"/>
                <w:kern w:val="0"/>
                <w:sz w:val="21"/>
                <w:szCs w:val="21"/>
              </w:rPr>
              <w:t>饮用水</w:t>
            </w:r>
          </w:p>
        </w:tc>
        <w:tc>
          <w:tcPr>
            <w:tcW w:w="491" w:type="pct"/>
            <w:tcBorders>
              <w:tl2br w:val="nil"/>
              <w:tr2bl w:val="nil"/>
            </w:tcBorders>
            <w:noWrap/>
            <w:vAlign w:val="center"/>
          </w:tcPr>
          <w:p w14:paraId="49001E8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60万羽</w:t>
            </w:r>
          </w:p>
        </w:tc>
        <w:tc>
          <w:tcPr>
            <w:tcW w:w="640" w:type="pct"/>
            <w:tcBorders>
              <w:tl2br w:val="nil"/>
              <w:tr2bl w:val="nil"/>
            </w:tcBorders>
            <w:noWrap/>
            <w:vAlign w:val="center"/>
          </w:tcPr>
          <w:p w14:paraId="2E729CC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eastAsia="zh-CN"/>
              </w:rPr>
            </w:pPr>
            <w:r>
              <w:rPr>
                <w:rFonts w:hint="default" w:ascii="Times New Roman" w:hAnsi="Times New Roman" w:cs="Times New Roman"/>
                <w:color w:val="FF0000"/>
                <w:sz w:val="21"/>
                <w:szCs w:val="21"/>
                <w:lang w:val="en-US" w:eastAsia="zh-CN"/>
              </w:rPr>
              <w:t>0.2</w:t>
            </w:r>
            <w:r>
              <w:rPr>
                <w:rFonts w:hint="default" w:ascii="Times New Roman" w:hAnsi="Times New Roman" w:cs="Times New Roman"/>
                <w:color w:val="FF0000"/>
                <w:sz w:val="21"/>
                <w:szCs w:val="21"/>
              </w:rPr>
              <w:t>L/</w:t>
            </w:r>
            <w:r>
              <w:rPr>
                <w:rFonts w:hint="default" w:ascii="Times New Roman" w:hAnsi="Times New Roman" w:cs="Times New Roman"/>
                <w:color w:val="FF0000"/>
                <w:sz w:val="21"/>
                <w:szCs w:val="21"/>
                <w:lang w:val="en-US" w:eastAsia="zh-CN"/>
              </w:rPr>
              <w:t>只</w:t>
            </w:r>
            <w:r>
              <w:rPr>
                <w:rFonts w:hint="default" w:ascii="Times New Roman" w:hAnsi="Times New Roman" w:cs="Times New Roman"/>
                <w:color w:val="FF0000"/>
                <w:kern w:val="0"/>
                <w:sz w:val="21"/>
                <w:szCs w:val="21"/>
              </w:rPr>
              <w:t>•d</w:t>
            </w:r>
          </w:p>
        </w:tc>
        <w:tc>
          <w:tcPr>
            <w:tcW w:w="506" w:type="pct"/>
            <w:tcBorders>
              <w:tl2br w:val="nil"/>
              <w:tr2bl w:val="nil"/>
            </w:tcBorders>
            <w:noWrap/>
            <w:vAlign w:val="center"/>
          </w:tcPr>
          <w:p w14:paraId="21ECEFB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43800</w:t>
            </w:r>
          </w:p>
        </w:tc>
        <w:tc>
          <w:tcPr>
            <w:tcW w:w="553" w:type="pct"/>
            <w:tcBorders>
              <w:tl2br w:val="nil"/>
              <w:tr2bl w:val="nil"/>
            </w:tcBorders>
            <w:noWrap/>
            <w:vAlign w:val="center"/>
          </w:tcPr>
          <w:p w14:paraId="1B9324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FF0000"/>
                <w:kern w:val="2"/>
                <w:sz w:val="21"/>
                <w:szCs w:val="21"/>
                <w:u w:val="none"/>
                <w:lang w:val="en-US" w:eastAsia="zh-CN" w:bidi="ar-SA"/>
              </w:rPr>
            </w:pPr>
            <w:r>
              <w:rPr>
                <w:rFonts w:hint="default" w:ascii="Times New Roman" w:hAnsi="Times New Roman" w:eastAsia="宋体" w:cs="Times New Roman"/>
                <w:i w:val="0"/>
                <w:iCs w:val="0"/>
                <w:color w:val="FF0000"/>
                <w:kern w:val="2"/>
                <w:sz w:val="21"/>
                <w:szCs w:val="21"/>
                <w:u w:val="none"/>
                <w:lang w:val="en-US" w:eastAsia="zh-CN" w:bidi="ar-SA"/>
              </w:rPr>
              <w:t>43800</w:t>
            </w:r>
          </w:p>
        </w:tc>
        <w:tc>
          <w:tcPr>
            <w:tcW w:w="389" w:type="pct"/>
            <w:tcBorders>
              <w:tl2br w:val="nil"/>
              <w:tr2bl w:val="nil"/>
            </w:tcBorders>
            <w:noWrap/>
            <w:vAlign w:val="center"/>
          </w:tcPr>
          <w:p w14:paraId="2484AD9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0</w:t>
            </w:r>
          </w:p>
        </w:tc>
        <w:tc>
          <w:tcPr>
            <w:tcW w:w="1631" w:type="pct"/>
            <w:tcBorders>
              <w:tl2br w:val="nil"/>
              <w:tr2bl w:val="nil"/>
            </w:tcBorders>
            <w:noWrap/>
            <w:vAlign w:val="center"/>
          </w:tcPr>
          <w:p w14:paraId="40B1148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生长代谢消耗及粪便排出。</w:t>
            </w:r>
          </w:p>
        </w:tc>
      </w:tr>
      <w:tr w14:paraId="54FE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 w:hRule="atLeast"/>
          <w:jc w:val="center"/>
        </w:trPr>
        <w:tc>
          <w:tcPr>
            <w:tcW w:w="788" w:type="pct"/>
            <w:tcBorders>
              <w:tl2br w:val="nil"/>
              <w:tr2bl w:val="nil"/>
            </w:tcBorders>
            <w:noWrap/>
            <w:vAlign w:val="center"/>
          </w:tcPr>
          <w:p w14:paraId="1C9192B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kern w:val="0"/>
                <w:sz w:val="21"/>
                <w:szCs w:val="21"/>
                <w:lang w:val="en-US" w:eastAsia="zh-CN"/>
              </w:rPr>
            </w:pPr>
            <w:r>
              <w:rPr>
                <w:rFonts w:hint="default" w:ascii="Times New Roman" w:hAnsi="Times New Roman" w:cs="Times New Roman"/>
                <w:color w:val="FF0000"/>
                <w:kern w:val="0"/>
                <w:sz w:val="21"/>
                <w:szCs w:val="21"/>
                <w:lang w:val="en-US" w:eastAsia="zh-CN"/>
              </w:rPr>
              <w:t>粪便收集设施冲洗用水</w:t>
            </w:r>
          </w:p>
        </w:tc>
        <w:tc>
          <w:tcPr>
            <w:tcW w:w="491" w:type="pct"/>
            <w:tcBorders>
              <w:tl2br w:val="nil"/>
              <w:tr2bl w:val="nil"/>
            </w:tcBorders>
            <w:noWrap/>
            <w:vAlign w:val="center"/>
          </w:tcPr>
          <w:p w14:paraId="175DDC3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w:t>
            </w:r>
          </w:p>
        </w:tc>
        <w:tc>
          <w:tcPr>
            <w:tcW w:w="640" w:type="pct"/>
            <w:tcBorders>
              <w:tl2br w:val="nil"/>
              <w:tr2bl w:val="nil"/>
            </w:tcBorders>
            <w:noWrap/>
            <w:vAlign w:val="center"/>
          </w:tcPr>
          <w:p w14:paraId="01916F5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w:t>
            </w:r>
          </w:p>
        </w:tc>
        <w:tc>
          <w:tcPr>
            <w:tcW w:w="506" w:type="pct"/>
            <w:tcBorders>
              <w:tl2br w:val="nil"/>
              <w:tr2bl w:val="nil"/>
            </w:tcBorders>
            <w:noWrap/>
            <w:vAlign w:val="center"/>
          </w:tcPr>
          <w:p w14:paraId="2D25687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1920</w:t>
            </w:r>
          </w:p>
        </w:tc>
        <w:tc>
          <w:tcPr>
            <w:tcW w:w="553" w:type="pct"/>
            <w:tcBorders>
              <w:tl2br w:val="nil"/>
              <w:tr2bl w:val="nil"/>
            </w:tcBorders>
            <w:noWrap/>
            <w:vAlign w:val="center"/>
          </w:tcPr>
          <w:p w14:paraId="7DECD8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FF0000"/>
                <w:kern w:val="2"/>
                <w:sz w:val="21"/>
                <w:szCs w:val="21"/>
                <w:u w:val="none"/>
                <w:lang w:val="en-US" w:eastAsia="zh-CN" w:bidi="ar-SA"/>
              </w:rPr>
            </w:pPr>
            <w:r>
              <w:rPr>
                <w:rFonts w:hint="default" w:ascii="Times New Roman" w:hAnsi="Times New Roman" w:eastAsia="宋体" w:cs="Times New Roman"/>
                <w:i w:val="0"/>
                <w:iCs w:val="0"/>
                <w:color w:val="FF0000"/>
                <w:kern w:val="2"/>
                <w:sz w:val="21"/>
                <w:szCs w:val="21"/>
                <w:u w:val="none"/>
                <w:lang w:val="en-US" w:eastAsia="zh-CN" w:bidi="ar-SA"/>
              </w:rPr>
              <w:t>360</w:t>
            </w:r>
          </w:p>
        </w:tc>
        <w:tc>
          <w:tcPr>
            <w:tcW w:w="389" w:type="pct"/>
            <w:tcBorders>
              <w:tl2br w:val="nil"/>
              <w:tr2bl w:val="nil"/>
            </w:tcBorders>
            <w:noWrap/>
            <w:vAlign w:val="center"/>
          </w:tcPr>
          <w:p w14:paraId="44E3096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1560</w:t>
            </w:r>
          </w:p>
        </w:tc>
        <w:tc>
          <w:tcPr>
            <w:tcW w:w="1631" w:type="pct"/>
            <w:tcBorders>
              <w:tl2br w:val="nil"/>
              <w:tr2bl w:val="nil"/>
            </w:tcBorders>
            <w:noWrap/>
            <w:vAlign w:val="center"/>
          </w:tcPr>
          <w:p w14:paraId="6471DDC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冲洗废水收集后排入1座100m</w:t>
            </w:r>
            <w:r>
              <w:rPr>
                <w:rFonts w:hint="default" w:ascii="Times New Roman" w:hAnsi="Times New Roman" w:eastAsia="宋体" w:cs="Times New Roman"/>
                <w:color w:val="FF0000"/>
                <w:kern w:val="0"/>
                <w:sz w:val="21"/>
                <w:szCs w:val="21"/>
                <w:vertAlign w:val="superscript"/>
                <w:lang w:val="en-US" w:eastAsia="zh-CN"/>
              </w:rPr>
              <w:t>3</w:t>
            </w:r>
            <w:r>
              <w:rPr>
                <w:rFonts w:hint="default" w:ascii="Times New Roman" w:hAnsi="Times New Roman" w:eastAsia="宋体" w:cs="Times New Roman"/>
                <w:color w:val="FF0000"/>
                <w:kern w:val="0"/>
                <w:sz w:val="21"/>
                <w:szCs w:val="21"/>
                <w:lang w:val="en-US" w:eastAsia="zh-CN"/>
              </w:rPr>
              <w:t>收集池，用于粪便堆肥，增加有机肥湿度</w:t>
            </w:r>
          </w:p>
        </w:tc>
      </w:tr>
      <w:tr w14:paraId="6C1D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788" w:type="pct"/>
            <w:tcBorders>
              <w:tl2br w:val="nil"/>
              <w:tr2bl w:val="nil"/>
            </w:tcBorders>
            <w:noWrap/>
            <w:vAlign w:val="center"/>
          </w:tcPr>
          <w:p w14:paraId="5974201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消毒用水</w:t>
            </w:r>
          </w:p>
        </w:tc>
        <w:tc>
          <w:tcPr>
            <w:tcW w:w="491" w:type="pct"/>
            <w:tcBorders>
              <w:tl2br w:val="nil"/>
              <w:tr2bl w:val="nil"/>
            </w:tcBorders>
            <w:noWrap/>
            <w:vAlign w:val="center"/>
          </w:tcPr>
          <w:p w14:paraId="1CD84DB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eastAsia="zh-CN"/>
              </w:rPr>
            </w:pPr>
            <w:r>
              <w:rPr>
                <w:rFonts w:hint="default" w:ascii="Times New Roman" w:hAnsi="Times New Roman" w:cs="Times New Roman"/>
                <w:color w:val="FF0000"/>
                <w:kern w:val="0"/>
                <w:sz w:val="21"/>
                <w:szCs w:val="21"/>
                <w:lang w:val="en-US" w:eastAsia="zh-CN"/>
              </w:rPr>
              <w:t>/</w:t>
            </w:r>
          </w:p>
        </w:tc>
        <w:tc>
          <w:tcPr>
            <w:tcW w:w="640" w:type="pct"/>
            <w:tcBorders>
              <w:tl2br w:val="nil"/>
              <w:tr2bl w:val="nil"/>
            </w:tcBorders>
            <w:noWrap/>
            <w:vAlign w:val="center"/>
          </w:tcPr>
          <w:p w14:paraId="7E58379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eastAsia="zh-CN"/>
              </w:rPr>
            </w:pPr>
            <w:r>
              <w:rPr>
                <w:rFonts w:hint="default" w:ascii="Times New Roman" w:hAnsi="Times New Roman" w:cs="Times New Roman"/>
                <w:color w:val="FF0000"/>
                <w:sz w:val="21"/>
                <w:szCs w:val="21"/>
                <w:lang w:val="en-US" w:eastAsia="zh-CN"/>
              </w:rPr>
              <w:t>1</w:t>
            </w:r>
            <w:r>
              <w:rPr>
                <w:rFonts w:hint="default" w:ascii="Times New Roman" w:hAnsi="Times New Roman" w:cs="Times New Roman"/>
                <w:color w:val="FF0000"/>
                <w:sz w:val="21"/>
                <w:szCs w:val="21"/>
              </w:rPr>
              <w:t>m</w:t>
            </w:r>
            <w:r>
              <w:rPr>
                <w:rFonts w:hint="default" w:ascii="Times New Roman" w:hAnsi="Times New Roman" w:cs="Times New Roman"/>
                <w:color w:val="FF0000"/>
                <w:sz w:val="21"/>
                <w:szCs w:val="21"/>
                <w:vertAlign w:val="superscript"/>
              </w:rPr>
              <w:t>3</w:t>
            </w:r>
            <w:r>
              <w:rPr>
                <w:rFonts w:hint="default" w:ascii="Times New Roman" w:hAnsi="Times New Roman" w:cs="Times New Roman"/>
                <w:color w:val="FF0000"/>
                <w:sz w:val="21"/>
                <w:szCs w:val="21"/>
              </w:rPr>
              <w:t>/</w:t>
            </w:r>
            <w:r>
              <w:rPr>
                <w:rFonts w:hint="default" w:ascii="Times New Roman" w:hAnsi="Times New Roman" w:cs="Times New Roman"/>
                <w:color w:val="FF0000"/>
                <w:sz w:val="21"/>
                <w:szCs w:val="21"/>
                <w:lang w:val="en-US" w:eastAsia="zh-CN"/>
              </w:rPr>
              <w:t>d</w:t>
            </w:r>
          </w:p>
        </w:tc>
        <w:tc>
          <w:tcPr>
            <w:tcW w:w="506" w:type="pct"/>
            <w:tcBorders>
              <w:tl2br w:val="nil"/>
              <w:tr2bl w:val="nil"/>
            </w:tcBorders>
            <w:noWrap/>
            <w:vAlign w:val="center"/>
          </w:tcPr>
          <w:p w14:paraId="68C43F9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365</w:t>
            </w:r>
          </w:p>
        </w:tc>
        <w:tc>
          <w:tcPr>
            <w:tcW w:w="553" w:type="pct"/>
            <w:tcBorders>
              <w:tl2br w:val="nil"/>
              <w:tr2bl w:val="nil"/>
            </w:tcBorders>
            <w:noWrap/>
            <w:vAlign w:val="center"/>
          </w:tcPr>
          <w:p w14:paraId="00A555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FF0000"/>
                <w:kern w:val="2"/>
                <w:sz w:val="21"/>
                <w:szCs w:val="21"/>
                <w:u w:val="none"/>
                <w:lang w:val="en-US" w:eastAsia="zh-CN" w:bidi="ar-SA"/>
              </w:rPr>
            </w:pPr>
            <w:r>
              <w:rPr>
                <w:rFonts w:hint="default" w:ascii="Times New Roman" w:hAnsi="Times New Roman" w:eastAsia="宋体" w:cs="Times New Roman"/>
                <w:i w:val="0"/>
                <w:iCs w:val="0"/>
                <w:color w:val="FF0000"/>
                <w:kern w:val="2"/>
                <w:sz w:val="21"/>
                <w:szCs w:val="21"/>
                <w:u w:val="none"/>
                <w:lang w:val="en-US" w:eastAsia="zh-CN" w:bidi="ar-SA"/>
              </w:rPr>
              <w:t>365</w:t>
            </w:r>
          </w:p>
        </w:tc>
        <w:tc>
          <w:tcPr>
            <w:tcW w:w="389" w:type="pct"/>
            <w:tcBorders>
              <w:tl2br w:val="nil"/>
              <w:tr2bl w:val="nil"/>
            </w:tcBorders>
            <w:noWrap/>
            <w:vAlign w:val="center"/>
          </w:tcPr>
          <w:p w14:paraId="778E426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w:t>
            </w:r>
          </w:p>
        </w:tc>
        <w:tc>
          <w:tcPr>
            <w:tcW w:w="1631" w:type="pct"/>
            <w:tcBorders>
              <w:tl2br w:val="nil"/>
              <w:tr2bl w:val="nil"/>
            </w:tcBorders>
            <w:noWrap/>
            <w:vAlign w:val="center"/>
          </w:tcPr>
          <w:p w14:paraId="14B7C4F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w:t>
            </w:r>
          </w:p>
        </w:tc>
      </w:tr>
      <w:tr w14:paraId="103C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88" w:type="pct"/>
            <w:tcBorders>
              <w:tl2br w:val="nil"/>
              <w:tr2bl w:val="nil"/>
            </w:tcBorders>
            <w:noWrap/>
            <w:vAlign w:val="center"/>
          </w:tcPr>
          <w:p w14:paraId="718FD37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生活用水</w:t>
            </w:r>
          </w:p>
        </w:tc>
        <w:tc>
          <w:tcPr>
            <w:tcW w:w="491" w:type="pct"/>
            <w:tcBorders>
              <w:tl2br w:val="nil"/>
              <w:tr2bl w:val="nil"/>
            </w:tcBorders>
            <w:noWrap/>
            <w:vAlign w:val="center"/>
          </w:tcPr>
          <w:p w14:paraId="7DF1ED3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lang w:val="en-US" w:eastAsia="zh-CN"/>
              </w:rPr>
              <w:t>40</w:t>
            </w:r>
            <w:r>
              <w:rPr>
                <w:rFonts w:hint="default" w:ascii="Times New Roman" w:hAnsi="Times New Roman" w:cs="Times New Roman"/>
                <w:color w:val="FF0000"/>
                <w:kern w:val="0"/>
                <w:sz w:val="21"/>
                <w:szCs w:val="21"/>
              </w:rPr>
              <w:t>人</w:t>
            </w:r>
          </w:p>
        </w:tc>
        <w:tc>
          <w:tcPr>
            <w:tcW w:w="640" w:type="pct"/>
            <w:tcBorders>
              <w:tl2br w:val="nil"/>
              <w:tr2bl w:val="nil"/>
            </w:tcBorders>
            <w:noWrap/>
            <w:vAlign w:val="center"/>
          </w:tcPr>
          <w:p w14:paraId="7191CB7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lang w:val="en-US" w:eastAsia="zh-CN"/>
              </w:rPr>
              <w:t>5</w:t>
            </w:r>
            <w:r>
              <w:rPr>
                <w:rFonts w:hint="default" w:ascii="Times New Roman" w:hAnsi="Times New Roman" w:cs="Times New Roman"/>
                <w:color w:val="FF0000"/>
                <w:sz w:val="21"/>
                <w:szCs w:val="21"/>
              </w:rPr>
              <w:t>0L/人</w:t>
            </w:r>
            <w:r>
              <w:rPr>
                <w:rFonts w:hint="default" w:ascii="Times New Roman" w:hAnsi="Times New Roman" w:cs="Times New Roman"/>
                <w:color w:val="FF0000"/>
                <w:kern w:val="0"/>
                <w:sz w:val="21"/>
                <w:szCs w:val="21"/>
              </w:rPr>
              <w:t>•d</w:t>
            </w:r>
          </w:p>
        </w:tc>
        <w:tc>
          <w:tcPr>
            <w:tcW w:w="506" w:type="pct"/>
            <w:tcBorders>
              <w:tl2br w:val="nil"/>
              <w:tr2bl w:val="nil"/>
            </w:tcBorders>
            <w:noWrap/>
            <w:vAlign w:val="center"/>
          </w:tcPr>
          <w:p w14:paraId="628297B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730</w:t>
            </w:r>
          </w:p>
        </w:tc>
        <w:tc>
          <w:tcPr>
            <w:tcW w:w="553" w:type="pct"/>
            <w:tcBorders>
              <w:tl2br w:val="nil"/>
              <w:tr2bl w:val="nil"/>
            </w:tcBorders>
            <w:noWrap/>
            <w:vAlign w:val="center"/>
          </w:tcPr>
          <w:p w14:paraId="7EBF59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FF0000"/>
                <w:kern w:val="2"/>
                <w:sz w:val="21"/>
                <w:szCs w:val="21"/>
                <w:u w:val="none"/>
                <w:lang w:val="en-US" w:eastAsia="zh-CN" w:bidi="ar-SA"/>
              </w:rPr>
            </w:pPr>
            <w:r>
              <w:rPr>
                <w:rFonts w:hint="default" w:ascii="Times New Roman" w:hAnsi="Times New Roman" w:eastAsia="宋体" w:cs="Times New Roman"/>
                <w:i w:val="0"/>
                <w:iCs w:val="0"/>
                <w:color w:val="FF0000"/>
                <w:kern w:val="0"/>
                <w:sz w:val="21"/>
                <w:szCs w:val="21"/>
                <w:u w:val="none"/>
                <w:lang w:val="en-US" w:eastAsia="zh-CN" w:bidi="ar"/>
              </w:rPr>
              <w:t>146</w:t>
            </w:r>
          </w:p>
        </w:tc>
        <w:tc>
          <w:tcPr>
            <w:tcW w:w="389" w:type="pct"/>
            <w:tcBorders>
              <w:tl2br w:val="nil"/>
              <w:tr2bl w:val="nil"/>
            </w:tcBorders>
            <w:noWrap/>
            <w:vAlign w:val="center"/>
          </w:tcPr>
          <w:p w14:paraId="005FFCB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584</w:t>
            </w:r>
          </w:p>
        </w:tc>
        <w:tc>
          <w:tcPr>
            <w:tcW w:w="1631" w:type="pct"/>
            <w:tcBorders>
              <w:tl2br w:val="nil"/>
              <w:tr2bl w:val="nil"/>
            </w:tcBorders>
            <w:noWrap/>
            <w:vAlign w:val="center"/>
          </w:tcPr>
          <w:p w14:paraId="089D57E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废水收集池处理后用于粪便堆肥，增加有机肥湿度</w:t>
            </w:r>
          </w:p>
        </w:tc>
      </w:tr>
      <w:tr w14:paraId="0277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88" w:type="pct"/>
            <w:tcBorders>
              <w:tl2br w:val="nil"/>
              <w:tr2bl w:val="nil"/>
            </w:tcBorders>
            <w:noWrap/>
            <w:vAlign w:val="center"/>
          </w:tcPr>
          <w:p w14:paraId="48106FA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锅炉用水</w:t>
            </w:r>
          </w:p>
        </w:tc>
        <w:tc>
          <w:tcPr>
            <w:tcW w:w="491" w:type="pct"/>
            <w:tcBorders>
              <w:tl2br w:val="nil"/>
              <w:tr2bl w:val="nil"/>
            </w:tcBorders>
            <w:noWrap/>
            <w:vAlign w:val="center"/>
          </w:tcPr>
          <w:p w14:paraId="4F32785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kern w:val="0"/>
                <w:sz w:val="21"/>
                <w:szCs w:val="21"/>
                <w:lang w:val="en-US" w:eastAsia="zh-CN"/>
              </w:rPr>
            </w:pPr>
          </w:p>
        </w:tc>
        <w:tc>
          <w:tcPr>
            <w:tcW w:w="640" w:type="pct"/>
            <w:tcBorders>
              <w:tl2br w:val="nil"/>
              <w:tr2bl w:val="nil"/>
            </w:tcBorders>
            <w:noWrap/>
            <w:vAlign w:val="center"/>
          </w:tcPr>
          <w:p w14:paraId="0D406B1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sz w:val="21"/>
                <w:szCs w:val="21"/>
                <w:lang w:val="en-US" w:eastAsia="zh-CN"/>
              </w:rPr>
            </w:pPr>
          </w:p>
        </w:tc>
        <w:tc>
          <w:tcPr>
            <w:tcW w:w="506" w:type="pct"/>
            <w:tcBorders>
              <w:tl2br w:val="nil"/>
              <w:tr2bl w:val="nil"/>
            </w:tcBorders>
            <w:noWrap/>
            <w:vAlign w:val="center"/>
          </w:tcPr>
          <w:p w14:paraId="2E2DA44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5856</w:t>
            </w:r>
          </w:p>
        </w:tc>
        <w:tc>
          <w:tcPr>
            <w:tcW w:w="553" w:type="pct"/>
            <w:tcBorders>
              <w:tl2br w:val="nil"/>
              <w:tr2bl w:val="nil"/>
            </w:tcBorders>
            <w:noWrap/>
            <w:vAlign w:val="center"/>
          </w:tcPr>
          <w:p w14:paraId="0A7B37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585.6</w:t>
            </w:r>
          </w:p>
        </w:tc>
        <w:tc>
          <w:tcPr>
            <w:tcW w:w="389" w:type="pct"/>
            <w:tcBorders>
              <w:tl2br w:val="nil"/>
              <w:tr2bl w:val="nil"/>
            </w:tcBorders>
            <w:noWrap/>
            <w:vAlign w:val="center"/>
          </w:tcPr>
          <w:p w14:paraId="3CCD350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7.94</w:t>
            </w:r>
          </w:p>
        </w:tc>
        <w:tc>
          <w:tcPr>
            <w:tcW w:w="1631" w:type="pct"/>
            <w:tcBorders>
              <w:tl2br w:val="nil"/>
              <w:tr2bl w:val="nil"/>
            </w:tcBorders>
            <w:noWrap/>
            <w:vAlign w:val="center"/>
          </w:tcPr>
          <w:p w14:paraId="729FD61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沉淀处理后用于粪便堆肥，增加有机肥湿度</w:t>
            </w:r>
          </w:p>
        </w:tc>
      </w:tr>
      <w:tr w14:paraId="6521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7" w:hRule="atLeast"/>
          <w:jc w:val="center"/>
        </w:trPr>
        <w:tc>
          <w:tcPr>
            <w:tcW w:w="788" w:type="pct"/>
            <w:tcBorders>
              <w:tl2br w:val="nil"/>
              <w:tr2bl w:val="nil"/>
            </w:tcBorders>
            <w:noWrap/>
            <w:vAlign w:val="center"/>
          </w:tcPr>
          <w:p w14:paraId="4385195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lang w:val="en-US" w:eastAsia="zh-CN"/>
              </w:rPr>
              <w:t>水帘降温</w:t>
            </w:r>
            <w:r>
              <w:rPr>
                <w:rFonts w:hint="default" w:ascii="Times New Roman" w:hAnsi="Times New Roman" w:cs="Times New Roman"/>
                <w:color w:val="FF0000"/>
                <w:kern w:val="0"/>
                <w:sz w:val="21"/>
                <w:szCs w:val="21"/>
              </w:rPr>
              <w:t>用水</w:t>
            </w:r>
          </w:p>
        </w:tc>
        <w:tc>
          <w:tcPr>
            <w:tcW w:w="491" w:type="pct"/>
            <w:tcBorders>
              <w:tl2br w:val="nil"/>
              <w:tr2bl w:val="nil"/>
            </w:tcBorders>
            <w:noWrap/>
            <w:vAlign w:val="center"/>
          </w:tcPr>
          <w:p w14:paraId="6545F78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eastAsia="zh-CN"/>
              </w:rPr>
            </w:pPr>
            <w:r>
              <w:rPr>
                <w:rFonts w:hint="default" w:ascii="Times New Roman" w:hAnsi="Times New Roman" w:cs="Times New Roman"/>
                <w:color w:val="FF0000"/>
                <w:kern w:val="0"/>
                <w:sz w:val="21"/>
                <w:szCs w:val="21"/>
                <w:lang w:val="en-US" w:eastAsia="zh-CN"/>
              </w:rPr>
              <w:t>10900</w:t>
            </w:r>
            <w:r>
              <w:rPr>
                <w:rFonts w:hint="default" w:ascii="Times New Roman" w:hAnsi="Times New Roman" w:cs="Times New Roman"/>
                <w:color w:val="FF0000"/>
                <w:kern w:val="0"/>
                <w:sz w:val="21"/>
                <w:szCs w:val="21"/>
              </w:rPr>
              <w:t>m</w:t>
            </w:r>
            <w:r>
              <w:rPr>
                <w:rFonts w:hint="default" w:ascii="Times New Roman" w:hAnsi="Times New Roman" w:cs="Times New Roman"/>
                <w:color w:val="FF0000"/>
                <w:kern w:val="0"/>
                <w:sz w:val="21"/>
                <w:szCs w:val="21"/>
                <w:vertAlign w:val="superscript"/>
              </w:rPr>
              <w:t>2</w:t>
            </w:r>
          </w:p>
        </w:tc>
        <w:tc>
          <w:tcPr>
            <w:tcW w:w="640" w:type="pct"/>
            <w:tcBorders>
              <w:tl2br w:val="nil"/>
              <w:tr2bl w:val="nil"/>
            </w:tcBorders>
            <w:noWrap/>
            <w:vAlign w:val="center"/>
          </w:tcPr>
          <w:p w14:paraId="76FDDE5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eastAsia="zh-CN"/>
              </w:rPr>
            </w:pPr>
            <w:r>
              <w:rPr>
                <w:rFonts w:hint="default" w:ascii="Times New Roman" w:hAnsi="Times New Roman" w:eastAsia="宋体" w:cs="Times New Roman"/>
                <w:color w:val="FF0000"/>
                <w:kern w:val="0"/>
                <w:sz w:val="21"/>
                <w:szCs w:val="21"/>
                <w:lang w:val="en-US" w:eastAsia="zh-CN"/>
              </w:rPr>
              <w:t>0.1L/m</w:t>
            </w:r>
            <w:r>
              <w:rPr>
                <w:rFonts w:hint="default" w:ascii="Times New Roman" w:hAnsi="Times New Roman" w:eastAsia="宋体" w:cs="Times New Roman"/>
                <w:color w:val="FF0000"/>
                <w:kern w:val="0"/>
                <w:sz w:val="21"/>
                <w:szCs w:val="21"/>
                <w:vertAlign w:val="superscript"/>
                <w:lang w:val="en-US" w:eastAsia="zh-CN"/>
              </w:rPr>
              <w:t>2</w:t>
            </w:r>
            <w:r>
              <w:rPr>
                <w:rFonts w:hint="default" w:ascii="Times New Roman" w:hAnsi="Times New Roman" w:eastAsia="宋体" w:cs="Times New Roman"/>
                <w:color w:val="FF0000"/>
                <w:kern w:val="0"/>
                <w:sz w:val="21"/>
                <w:szCs w:val="21"/>
                <w:lang w:val="en-US" w:eastAsia="zh-CN"/>
              </w:rPr>
              <w:t>·d</w:t>
            </w:r>
          </w:p>
        </w:tc>
        <w:tc>
          <w:tcPr>
            <w:tcW w:w="506" w:type="pct"/>
            <w:tcBorders>
              <w:tl2br w:val="nil"/>
              <w:tr2bl w:val="nil"/>
            </w:tcBorders>
            <w:noWrap/>
            <w:vAlign w:val="center"/>
          </w:tcPr>
          <w:p w14:paraId="427DF85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highlight w:val="yellow"/>
                <w:lang w:val="en-US" w:eastAsia="zh-CN"/>
              </w:rPr>
            </w:pPr>
            <w:r>
              <w:rPr>
                <w:rFonts w:hint="default" w:ascii="Times New Roman" w:hAnsi="Times New Roman" w:eastAsia="宋体" w:cs="Times New Roman"/>
                <w:color w:val="FF0000"/>
                <w:kern w:val="0"/>
                <w:sz w:val="21"/>
                <w:szCs w:val="21"/>
                <w:highlight w:val="none"/>
                <w:lang w:val="en-US" w:eastAsia="zh-CN"/>
              </w:rPr>
              <w:t>130.8</w:t>
            </w:r>
          </w:p>
        </w:tc>
        <w:tc>
          <w:tcPr>
            <w:tcW w:w="553" w:type="pct"/>
            <w:tcBorders>
              <w:tl2br w:val="nil"/>
              <w:tr2bl w:val="nil"/>
            </w:tcBorders>
            <w:noWrap/>
            <w:vAlign w:val="center"/>
          </w:tcPr>
          <w:p w14:paraId="316779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FF0000"/>
                <w:kern w:val="2"/>
                <w:sz w:val="21"/>
                <w:szCs w:val="21"/>
                <w:u w:val="none"/>
                <w:lang w:val="en-US" w:eastAsia="zh-CN" w:bidi="ar-SA"/>
              </w:rPr>
            </w:pPr>
            <w:r>
              <w:rPr>
                <w:rFonts w:hint="default" w:ascii="Times New Roman" w:hAnsi="Times New Roman" w:eastAsia="宋体" w:cs="Times New Roman"/>
                <w:i w:val="0"/>
                <w:iCs w:val="0"/>
                <w:color w:val="FF0000"/>
                <w:kern w:val="2"/>
                <w:sz w:val="21"/>
                <w:szCs w:val="21"/>
                <w:u w:val="none"/>
                <w:lang w:val="en-US" w:eastAsia="zh-CN" w:bidi="ar-SA"/>
              </w:rPr>
              <w:t>130.8</w:t>
            </w:r>
          </w:p>
        </w:tc>
        <w:tc>
          <w:tcPr>
            <w:tcW w:w="389" w:type="pct"/>
            <w:tcBorders>
              <w:tl2br w:val="nil"/>
              <w:tr2bl w:val="nil"/>
            </w:tcBorders>
            <w:noWrap/>
            <w:vAlign w:val="center"/>
          </w:tcPr>
          <w:p w14:paraId="3A737A3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cs="Times New Roman"/>
                <w:color w:val="FF0000"/>
                <w:kern w:val="0"/>
                <w:sz w:val="21"/>
                <w:szCs w:val="21"/>
                <w:lang w:val="en-US" w:eastAsia="zh-CN"/>
              </w:rPr>
              <w:t>/</w:t>
            </w:r>
          </w:p>
        </w:tc>
        <w:tc>
          <w:tcPr>
            <w:tcW w:w="1631" w:type="pct"/>
            <w:tcBorders>
              <w:tl2br w:val="nil"/>
              <w:tr2bl w:val="nil"/>
            </w:tcBorders>
            <w:noWrap/>
            <w:vAlign w:val="center"/>
          </w:tcPr>
          <w:p w14:paraId="21003158">
            <w:pPr>
              <w:keepNext w:val="0"/>
              <w:keepLines w:val="0"/>
              <w:widowControl/>
              <w:suppressLineNumbers w:val="0"/>
              <w:jc w:val="center"/>
              <w:rPr>
                <w:rFonts w:hint="default" w:ascii="Times New Roman" w:hAnsi="Times New Roman" w:cs="Times New Roman"/>
                <w:color w:val="FF0000"/>
                <w:kern w:val="0"/>
                <w:sz w:val="21"/>
                <w:szCs w:val="21"/>
                <w:lang w:val="en-US" w:eastAsia="zh-CN"/>
              </w:rPr>
            </w:pPr>
            <w:r>
              <w:rPr>
                <w:rFonts w:hint="default" w:ascii="Times New Roman" w:hAnsi="Times New Roman" w:eastAsia="宋体" w:cs="Times New Roman"/>
                <w:color w:val="FF0000"/>
                <w:kern w:val="0"/>
                <w:sz w:val="20"/>
                <w:szCs w:val="20"/>
                <w:lang w:val="en-US" w:eastAsia="zh-CN" w:bidi="ar"/>
              </w:rPr>
              <w:t>6~</w:t>
            </w:r>
            <w:r>
              <w:rPr>
                <w:rFonts w:hint="default" w:ascii="Times New Roman" w:hAnsi="Times New Roman" w:cs="Times New Roman"/>
                <w:color w:val="FF0000"/>
                <w:kern w:val="0"/>
                <w:sz w:val="20"/>
                <w:szCs w:val="20"/>
                <w:lang w:val="en-US" w:eastAsia="zh-CN" w:bidi="ar"/>
              </w:rPr>
              <w:t>9</w:t>
            </w:r>
            <w:r>
              <w:rPr>
                <w:rFonts w:hint="default" w:ascii="Times New Roman" w:hAnsi="Times New Roman" w:eastAsia="宋体" w:cs="Times New Roman"/>
                <w:color w:val="FF0000"/>
                <w:kern w:val="0"/>
                <w:sz w:val="20"/>
                <w:szCs w:val="20"/>
                <w:lang w:val="en-US" w:eastAsia="zh-CN" w:bidi="ar"/>
              </w:rPr>
              <w:t>月（按</w:t>
            </w:r>
            <w:r>
              <w:rPr>
                <w:rFonts w:hint="default" w:ascii="Times New Roman" w:hAnsi="Times New Roman" w:cs="Times New Roman"/>
                <w:color w:val="FF0000"/>
                <w:kern w:val="0"/>
                <w:sz w:val="20"/>
                <w:szCs w:val="20"/>
                <w:lang w:val="en-US" w:eastAsia="zh-CN" w:bidi="ar"/>
              </w:rPr>
              <w:t>120</w:t>
            </w:r>
            <w:r>
              <w:rPr>
                <w:rFonts w:hint="default" w:ascii="Times New Roman" w:hAnsi="Times New Roman" w:eastAsia="宋体" w:cs="Times New Roman"/>
                <w:color w:val="FF0000"/>
                <w:kern w:val="0"/>
                <w:sz w:val="20"/>
                <w:szCs w:val="20"/>
                <w:lang w:val="en-US" w:eastAsia="zh-CN" w:bidi="ar"/>
              </w:rPr>
              <w:t>天计）</w:t>
            </w:r>
          </w:p>
        </w:tc>
      </w:tr>
      <w:tr w14:paraId="5B82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788" w:type="pct"/>
            <w:tcBorders>
              <w:tl2br w:val="nil"/>
              <w:tr2bl w:val="nil"/>
            </w:tcBorders>
            <w:noWrap/>
            <w:vAlign w:val="center"/>
          </w:tcPr>
          <w:p w14:paraId="1B62BB5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合计</w:t>
            </w:r>
          </w:p>
        </w:tc>
        <w:tc>
          <w:tcPr>
            <w:tcW w:w="491" w:type="pct"/>
            <w:tcBorders>
              <w:tl2br w:val="nil"/>
              <w:tr2bl w:val="nil"/>
            </w:tcBorders>
            <w:noWrap/>
            <w:vAlign w:val="center"/>
          </w:tcPr>
          <w:p w14:paraId="0DEE967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cs="Times New Roman"/>
                <w:color w:val="FF0000"/>
                <w:kern w:val="0"/>
                <w:sz w:val="21"/>
                <w:szCs w:val="21"/>
                <w:lang w:val="en-US" w:eastAsia="zh-CN"/>
              </w:rPr>
              <w:t>/</w:t>
            </w:r>
          </w:p>
        </w:tc>
        <w:tc>
          <w:tcPr>
            <w:tcW w:w="640" w:type="pct"/>
            <w:tcBorders>
              <w:tl2br w:val="nil"/>
              <w:tr2bl w:val="nil"/>
            </w:tcBorders>
            <w:noWrap/>
            <w:vAlign w:val="center"/>
          </w:tcPr>
          <w:p w14:paraId="146C13B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cs="Times New Roman"/>
                <w:color w:val="FF0000"/>
                <w:kern w:val="0"/>
                <w:sz w:val="21"/>
                <w:szCs w:val="21"/>
                <w:lang w:val="en-US" w:eastAsia="zh-CN"/>
              </w:rPr>
              <w:t>/</w:t>
            </w:r>
          </w:p>
        </w:tc>
        <w:tc>
          <w:tcPr>
            <w:tcW w:w="506" w:type="pct"/>
            <w:tcBorders>
              <w:tl2br w:val="nil"/>
              <w:tr2bl w:val="nil"/>
            </w:tcBorders>
            <w:noWrap/>
            <w:vAlign w:val="center"/>
          </w:tcPr>
          <w:p w14:paraId="78B4DD35">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i w:val="0"/>
                <w:iCs w:val="0"/>
                <w:color w:val="FF0000"/>
                <w:kern w:val="0"/>
                <w:sz w:val="21"/>
                <w:szCs w:val="21"/>
                <w:u w:val="none"/>
                <w:lang w:val="en-US" w:eastAsia="zh-CN" w:bidi="ar"/>
              </w:rPr>
              <w:t>52801.8</w:t>
            </w:r>
          </w:p>
        </w:tc>
        <w:tc>
          <w:tcPr>
            <w:tcW w:w="553" w:type="pct"/>
            <w:tcBorders>
              <w:tl2br w:val="nil"/>
              <w:tr2bl w:val="nil"/>
            </w:tcBorders>
            <w:noWrap/>
            <w:vAlign w:val="center"/>
          </w:tcPr>
          <w:p w14:paraId="13368047">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i w:val="0"/>
                <w:iCs w:val="0"/>
                <w:color w:val="FF0000"/>
                <w:kern w:val="0"/>
                <w:sz w:val="21"/>
                <w:szCs w:val="21"/>
                <w:u w:val="none"/>
                <w:lang w:val="en-US" w:eastAsia="zh-CN" w:bidi="ar"/>
              </w:rPr>
              <w:t>45387.4</w:t>
            </w:r>
          </w:p>
        </w:tc>
        <w:tc>
          <w:tcPr>
            <w:tcW w:w="389" w:type="pct"/>
            <w:tcBorders>
              <w:tl2br w:val="nil"/>
              <w:tr2bl w:val="nil"/>
            </w:tcBorders>
            <w:noWrap/>
            <w:vAlign w:val="center"/>
          </w:tcPr>
          <w:p w14:paraId="347B558D">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i w:val="0"/>
                <w:iCs w:val="0"/>
                <w:color w:val="FF0000"/>
                <w:kern w:val="0"/>
                <w:sz w:val="21"/>
                <w:szCs w:val="21"/>
                <w:u w:val="none"/>
                <w:lang w:val="en-US" w:eastAsia="zh-CN" w:bidi="ar"/>
              </w:rPr>
              <w:t>2151.94</w:t>
            </w:r>
          </w:p>
        </w:tc>
        <w:tc>
          <w:tcPr>
            <w:tcW w:w="1631" w:type="pct"/>
            <w:tcBorders>
              <w:tl2br w:val="nil"/>
              <w:tr2bl w:val="nil"/>
            </w:tcBorders>
            <w:noWrap/>
            <w:vAlign w:val="center"/>
          </w:tcPr>
          <w:p w14:paraId="775974D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w:t>
            </w:r>
          </w:p>
        </w:tc>
      </w:tr>
    </w:tbl>
    <w:p w14:paraId="454F9898">
      <w:pPr>
        <w:spacing w:line="320" w:lineRule="exact"/>
        <w:rPr>
          <w:rFonts w:hint="default" w:ascii="Times New Roman" w:hAnsi="Times New Roman" w:cs="Times New Roman"/>
          <w:color w:val="FF0000"/>
          <w:sz w:val="24"/>
        </w:rPr>
      </w:pPr>
    </w:p>
    <w:p w14:paraId="2CF7F583">
      <w:pPr>
        <w:spacing w:line="320" w:lineRule="exact"/>
        <w:rPr>
          <w:rFonts w:hint="default" w:ascii="Times New Roman" w:hAnsi="Times New Roman" w:cs="Times New Roman"/>
          <w:color w:val="FF0000"/>
          <w:sz w:val="24"/>
        </w:rPr>
      </w:pPr>
    </w:p>
    <w:p w14:paraId="1DFDBDF1">
      <w:pPr>
        <w:spacing w:line="320" w:lineRule="exact"/>
        <w:rPr>
          <w:rFonts w:hint="default" w:ascii="Times New Roman" w:hAnsi="Times New Roman" w:cs="Times New Roman"/>
          <w:color w:val="FF0000"/>
          <w:sz w:val="24"/>
        </w:rPr>
      </w:pPr>
    </w:p>
    <w:p w14:paraId="66BC3DE1">
      <w:pPr>
        <w:spacing w:line="320" w:lineRule="exact"/>
        <w:rPr>
          <w:rFonts w:hint="default" w:ascii="Times New Roman" w:hAnsi="Times New Roman" w:cs="Times New Roman"/>
          <w:color w:val="FF0000"/>
          <w:sz w:val="24"/>
        </w:rPr>
      </w:pPr>
    </w:p>
    <w:p w14:paraId="0A27D6B2">
      <w:pPr>
        <w:spacing w:line="320" w:lineRule="exact"/>
        <w:rPr>
          <w:rFonts w:hint="default" w:ascii="Times New Roman" w:hAnsi="Times New Roman" w:cs="Times New Roman"/>
          <w:color w:val="FF0000"/>
          <w:sz w:val="24"/>
        </w:rPr>
      </w:pPr>
    </w:p>
    <w:p w14:paraId="2999B603">
      <w:pPr>
        <w:spacing w:line="320" w:lineRule="exact"/>
        <w:rPr>
          <w:rFonts w:hint="default" w:ascii="Times New Roman" w:hAnsi="Times New Roman" w:cs="Times New Roman"/>
          <w:color w:val="FF0000"/>
          <w:sz w:val="24"/>
        </w:rPr>
      </w:pPr>
    </w:p>
    <w:p w14:paraId="03015D12">
      <w:pPr>
        <w:spacing w:line="320" w:lineRule="exact"/>
        <w:rPr>
          <w:rFonts w:hint="default" w:ascii="Times New Roman" w:hAnsi="Times New Roman" w:cs="Times New Roman"/>
          <w:color w:val="FF0000"/>
          <w:sz w:val="24"/>
        </w:rPr>
      </w:pPr>
    </w:p>
    <w:p w14:paraId="0F0B1CF0">
      <w:pPr>
        <w:spacing w:line="320" w:lineRule="exact"/>
        <w:rPr>
          <w:rFonts w:hint="default" w:ascii="Times New Roman" w:hAnsi="Times New Roman" w:cs="Times New Roman"/>
          <w:color w:val="FF0000"/>
          <w:sz w:val="24"/>
        </w:rPr>
      </w:pPr>
    </w:p>
    <w:p w14:paraId="570DBAD3">
      <w:pPr>
        <w:spacing w:line="320" w:lineRule="exact"/>
        <w:rPr>
          <w:rFonts w:hint="default" w:ascii="Times New Roman" w:hAnsi="Times New Roman" w:cs="Times New Roman"/>
          <w:color w:val="FF0000"/>
          <w:sz w:val="24"/>
        </w:rPr>
      </w:pPr>
    </w:p>
    <w:p w14:paraId="56F8E591">
      <w:pPr>
        <w:spacing w:line="320" w:lineRule="exact"/>
        <w:rPr>
          <w:rFonts w:hint="default" w:ascii="Times New Roman" w:hAnsi="Times New Roman" w:cs="Times New Roman"/>
          <w:color w:val="FF0000"/>
          <w:sz w:val="24"/>
        </w:rPr>
      </w:pPr>
    </w:p>
    <w:p w14:paraId="28D2AA4B">
      <w:pPr>
        <w:spacing w:line="320" w:lineRule="exact"/>
        <w:rPr>
          <w:rFonts w:hint="default" w:ascii="Times New Roman" w:hAnsi="Times New Roman" w:cs="Times New Roman"/>
          <w:color w:val="FF0000"/>
          <w:sz w:val="24"/>
        </w:rPr>
      </w:pPr>
    </w:p>
    <w:p w14:paraId="0CFFC797">
      <w:pPr>
        <w:spacing w:line="320" w:lineRule="exact"/>
        <w:rPr>
          <w:rFonts w:hint="default" w:ascii="Times New Roman" w:hAnsi="Times New Roman" w:cs="Times New Roman"/>
          <w:color w:val="FF0000"/>
          <w:sz w:val="24"/>
        </w:rPr>
      </w:pPr>
    </w:p>
    <w:p w14:paraId="010B7C70">
      <w:pPr>
        <w:spacing w:line="320" w:lineRule="exact"/>
        <w:rPr>
          <w:rFonts w:hint="default" w:ascii="Times New Roman" w:hAnsi="Times New Roman" w:cs="Times New Roman"/>
          <w:color w:val="FF0000"/>
          <w:sz w:val="24"/>
        </w:rPr>
      </w:pPr>
    </w:p>
    <w:p w14:paraId="038251B7">
      <w:pPr>
        <w:spacing w:line="320" w:lineRule="exact"/>
        <w:rPr>
          <w:rFonts w:hint="default" w:ascii="Times New Roman" w:hAnsi="Times New Roman" w:cs="Times New Roman"/>
          <w:color w:val="FF0000"/>
          <w:sz w:val="24"/>
        </w:rPr>
      </w:pPr>
    </w:p>
    <w:p w14:paraId="21C95F8F">
      <w:pPr>
        <w:spacing w:line="320" w:lineRule="exact"/>
        <w:rPr>
          <w:rFonts w:hint="default" w:ascii="Times New Roman" w:hAnsi="Times New Roman" w:cs="Times New Roman"/>
          <w:color w:val="FF0000"/>
          <w:sz w:val="24"/>
        </w:rPr>
      </w:pPr>
    </w:p>
    <w:p w14:paraId="5A0AC4D5">
      <w:pPr>
        <w:spacing w:line="320" w:lineRule="exact"/>
        <w:rPr>
          <w:rFonts w:hint="default" w:ascii="Times New Roman" w:hAnsi="Times New Roman" w:cs="Times New Roman"/>
          <w:color w:val="FF0000"/>
          <w:sz w:val="24"/>
        </w:rPr>
      </w:pPr>
    </w:p>
    <w:p w14:paraId="39415A16">
      <w:pPr>
        <w:spacing w:line="320" w:lineRule="exact"/>
        <w:rPr>
          <w:rFonts w:hint="default" w:ascii="Times New Roman" w:hAnsi="Times New Roman" w:cs="Times New Roman"/>
          <w:color w:val="FF0000"/>
          <w:sz w:val="24"/>
        </w:rPr>
      </w:pPr>
    </w:p>
    <w:p w14:paraId="54E4C98E">
      <w:pPr>
        <w:spacing w:line="320" w:lineRule="exact"/>
        <w:rPr>
          <w:rFonts w:hint="default" w:ascii="Times New Roman" w:hAnsi="Times New Roman" w:cs="Times New Roman"/>
          <w:color w:val="FF0000"/>
          <w:sz w:val="24"/>
        </w:rPr>
      </w:pPr>
    </w:p>
    <w:p w14:paraId="019F90AA">
      <w:pPr>
        <w:spacing w:line="320" w:lineRule="exact"/>
        <w:rPr>
          <w:rFonts w:hint="default" w:ascii="Times New Roman" w:hAnsi="Times New Roman" w:cs="Times New Roman"/>
          <w:color w:val="FF0000"/>
          <w:sz w:val="24"/>
        </w:rPr>
      </w:pPr>
      <w:r>
        <w:rPr>
          <w:rFonts w:hint="default" w:ascii="Times New Roman" w:hAnsi="Times New Roman" w:cs="Times New Roman"/>
          <w:color w:val="FF0000"/>
          <w:sz w:val="21"/>
        </w:rPr>
        <mc:AlternateContent>
          <mc:Choice Requires="wps">
            <w:drawing>
              <wp:anchor distT="0" distB="0" distL="114300" distR="114300" simplePos="0" relativeHeight="251671552" behindDoc="0" locked="0" layoutInCell="1" allowOverlap="1">
                <wp:simplePos x="0" y="0"/>
                <wp:positionH relativeFrom="column">
                  <wp:posOffset>2373630</wp:posOffset>
                </wp:positionH>
                <wp:positionV relativeFrom="paragraph">
                  <wp:posOffset>85090</wp:posOffset>
                </wp:positionV>
                <wp:extent cx="682625" cy="254635"/>
                <wp:effectExtent l="0" t="0" r="0" b="0"/>
                <wp:wrapNone/>
                <wp:docPr id="12" name="文本框 87"/>
                <wp:cNvGraphicFramePr/>
                <a:graphic xmlns:a="http://schemas.openxmlformats.org/drawingml/2006/main">
                  <a:graphicData uri="http://schemas.microsoft.com/office/word/2010/wordprocessingShape">
                    <wps:wsp>
                      <wps:cNvSpPr txBox="1"/>
                      <wps:spPr>
                        <a:xfrm>
                          <a:off x="0" y="0"/>
                          <a:ext cx="682625" cy="254635"/>
                        </a:xfrm>
                        <a:prstGeom prst="rect">
                          <a:avLst/>
                        </a:prstGeom>
                        <a:noFill/>
                        <a:ln w="6350">
                          <a:noFill/>
                        </a:ln>
                      </wps:spPr>
                      <wps:txbx>
                        <w:txbxContent>
                          <w:p w14:paraId="26ECF520">
                            <w:pPr>
                              <w:rPr>
                                <w:rFonts w:hint="default" w:ascii="Times New Roman" w:hAnsi="Times New Roman" w:cs="Times New Roman"/>
                                <w:color w:val="000000"/>
                                <w:lang w:val="en-US" w:eastAsia="zh-CN"/>
                              </w:rPr>
                            </w:pPr>
                            <w:r>
                              <w:rPr>
                                <w:rFonts w:hint="eastAsia" w:ascii="Times New Roman" w:hAnsi="Times New Roman" w:eastAsia="宋体" w:cs="Times New Roman"/>
                                <w:i w:val="0"/>
                                <w:iCs w:val="0"/>
                                <w:color w:val="000000"/>
                                <w:kern w:val="0"/>
                                <w:sz w:val="22"/>
                                <w:szCs w:val="22"/>
                                <w:u w:val="none"/>
                                <w:lang w:val="en-US" w:eastAsia="zh-CN" w:bidi="ar"/>
                              </w:rPr>
                              <w:t>43800</w:t>
                            </w:r>
                          </w:p>
                        </w:txbxContent>
                      </wps:txbx>
                      <wps:bodyPr vert="horz" wrap="square" anchor="t" anchorCtr="0" upright="1"/>
                    </wps:wsp>
                  </a:graphicData>
                </a:graphic>
              </wp:anchor>
            </w:drawing>
          </mc:Choice>
          <mc:Fallback>
            <w:pict>
              <v:shape id="文本框 87" o:spid="_x0000_s1026" o:spt="202" type="#_x0000_t202" style="position:absolute;left:0pt;margin-left:186.9pt;margin-top:6.7pt;height:20.05pt;width:53.75pt;z-index:251671552;mso-width-relative:page;mso-height-relative:page;" filled="f" stroked="f" coordsize="21600,21600" o:gfxdata="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Vk1EzaAAAACQEAAA8AAAAAAAAAAQAg&#10;AAAAIgAAAGRycy9kb3ducmV2LnhtbFBLAQIUABQAAAAIAIdO4kDZ6Yfy0wEAAIsDAAAOAAAAAAAA&#10;AAEAIAAAACkBAABkcnMvZTJvRG9jLnhtbFBLBQYAAAAABgAGAFkBAABuBQAAAAA=&#10;">
                <v:fill on="f" focussize="0,0"/>
                <v:stroke on="f" weight="0.5pt"/>
                <v:imagedata o:title=""/>
                <o:lock v:ext="edit" aspectratio="f"/>
                <v:textbox>
                  <w:txbxContent>
                    <w:p w14:paraId="26ECF520">
                      <w:pPr>
                        <w:rPr>
                          <w:rFonts w:hint="default" w:ascii="Times New Roman" w:hAnsi="Times New Roman" w:cs="Times New Roman"/>
                          <w:color w:val="000000"/>
                          <w:lang w:val="en-US" w:eastAsia="zh-CN"/>
                        </w:rPr>
                      </w:pPr>
                      <w:r>
                        <w:rPr>
                          <w:rFonts w:hint="eastAsia" w:ascii="Times New Roman" w:hAnsi="Times New Roman" w:eastAsia="宋体" w:cs="Times New Roman"/>
                          <w:i w:val="0"/>
                          <w:iCs w:val="0"/>
                          <w:color w:val="000000"/>
                          <w:kern w:val="0"/>
                          <w:sz w:val="22"/>
                          <w:szCs w:val="22"/>
                          <w:u w:val="none"/>
                          <w:lang w:val="en-US" w:eastAsia="zh-CN" w:bidi="ar"/>
                        </w:rPr>
                        <w:t>43800</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73600" behindDoc="0" locked="0" layoutInCell="1" allowOverlap="1">
                <wp:simplePos x="0" y="0"/>
                <wp:positionH relativeFrom="column">
                  <wp:posOffset>2222500</wp:posOffset>
                </wp:positionH>
                <wp:positionV relativeFrom="paragraph">
                  <wp:posOffset>195580</wp:posOffset>
                </wp:positionV>
                <wp:extent cx="224155" cy="163195"/>
                <wp:effectExtent l="2540" t="0" r="1905" b="8255"/>
                <wp:wrapNone/>
                <wp:docPr id="14" name="直接箭头连接符 86"/>
                <wp:cNvGraphicFramePr/>
                <a:graphic xmlns:a="http://schemas.openxmlformats.org/drawingml/2006/main">
                  <a:graphicData uri="http://schemas.microsoft.com/office/word/2010/wordprocessingShape">
                    <wps:wsp>
                      <wps:cNvCnPr>
                        <a:stCxn id="13" idx="0"/>
                      </wps:cNvCnPr>
                      <wps:spPr>
                        <a:xfrm flipV="1">
                          <a:off x="0" y="0"/>
                          <a:ext cx="224155" cy="163195"/>
                        </a:xfrm>
                        <a:prstGeom prst="straightConnector1">
                          <a:avLst/>
                        </a:prstGeom>
                        <a:ln w="0" cap="flat" cmpd="sng">
                          <a:solidFill>
                            <a:srgbClr val="000000"/>
                          </a:solidFill>
                          <a:prstDash val="sysDash"/>
                          <a:miter/>
                          <a:headEnd type="none" w="med" len="med"/>
                          <a:tailEnd type="triangle" w="sm" len="med"/>
                        </a:ln>
                      </wps:spPr>
                      <wps:bodyPr/>
                    </wps:wsp>
                  </a:graphicData>
                </a:graphic>
              </wp:anchor>
            </w:drawing>
          </mc:Choice>
          <mc:Fallback>
            <w:pict>
              <v:shape id="直接箭头连接符 86" o:spid="_x0000_s1026" o:spt="32" type="#_x0000_t32" style="position:absolute;left:0pt;flip:y;margin-left:175pt;margin-top:15.4pt;height:12.85pt;width:17.65pt;z-index:251673600;mso-width-relative:page;mso-height-relative:page;" filled="f" stroked="t" coordsize="21600,21600" o:gfxdata="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GQ1&#10;p9YAAAAJAQAADwAAAAAAAAABACAAAAAiAAAAZHJzL2Rvd25yZXYueG1sUEsBAhQAFAAAAAgAh07i&#10;QOXm/8MkAgAALwQAAA4AAAAAAAAAAQAgAAAAJQEAAGRycy9lMm9Eb2MueG1sUEsFBgAAAAAGAAYA&#10;WQEAALsFAAAAAA==&#10;">
                <v:fill on="f" focussize="0,0"/>
                <v:stroke weight="0pt" color="#000000" joinstyle="miter" dashstyle="3 1" endarrow="block" endarrowwidth="narrow"/>
                <v:imagedata o:title=""/>
                <o:lock v:ext="edit" aspectratio="f"/>
              </v:shape>
            </w:pict>
          </mc:Fallback>
        </mc:AlternateContent>
      </w:r>
    </w:p>
    <w:p w14:paraId="0883CC46">
      <w:pPr>
        <w:spacing w:line="360" w:lineRule="auto"/>
        <w:rPr>
          <w:rFonts w:hint="default" w:ascii="Times New Roman" w:hAnsi="Times New Roman" w:cs="Times New Roman"/>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670528" behindDoc="0" locked="0" layoutInCell="1" allowOverlap="1">
                <wp:simplePos x="0" y="0"/>
                <wp:positionH relativeFrom="column">
                  <wp:posOffset>1203325</wp:posOffset>
                </wp:positionH>
                <wp:positionV relativeFrom="paragraph">
                  <wp:posOffset>52705</wp:posOffset>
                </wp:positionV>
                <wp:extent cx="731520" cy="254635"/>
                <wp:effectExtent l="0" t="0" r="0" b="0"/>
                <wp:wrapNone/>
                <wp:docPr id="11" name="文本框 84"/>
                <wp:cNvGraphicFramePr/>
                <a:graphic xmlns:a="http://schemas.openxmlformats.org/drawingml/2006/main">
                  <a:graphicData uri="http://schemas.microsoft.com/office/word/2010/wordprocessingShape">
                    <wps:wsp>
                      <wps:cNvSpPr txBox="1"/>
                      <wps:spPr>
                        <a:xfrm>
                          <a:off x="0" y="0"/>
                          <a:ext cx="731520" cy="254635"/>
                        </a:xfrm>
                        <a:prstGeom prst="rect">
                          <a:avLst/>
                        </a:prstGeom>
                        <a:noFill/>
                        <a:ln w="6350">
                          <a:noFill/>
                        </a:ln>
                      </wps:spPr>
                      <wps:txbx>
                        <w:txbxContent>
                          <w:p w14:paraId="771A26BD">
                            <w:pPr>
                              <w:rPr>
                                <w:rFonts w:hint="default" w:ascii="Times New Roman" w:hAnsi="Times New Roman" w:cs="Times New Roman"/>
                                <w:lang w:val="en-US" w:eastAsia="zh-CN"/>
                              </w:rPr>
                            </w:pPr>
                            <w:r>
                              <w:rPr>
                                <w:rFonts w:hint="eastAsia" w:ascii="Times New Roman" w:hAnsi="Times New Roman" w:eastAsia="宋体" w:cs="Times New Roman"/>
                                <w:i w:val="0"/>
                                <w:iCs w:val="0"/>
                                <w:color w:val="000000"/>
                                <w:kern w:val="0"/>
                                <w:sz w:val="22"/>
                                <w:szCs w:val="22"/>
                                <w:u w:val="none"/>
                                <w:lang w:val="en-US" w:eastAsia="zh-CN" w:bidi="ar"/>
                              </w:rPr>
                              <w:t>43800</w:t>
                            </w:r>
                          </w:p>
                        </w:txbxContent>
                      </wps:txbx>
                      <wps:bodyPr vert="horz" wrap="square" anchor="t" anchorCtr="0" upright="1"/>
                    </wps:wsp>
                  </a:graphicData>
                </a:graphic>
              </wp:anchor>
            </w:drawing>
          </mc:Choice>
          <mc:Fallback>
            <w:pict>
              <v:shape id="文本框 84" o:spid="_x0000_s1026" o:spt="202" type="#_x0000_t202" style="position:absolute;left:0pt;margin-left:94.75pt;margin-top:4.15pt;height:20.05pt;width:57.6pt;z-index:251670528;mso-width-relative:page;mso-height-relative:page;" filled="f" stroked="f" coordsize="21600,21600" o:gfxdata="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ujsIdkAAAAIAQAADwAAAAAAAAABACAA&#10;AAAiAAAAZHJzL2Rvd25yZXYueG1sUEsBAhQAFAAAAAgAh07iQFwLTCDTAQAAiwMAAA4AAAAAAAAA&#10;AQAgAAAAKAEAAGRycy9lMm9Eb2MueG1sUEsFBgAAAAAGAAYAWQEAAG0FAAAAAA==&#10;">
                <v:fill on="f" focussize="0,0"/>
                <v:stroke on="f" weight="0.5pt"/>
                <v:imagedata o:title=""/>
                <o:lock v:ext="edit" aspectratio="f"/>
                <v:textbox>
                  <w:txbxContent>
                    <w:p w14:paraId="771A26BD">
                      <w:pPr>
                        <w:rPr>
                          <w:rFonts w:hint="default" w:ascii="Times New Roman" w:hAnsi="Times New Roman" w:cs="Times New Roman"/>
                          <w:lang w:val="en-US" w:eastAsia="zh-CN"/>
                        </w:rPr>
                      </w:pPr>
                      <w:r>
                        <w:rPr>
                          <w:rFonts w:hint="eastAsia" w:ascii="Times New Roman" w:hAnsi="Times New Roman" w:eastAsia="宋体" w:cs="Times New Roman"/>
                          <w:i w:val="0"/>
                          <w:iCs w:val="0"/>
                          <w:color w:val="000000"/>
                          <w:kern w:val="0"/>
                          <w:sz w:val="22"/>
                          <w:szCs w:val="22"/>
                          <w:u w:val="none"/>
                          <w:lang w:val="en-US" w:eastAsia="zh-CN" w:bidi="ar"/>
                        </w:rPr>
                        <w:t>43800</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72576" behindDoc="0" locked="0" layoutInCell="1" allowOverlap="1">
                <wp:simplePos x="0" y="0"/>
                <wp:positionH relativeFrom="column">
                  <wp:posOffset>1837055</wp:posOffset>
                </wp:positionH>
                <wp:positionV relativeFrom="paragraph">
                  <wp:posOffset>155575</wp:posOffset>
                </wp:positionV>
                <wp:extent cx="770890" cy="296545"/>
                <wp:effectExtent l="4445" t="4445" r="5715" b="22860"/>
                <wp:wrapNone/>
                <wp:docPr id="13" name="文本框 85"/>
                <wp:cNvGraphicFramePr/>
                <a:graphic xmlns:a="http://schemas.openxmlformats.org/drawingml/2006/main">
                  <a:graphicData uri="http://schemas.microsoft.com/office/word/2010/wordprocessingShape">
                    <wps:wsp>
                      <wps:cNvSpPr txBox="1"/>
                      <wps:spPr>
                        <a:xfrm>
                          <a:off x="0" y="0"/>
                          <a:ext cx="770890" cy="296545"/>
                        </a:xfrm>
                        <a:prstGeom prst="rect">
                          <a:avLst/>
                        </a:prstGeom>
                        <a:noFill/>
                        <a:ln w="6350" cap="flat" cmpd="sng">
                          <a:solidFill>
                            <a:srgbClr val="000000"/>
                          </a:solidFill>
                          <a:prstDash val="solid"/>
                          <a:round/>
                          <a:headEnd type="none" w="med" len="med"/>
                          <a:tailEnd type="none" w="med" len="med"/>
                        </a:ln>
                      </wps:spPr>
                      <wps:txbx>
                        <w:txbxContent>
                          <w:p w14:paraId="146A794F">
                            <w:pPr>
                              <w:jc w:val="center"/>
                            </w:pPr>
                            <w:r>
                              <w:rPr>
                                <w:rFonts w:hint="eastAsia"/>
                                <w:lang w:eastAsia="zh-CN"/>
                              </w:rPr>
                              <w:t>鸡</w:t>
                            </w:r>
                            <w:r>
                              <w:rPr>
                                <w:rFonts w:hint="eastAsia"/>
                              </w:rPr>
                              <w:t>饮用水</w:t>
                            </w:r>
                          </w:p>
                        </w:txbxContent>
                      </wps:txbx>
                      <wps:bodyPr vert="horz" wrap="square" anchor="t" anchorCtr="0" upright="1"/>
                    </wps:wsp>
                  </a:graphicData>
                </a:graphic>
              </wp:anchor>
            </w:drawing>
          </mc:Choice>
          <mc:Fallback>
            <w:pict>
              <v:shape id="文本框 85" o:spid="_x0000_s1026" o:spt="202" type="#_x0000_t202" style="position:absolute;left:0pt;margin-left:144.65pt;margin-top:12.25pt;height:23.35pt;width:60.7pt;z-index:251672576;mso-width-relative:page;mso-height-relative:page;" filled="f" stroked="t" coordsize="21600,21600" o:gfxdata="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UBqY2gAAAAkBAAAPAAAAAAAAAAEAIAAAACIAAABkcnMvZG93bnJldi54bWxQSwECFAAUAAAA&#10;CACHTuJAEZTF+CUCAABBBAAADgAAAAAAAAABACAAAAApAQAAZHJzL2Uyb0RvYy54bWxQSwUGAAAA&#10;AAYABgBZAQAAwAUAAAAA&#10;">
                <v:fill on="f" focussize="0,0"/>
                <v:stroke weight="0.5pt" color="#000000" joinstyle="round"/>
                <v:imagedata o:title=""/>
                <o:lock v:ext="edit" aspectratio="f"/>
                <v:textbox>
                  <w:txbxContent>
                    <w:p w14:paraId="146A794F">
                      <w:pPr>
                        <w:jc w:val="center"/>
                      </w:pPr>
                      <w:r>
                        <w:rPr>
                          <w:rFonts w:hint="eastAsia"/>
                          <w:lang w:eastAsia="zh-CN"/>
                        </w:rPr>
                        <w:t>鸡</w:t>
                      </w:r>
                      <w:r>
                        <w:rPr>
                          <w:rFonts w:hint="eastAsia"/>
                        </w:rPr>
                        <w:t>饮用水</w:t>
                      </w:r>
                    </w:p>
                  </w:txbxContent>
                </v:textbox>
              </v:shape>
            </w:pict>
          </mc:Fallback>
        </mc:AlternateContent>
      </w:r>
    </w:p>
    <w:p w14:paraId="2D67ED5B">
      <w:pPr>
        <w:spacing w:line="360" w:lineRule="auto"/>
        <w:rPr>
          <w:rFonts w:hint="default" w:ascii="Times New Roman" w:hAnsi="Times New Roman" w:cs="Times New Roman"/>
          <w:color w:val="FF0000"/>
          <w:sz w:val="24"/>
        </w:rPr>
      </w:pPr>
      <w:r>
        <w:rPr>
          <w:rFonts w:hint="default" w:ascii="Times New Roman" w:hAnsi="Times New Roman" w:cs="Times New Roman"/>
          <w:color w:val="FF0000"/>
          <w:sz w:val="24"/>
        </w:rPr>
        <mc:AlternateContent>
          <mc:Choice Requires="wpg">
            <w:drawing>
              <wp:anchor distT="0" distB="0" distL="114300" distR="114300" simplePos="0" relativeHeight="251674624" behindDoc="0" locked="0" layoutInCell="1" allowOverlap="1">
                <wp:simplePos x="0" y="0"/>
                <wp:positionH relativeFrom="column">
                  <wp:posOffset>1757045</wp:posOffset>
                </wp:positionH>
                <wp:positionV relativeFrom="paragraph">
                  <wp:posOffset>210820</wp:posOffset>
                </wp:positionV>
                <wp:extent cx="1752600" cy="632460"/>
                <wp:effectExtent l="5080" t="0" r="0" b="19685"/>
                <wp:wrapNone/>
                <wp:docPr id="18" name="组合 93"/>
                <wp:cNvGraphicFramePr/>
                <a:graphic xmlns:a="http://schemas.openxmlformats.org/drawingml/2006/main">
                  <a:graphicData uri="http://schemas.microsoft.com/office/word/2010/wordprocessingGroup">
                    <wpg:wgp>
                      <wpg:cNvGrpSpPr/>
                      <wpg:grpSpPr>
                        <a:xfrm>
                          <a:off x="0" y="0"/>
                          <a:ext cx="1752600" cy="632460"/>
                          <a:chOff x="4871" y="1098604"/>
                          <a:chExt cx="3145" cy="1017"/>
                        </a:xfrm>
                      </wpg:grpSpPr>
                      <wps:wsp>
                        <wps:cNvPr id="15" name="文本框 87"/>
                        <wps:cNvSpPr txBox="1"/>
                        <wps:spPr>
                          <a:xfrm>
                            <a:off x="5979" y="1098604"/>
                            <a:ext cx="1106" cy="410"/>
                          </a:xfrm>
                          <a:prstGeom prst="rect">
                            <a:avLst/>
                          </a:prstGeom>
                          <a:noFill/>
                          <a:ln w="6350">
                            <a:noFill/>
                          </a:ln>
                        </wps:spPr>
                        <wps:txbx>
                          <w:txbxContent>
                            <w:p w14:paraId="429D3846">
                              <w:pP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46</w:t>
                              </w:r>
                            </w:p>
                          </w:txbxContent>
                        </wps:txbx>
                        <wps:bodyPr vert="horz" wrap="square" anchor="t" anchorCtr="0" upright="1"/>
                      </wps:wsp>
                      <wps:wsp>
                        <wps:cNvPr id="16" name="文本框 85"/>
                        <wps:cNvSpPr txBox="1"/>
                        <wps:spPr>
                          <a:xfrm>
                            <a:off x="4871" y="1099144"/>
                            <a:ext cx="2131" cy="477"/>
                          </a:xfrm>
                          <a:prstGeom prst="rect">
                            <a:avLst/>
                          </a:prstGeom>
                          <a:noFill/>
                          <a:ln w="6350" cap="flat" cmpd="sng">
                            <a:solidFill>
                              <a:srgbClr val="000000"/>
                            </a:solidFill>
                            <a:prstDash val="solid"/>
                            <a:round/>
                            <a:headEnd type="none" w="med" len="med"/>
                            <a:tailEnd type="none" w="med" len="med"/>
                          </a:ln>
                        </wps:spPr>
                        <wps:txbx>
                          <w:txbxContent>
                            <w:p w14:paraId="67E77313">
                              <w:pPr>
                                <w:jc w:val="center"/>
                                <w:rPr>
                                  <w:rFonts w:hint="default" w:eastAsia="宋体"/>
                                  <w:lang w:val="en-US" w:eastAsia="zh-CN"/>
                                </w:rPr>
                              </w:pPr>
                              <w:r>
                                <w:rPr>
                                  <w:rFonts w:hint="eastAsia"/>
                                  <w:lang w:val="en-US" w:eastAsia="zh-CN"/>
                                </w:rPr>
                                <w:t>生活用水</w:t>
                              </w:r>
                            </w:p>
                          </w:txbxContent>
                        </wps:txbx>
                        <wps:bodyPr vert="horz" wrap="square" anchor="t" anchorCtr="0" upright="1"/>
                      </wps:wsp>
                      <wps:wsp>
                        <wps:cNvPr id="17" name="文本框 90"/>
                        <wps:cNvSpPr txBox="1"/>
                        <wps:spPr>
                          <a:xfrm>
                            <a:off x="7055" y="1098802"/>
                            <a:ext cx="961" cy="396"/>
                          </a:xfrm>
                          <a:prstGeom prst="rect">
                            <a:avLst/>
                          </a:prstGeom>
                          <a:noFill/>
                          <a:ln w="6350">
                            <a:noFill/>
                          </a:ln>
                        </wps:spPr>
                        <wps:txbx>
                          <w:txbxContent>
                            <w:p w14:paraId="1ED73255">
                              <w:pPr>
                                <w:rPr>
                                  <w:rFonts w:hint="default"/>
                                  <w:lang w:val="en-US" w:eastAsia="zh-CN"/>
                                </w:rPr>
                              </w:pPr>
                            </w:p>
                          </w:txbxContent>
                        </wps:txbx>
                        <wps:bodyPr vert="horz" wrap="square" anchor="t" anchorCtr="0" upright="1"/>
                      </wps:wsp>
                    </wpg:wgp>
                  </a:graphicData>
                </a:graphic>
              </wp:anchor>
            </w:drawing>
          </mc:Choice>
          <mc:Fallback>
            <w:pict>
              <v:group id="组合 93" o:spid="_x0000_s1026" o:spt="203" style="position:absolute;left:0pt;margin-left:138.35pt;margin-top:16.6pt;height:49.8pt;width:138pt;z-index:251674624;mso-width-relative:page;mso-height-relative:page;" coordorigin="4871,1098604" coordsize="3145,1017" o:gfxdata="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CnpOxG2gAAAAoB&#10;AAAPAAAAAAAAAAEAIAAAACIAAABkcnMvZG93bnJldi54bWxQSwECFAAUAAAACACHTuJA7UFFUP0C&#10;AADbCAAADgAAAAAAAAABACAAAAApAQAAZHJzL2Uyb0RvYy54bWxQSwUGAAAAAAYABgBZAQAAmAYA&#10;AAAA&#10;">
                <o:lock v:ext="edit" aspectratio="f"/>
                <v:shape id="文本框 87" o:spid="_x0000_s1026" o:spt="202" type="#_x0000_t202" style="position:absolute;left:5979;top:1098604;height:410;width:1106;"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29D3846">
                        <w:pP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46</w:t>
                        </w:r>
                      </w:p>
                    </w:txbxContent>
                  </v:textbox>
                </v:shape>
                <v:shape id="文本框 85" o:spid="_x0000_s1026" o:spt="202" type="#_x0000_t202" style="position:absolute;left:4871;top:1099144;height:477;width:2131;" filled="f" stroked="t" coordsize="21600,21600" o:gfxdata="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iqCG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textbox>
                    <w:txbxContent>
                      <w:p w14:paraId="67E77313">
                        <w:pPr>
                          <w:jc w:val="center"/>
                          <w:rPr>
                            <w:rFonts w:hint="default" w:eastAsia="宋体"/>
                            <w:lang w:val="en-US" w:eastAsia="zh-CN"/>
                          </w:rPr>
                        </w:pPr>
                        <w:r>
                          <w:rPr>
                            <w:rFonts w:hint="eastAsia"/>
                            <w:lang w:val="en-US" w:eastAsia="zh-CN"/>
                          </w:rPr>
                          <w:t>生活用水</w:t>
                        </w:r>
                      </w:p>
                    </w:txbxContent>
                  </v:textbox>
                </v:shape>
                <v:shape id="文本框 90" o:spid="_x0000_s1026" o:spt="202" type="#_x0000_t202" style="position:absolute;left:7055;top:1098802;height:396;width:961;"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1ED73255">
                        <w:pPr>
                          <w:rPr>
                            <w:rFonts w:hint="default"/>
                            <w:lang w:val="en-US" w:eastAsia="zh-CN"/>
                          </w:rPr>
                        </w:pPr>
                      </w:p>
                    </w:txbxContent>
                  </v:textbox>
                </v:shape>
              </v:group>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68480" behindDoc="0" locked="0" layoutInCell="1" allowOverlap="1">
                <wp:simplePos x="0" y="0"/>
                <wp:positionH relativeFrom="column">
                  <wp:posOffset>1174115</wp:posOffset>
                </wp:positionH>
                <wp:positionV relativeFrom="paragraph">
                  <wp:posOffset>10160</wp:posOffset>
                </wp:positionV>
                <wp:extent cx="5080" cy="3317240"/>
                <wp:effectExtent l="4445" t="0" r="9525" b="16510"/>
                <wp:wrapNone/>
                <wp:docPr id="9" name="直接连接符 76"/>
                <wp:cNvGraphicFramePr/>
                <a:graphic xmlns:a="http://schemas.openxmlformats.org/drawingml/2006/main">
                  <a:graphicData uri="http://schemas.microsoft.com/office/word/2010/wordprocessingShape">
                    <wps:wsp>
                      <wps:cNvCnPr/>
                      <wps:spPr>
                        <a:xfrm flipH="1">
                          <a:off x="0" y="0"/>
                          <a:ext cx="5080" cy="331724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接连接符 76" o:spid="_x0000_s1026" o:spt="20" style="position:absolute;left:0pt;flip:x;margin-left:92.45pt;margin-top:0.8pt;height:261.2pt;width:0.4pt;z-index:251668480;mso-width-relative:page;mso-height-relative:page;" filled="f" stroked="t" coordsize="21600,21600" o:gfxdata="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JIuEXXAAAACQEAAA8AAAAAAAAAAQAgAAAAIgAAAGRy&#10;cy9kb3ducmV2LnhtbFBLAQIUABQAAAAIAIdO4kB4jwZKBgIAAPwDAAAOAAAAAAAAAAEAIAAAACYB&#10;AABkcnMvZTJvRG9jLnhtbFBLBQYAAAAABgAGAFkBAACeBQAAAAA=&#10;">
                <v:fill on="f" focussize="0,0"/>
                <v:stroke weight="0.5pt" color="#000000" joinstyle="miter"/>
                <v:imagedata o:title=""/>
                <o:lock v:ext="edit" aspectratio="f"/>
              </v:lin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3840" behindDoc="0" locked="0" layoutInCell="1" allowOverlap="1">
                <wp:simplePos x="0" y="0"/>
                <wp:positionH relativeFrom="column">
                  <wp:posOffset>1185545</wp:posOffset>
                </wp:positionH>
                <wp:positionV relativeFrom="paragraph">
                  <wp:posOffset>29845</wp:posOffset>
                </wp:positionV>
                <wp:extent cx="675005" cy="5080"/>
                <wp:effectExtent l="0" t="20955" r="10795" b="31115"/>
                <wp:wrapNone/>
                <wp:docPr id="31" name="直接箭头连接符 16"/>
                <wp:cNvGraphicFramePr/>
                <a:graphic xmlns:a="http://schemas.openxmlformats.org/drawingml/2006/main">
                  <a:graphicData uri="http://schemas.microsoft.com/office/word/2010/wordprocessingShape">
                    <wps:wsp>
                      <wps:cNvCnPr/>
                      <wps:spPr>
                        <a:xfrm>
                          <a:off x="0" y="0"/>
                          <a:ext cx="675005" cy="5080"/>
                        </a:xfrm>
                        <a:prstGeom prst="straightConnector1">
                          <a:avLst/>
                        </a:prstGeom>
                        <a:ln w="6350" cap="flat" cmpd="sng">
                          <a:solidFill>
                            <a:srgbClr val="000000"/>
                          </a:solidFill>
                          <a:prstDash val="solid"/>
                          <a:miter/>
                          <a:headEnd type="none" w="med" len="med"/>
                          <a:tailEnd type="triangle" w="sm" len="med"/>
                        </a:ln>
                      </wps:spPr>
                      <wps:bodyPr/>
                    </wps:wsp>
                  </a:graphicData>
                </a:graphic>
              </wp:anchor>
            </w:drawing>
          </mc:Choice>
          <mc:Fallback>
            <w:pict>
              <v:shape id="直接箭头连接符 16" o:spid="_x0000_s1026" o:spt="32" type="#_x0000_t32" style="position:absolute;left:0pt;margin-left:93.35pt;margin-top:2.35pt;height:0.4pt;width:53.15pt;z-index:251683840;mso-width-relative:page;mso-height-relative:page;" filled="f" stroked="t" coordsize="21600,21600" o:gfxdata="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0wwJD1QAAAAcBAAAPAAAAAAAAAAEAIAAA&#10;ACIAAABkcnMvZG93bnJldi54bWxQSwECFAAUAAAACACHTuJANW2VuA8CAAD9AwAADgAAAAAAAAAB&#10;ACAAAAAkAQAAZHJzL2Uyb0RvYy54bWxQSwUGAAAAAAYABgBZAQAApQUAAAAA&#10;">
                <v:fill on="f" focussize="0,0"/>
                <v:stroke weight="0.5pt" color="#000000" joinstyle="miter" endarrow="block" endarrowwidth="narrow"/>
                <v:imagedata o:title=""/>
                <o:lock v:ext="edit" aspectratio="f"/>
              </v:shape>
            </w:pict>
          </mc:Fallback>
        </mc:AlternateContent>
      </w:r>
    </w:p>
    <w:p w14:paraId="52B3E402">
      <w:pPr>
        <w:spacing w:line="360" w:lineRule="auto"/>
        <w:rPr>
          <w:rFonts w:hint="default" w:ascii="Times New Roman" w:hAnsi="Times New Roman" w:cs="Times New Roman"/>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694080" behindDoc="0" locked="0" layoutInCell="1" allowOverlap="1">
                <wp:simplePos x="0" y="0"/>
                <wp:positionH relativeFrom="column">
                  <wp:posOffset>3282950</wp:posOffset>
                </wp:positionH>
                <wp:positionV relativeFrom="paragraph">
                  <wp:posOffset>207645</wp:posOffset>
                </wp:positionV>
                <wp:extent cx="492125" cy="254635"/>
                <wp:effectExtent l="0" t="0" r="0" b="0"/>
                <wp:wrapNone/>
                <wp:docPr id="41" name="文本框 87"/>
                <wp:cNvGraphicFramePr/>
                <a:graphic xmlns:a="http://schemas.openxmlformats.org/drawingml/2006/main">
                  <a:graphicData uri="http://schemas.microsoft.com/office/word/2010/wordprocessingShape">
                    <wps:wsp>
                      <wps:cNvSpPr txBox="1"/>
                      <wps:spPr>
                        <a:xfrm>
                          <a:off x="0" y="0"/>
                          <a:ext cx="492125" cy="254635"/>
                        </a:xfrm>
                        <a:prstGeom prst="rect">
                          <a:avLst/>
                        </a:prstGeom>
                        <a:noFill/>
                        <a:ln w="6350">
                          <a:noFill/>
                        </a:ln>
                      </wps:spPr>
                      <wps:txbx>
                        <w:txbxContent>
                          <w:p w14:paraId="5AF1D68B">
                            <w:pPr>
                              <w:rPr>
                                <w:rFonts w:hint="default" w:ascii="Times New Roman" w:hAnsi="Times New Roman" w:cs="Times New Roman"/>
                                <w:lang w:val="en-US" w:eastAsia="zh-CN"/>
                              </w:rPr>
                            </w:pPr>
                            <w:r>
                              <w:rPr>
                                <w:rFonts w:hint="eastAsia" w:ascii="Times New Roman" w:hAnsi="Times New Roman" w:eastAsia="宋体" w:cs="Times New Roman"/>
                                <w:i w:val="0"/>
                                <w:iCs w:val="0"/>
                                <w:color w:val="000000"/>
                                <w:kern w:val="0"/>
                                <w:sz w:val="22"/>
                                <w:szCs w:val="22"/>
                                <w:u w:val="none"/>
                                <w:lang w:val="en-US" w:eastAsia="zh-CN" w:bidi="ar"/>
                              </w:rPr>
                              <w:t>584</w:t>
                            </w:r>
                          </w:p>
                        </w:txbxContent>
                      </wps:txbx>
                      <wps:bodyPr wrap="square" upright="1"/>
                    </wps:wsp>
                  </a:graphicData>
                </a:graphic>
              </wp:anchor>
            </w:drawing>
          </mc:Choice>
          <mc:Fallback>
            <w:pict>
              <v:shape id="文本框 87" o:spid="_x0000_s1026" o:spt="202" type="#_x0000_t202" style="position:absolute;left:0pt;margin-left:258.5pt;margin-top:16.35pt;height:20.05pt;width:38.75pt;z-index:251694080;mso-width-relative:page;mso-height-relative:page;" filled="f" stroked="f" coordsize="21600,21600" o:gfxdata="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T0oJNsAAAAJAQAADwAAAAAAAAABACAAAAAiAAAAZHJzL2Rvd25yZXYu&#10;eG1sUEsBAhQAFAAAAAgAh07iQAFUcUu/AQAAZgMAAA4AAAAAAAAAAQAgAAAAKgEAAGRycy9lMm9E&#10;b2MueG1sUEsFBgAAAAAGAAYAWQEAAFsFAAAAAA==&#10;">
                <v:fill on="f" focussize="0,0"/>
                <v:stroke on="f" weight="0.5pt"/>
                <v:imagedata o:title=""/>
                <o:lock v:ext="edit" aspectratio="f"/>
                <v:textbox>
                  <w:txbxContent>
                    <w:p w14:paraId="5AF1D68B">
                      <w:pPr>
                        <w:rPr>
                          <w:rFonts w:hint="default" w:ascii="Times New Roman" w:hAnsi="Times New Roman" w:cs="Times New Roman"/>
                          <w:lang w:val="en-US" w:eastAsia="zh-CN"/>
                        </w:rPr>
                      </w:pPr>
                      <w:r>
                        <w:rPr>
                          <w:rFonts w:hint="eastAsia" w:ascii="Times New Roman" w:hAnsi="Times New Roman" w:eastAsia="宋体" w:cs="Times New Roman"/>
                          <w:i w:val="0"/>
                          <w:iCs w:val="0"/>
                          <w:color w:val="000000"/>
                          <w:kern w:val="0"/>
                          <w:sz w:val="22"/>
                          <w:szCs w:val="22"/>
                          <w:u w:val="none"/>
                          <w:lang w:val="en-US" w:eastAsia="zh-CN" w:bidi="ar"/>
                        </w:rPr>
                        <w:t>584</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76672" behindDoc="0" locked="0" layoutInCell="1" allowOverlap="1">
                <wp:simplePos x="0" y="0"/>
                <wp:positionH relativeFrom="column">
                  <wp:posOffset>3909060</wp:posOffset>
                </wp:positionH>
                <wp:positionV relativeFrom="paragraph">
                  <wp:posOffset>163195</wp:posOffset>
                </wp:positionV>
                <wp:extent cx="1031875" cy="1211580"/>
                <wp:effectExtent l="4445" t="5080" r="11430" b="21590"/>
                <wp:wrapNone/>
                <wp:docPr id="24" name="文本框 123"/>
                <wp:cNvGraphicFramePr/>
                <a:graphic xmlns:a="http://schemas.openxmlformats.org/drawingml/2006/main">
                  <a:graphicData uri="http://schemas.microsoft.com/office/word/2010/wordprocessingShape">
                    <wps:wsp>
                      <wps:cNvSpPr txBox="1"/>
                      <wps:spPr>
                        <a:xfrm>
                          <a:off x="0" y="0"/>
                          <a:ext cx="1031875" cy="1211580"/>
                        </a:xfrm>
                        <a:prstGeom prst="rect">
                          <a:avLst/>
                        </a:prstGeom>
                        <a:noFill/>
                        <a:ln w="6350" cap="flat" cmpd="sng">
                          <a:solidFill>
                            <a:srgbClr val="000000"/>
                          </a:solidFill>
                          <a:prstDash val="solid"/>
                          <a:round/>
                          <a:headEnd type="none" w="med" len="med"/>
                          <a:tailEnd type="none" w="med" len="med"/>
                        </a:ln>
                      </wps:spPr>
                      <wps:txbx>
                        <w:txbxContent>
                          <w:p w14:paraId="5F34F70F">
                            <w:pPr>
                              <w:rPr>
                                <w:rFonts w:hint="default"/>
                                <w:lang w:val="en-US" w:eastAsia="zh-CN"/>
                              </w:rPr>
                            </w:pPr>
                            <w:r>
                              <w:rPr>
                                <w:rFonts w:hint="eastAsia"/>
                                <w:bCs/>
                                <w:color w:val="000000"/>
                                <w:sz w:val="21"/>
                                <w:szCs w:val="21"/>
                                <w:highlight w:val="none"/>
                                <w:lang w:val="en-US" w:eastAsia="zh-CN"/>
                              </w:rPr>
                              <w:t>收集后排入1座100m</w:t>
                            </w:r>
                            <w:r>
                              <w:rPr>
                                <w:rFonts w:hint="eastAsia"/>
                                <w:bCs/>
                                <w:color w:val="000000"/>
                                <w:sz w:val="21"/>
                                <w:szCs w:val="21"/>
                                <w:highlight w:val="none"/>
                                <w:vertAlign w:val="superscript"/>
                                <w:lang w:val="en-US" w:eastAsia="zh-CN"/>
                              </w:rPr>
                              <w:t>3</w:t>
                            </w:r>
                            <w:r>
                              <w:rPr>
                                <w:rFonts w:hint="eastAsia"/>
                                <w:color w:val="000000"/>
                                <w:sz w:val="21"/>
                                <w:szCs w:val="21"/>
                                <w:highlight w:val="none"/>
                                <w:lang w:val="en-US" w:eastAsia="zh-CN"/>
                              </w:rPr>
                              <w:t>化粪池处理设施处理后用于粪便堆肥，增加有机肥湿度</w:t>
                            </w:r>
                            <w:r>
                              <w:rPr>
                                <w:rFonts w:hint="eastAsia"/>
                                <w:bCs/>
                                <w:color w:val="000000"/>
                                <w:szCs w:val="21"/>
                                <w:lang w:val="en-US" w:eastAsia="zh-CN"/>
                              </w:rPr>
                              <w:t>。</w:t>
                            </w:r>
                          </w:p>
                        </w:txbxContent>
                      </wps:txbx>
                      <wps:bodyPr vert="horz" wrap="square" anchor="t" anchorCtr="0" upright="1"/>
                    </wps:wsp>
                  </a:graphicData>
                </a:graphic>
              </wp:anchor>
            </w:drawing>
          </mc:Choice>
          <mc:Fallback>
            <w:pict>
              <v:shape id="文本框 123" o:spid="_x0000_s1026" o:spt="202" type="#_x0000_t202" style="position:absolute;left:0pt;margin-left:307.8pt;margin-top:12.85pt;height:95.4pt;width:81.25pt;z-index:251676672;mso-width-relative:page;mso-height-relative:page;" filled="f" stroked="t" coordsize="21600,21600" o:gfxdata="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667tw2gAAAAoBAAAPAAAAAAAAAAEAIAAAACIAAABkcnMvZG93bnJldi54bWxQSwECFAAU&#10;AAAACACHTuJArHPn3ygCAABEBAAADgAAAAAAAAABACAAAAApAQAAZHJzL2Uyb0RvYy54bWxQSwUG&#10;AAAAAAYABgBZAQAAwwUAAAAA&#10;">
                <v:fill on="f" focussize="0,0"/>
                <v:stroke weight="0.5pt" color="#000000" joinstyle="round"/>
                <v:imagedata o:title=""/>
                <o:lock v:ext="edit" aspectratio="f"/>
                <v:textbox>
                  <w:txbxContent>
                    <w:p w14:paraId="5F34F70F">
                      <w:pPr>
                        <w:rPr>
                          <w:rFonts w:hint="default"/>
                          <w:lang w:val="en-US" w:eastAsia="zh-CN"/>
                        </w:rPr>
                      </w:pPr>
                      <w:r>
                        <w:rPr>
                          <w:rFonts w:hint="eastAsia"/>
                          <w:bCs/>
                          <w:color w:val="000000"/>
                          <w:sz w:val="21"/>
                          <w:szCs w:val="21"/>
                          <w:highlight w:val="none"/>
                          <w:lang w:val="en-US" w:eastAsia="zh-CN"/>
                        </w:rPr>
                        <w:t>收集后排入1座100m</w:t>
                      </w:r>
                      <w:r>
                        <w:rPr>
                          <w:rFonts w:hint="eastAsia"/>
                          <w:bCs/>
                          <w:color w:val="000000"/>
                          <w:sz w:val="21"/>
                          <w:szCs w:val="21"/>
                          <w:highlight w:val="none"/>
                          <w:vertAlign w:val="superscript"/>
                          <w:lang w:val="en-US" w:eastAsia="zh-CN"/>
                        </w:rPr>
                        <w:t>3</w:t>
                      </w:r>
                      <w:r>
                        <w:rPr>
                          <w:rFonts w:hint="eastAsia"/>
                          <w:color w:val="000000"/>
                          <w:sz w:val="21"/>
                          <w:szCs w:val="21"/>
                          <w:highlight w:val="none"/>
                          <w:lang w:val="en-US" w:eastAsia="zh-CN"/>
                        </w:rPr>
                        <w:t>化粪池处理设施处理后用于粪便堆肥，增加有机肥湿度</w:t>
                      </w:r>
                      <w:r>
                        <w:rPr>
                          <w:rFonts w:hint="eastAsia"/>
                          <w:bCs/>
                          <w:color w:val="000000"/>
                          <w:szCs w:val="21"/>
                          <w:lang w:val="en-US" w:eastAsia="zh-CN"/>
                        </w:rPr>
                        <w:t>。</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2816" behindDoc="0" locked="0" layoutInCell="1" allowOverlap="1">
                <wp:simplePos x="0" y="0"/>
                <wp:positionH relativeFrom="column">
                  <wp:posOffset>2242185</wp:posOffset>
                </wp:positionH>
                <wp:positionV relativeFrom="paragraph">
                  <wp:posOffset>100330</wp:posOffset>
                </wp:positionV>
                <wp:extent cx="223520" cy="163830"/>
                <wp:effectExtent l="2540" t="0" r="2540" b="7620"/>
                <wp:wrapNone/>
                <wp:docPr id="30" name="直接箭头连接符 86"/>
                <wp:cNvGraphicFramePr/>
                <a:graphic xmlns:a="http://schemas.openxmlformats.org/drawingml/2006/main">
                  <a:graphicData uri="http://schemas.microsoft.com/office/word/2010/wordprocessingShape">
                    <wps:wsp>
                      <wps:cNvCnPr/>
                      <wps:spPr>
                        <a:xfrm flipV="1">
                          <a:off x="0" y="0"/>
                          <a:ext cx="223520" cy="163830"/>
                        </a:xfrm>
                        <a:prstGeom prst="straightConnector1">
                          <a:avLst/>
                        </a:prstGeom>
                        <a:ln w="0" cap="flat" cmpd="sng">
                          <a:solidFill>
                            <a:srgbClr val="000000"/>
                          </a:solidFill>
                          <a:prstDash val="sysDash"/>
                          <a:miter/>
                          <a:headEnd type="none" w="med" len="med"/>
                          <a:tailEnd type="triangle" w="sm" len="med"/>
                        </a:ln>
                      </wps:spPr>
                      <wps:bodyPr/>
                    </wps:wsp>
                  </a:graphicData>
                </a:graphic>
              </wp:anchor>
            </w:drawing>
          </mc:Choice>
          <mc:Fallback>
            <w:pict>
              <v:shape id="直接箭头连接符 86" o:spid="_x0000_s1026" o:spt="32" type="#_x0000_t32" style="position:absolute;left:0pt;flip:y;margin-left:176.55pt;margin-top:7.9pt;height:12.9pt;width:17.6pt;z-index:251682816;mso-width-relative:page;mso-height-relative:page;" filled="f" stroked="t" coordsize="21600,21600" o:gfxdata="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9wQS9YAAAAJAQAADwAAAAAA&#10;AAABACAAAAAiAAAAZHJzL2Rvd25yZXYueG1sUEsBAhQAFAAAAAgAh07iQM2Ad7IVAgAACAQAAA4A&#10;AAAAAAAAAQAgAAAAJQEAAGRycy9lMm9Eb2MueG1sUEsFBgAAAAAGAAYAWQEAAKwFAAAAAA==&#10;">
                <v:fill on="f" focussize="0,0"/>
                <v:stroke weight="0pt" color="#000000" joinstyle="miter" dashstyle="3 1" endarrow="block" endarrowwidth="narrow"/>
                <v:imagedata o:title=""/>
                <o:lock v:ext="edit" aspectratio="f"/>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65408" behindDoc="0" locked="0" layoutInCell="1" allowOverlap="1">
                <wp:simplePos x="0" y="0"/>
                <wp:positionH relativeFrom="column">
                  <wp:posOffset>1221105</wp:posOffset>
                </wp:positionH>
                <wp:positionV relativeFrom="paragraph">
                  <wp:posOffset>172085</wp:posOffset>
                </wp:positionV>
                <wp:extent cx="616585" cy="254635"/>
                <wp:effectExtent l="0" t="0" r="0" b="0"/>
                <wp:wrapNone/>
                <wp:docPr id="6" name="文本框 127"/>
                <wp:cNvGraphicFramePr/>
                <a:graphic xmlns:a="http://schemas.openxmlformats.org/drawingml/2006/main">
                  <a:graphicData uri="http://schemas.microsoft.com/office/word/2010/wordprocessingShape">
                    <wps:wsp>
                      <wps:cNvSpPr txBox="1"/>
                      <wps:spPr>
                        <a:xfrm>
                          <a:off x="0" y="0"/>
                          <a:ext cx="616585" cy="254635"/>
                        </a:xfrm>
                        <a:prstGeom prst="rect">
                          <a:avLst/>
                        </a:prstGeom>
                        <a:noFill/>
                        <a:ln w="6350">
                          <a:noFill/>
                        </a:ln>
                      </wps:spPr>
                      <wps:txbx>
                        <w:txbxContent>
                          <w:p w14:paraId="0E0B3176">
                            <w:pPr>
                              <w:rPr>
                                <w:rFonts w:hint="default"/>
                                <w:lang w:val="en-US" w:eastAsia="zh-CN"/>
                              </w:rPr>
                            </w:pPr>
                            <w:r>
                              <w:rPr>
                                <w:rFonts w:hint="eastAsia" w:ascii="Times New Roman" w:hAnsi="Times New Roman" w:eastAsia="宋体" w:cs="Times New Roman"/>
                                <w:i w:val="0"/>
                                <w:iCs w:val="0"/>
                                <w:color w:val="000000"/>
                                <w:kern w:val="0"/>
                                <w:sz w:val="21"/>
                                <w:szCs w:val="21"/>
                                <w:u w:val="none"/>
                                <w:lang w:val="en-US" w:eastAsia="zh-CN" w:bidi="ar"/>
                              </w:rPr>
                              <w:t>730</w:t>
                            </w:r>
                          </w:p>
                        </w:txbxContent>
                      </wps:txbx>
                      <wps:bodyPr vert="horz" wrap="square" anchor="t" anchorCtr="0" upright="1"/>
                    </wps:wsp>
                  </a:graphicData>
                </a:graphic>
              </wp:anchor>
            </w:drawing>
          </mc:Choice>
          <mc:Fallback>
            <w:pict>
              <v:shape id="文本框 127" o:spid="_x0000_s1026" o:spt="202" type="#_x0000_t202" style="position:absolute;left:0pt;margin-left:96.15pt;margin-top:13.55pt;height:20.05pt;width:48.55pt;z-index:251665408;mso-width-relative:page;mso-height-relative:page;" filled="f" stroked="f" coordsize="21600,21600" o:gfxdata="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QhPz92gAAAAkBAAAPAAAAAAAAAAEA&#10;IAAAACIAAABkcnMvZG93bnJldi54bWxQSwECFAAUAAAACACHTuJAxFlrcdQBAACLAwAADgAAAAAA&#10;AAABACAAAAApAQAAZHJzL2Uyb0RvYy54bWxQSwUGAAAAAAYABgBZAQAAbwUAAAAA&#10;">
                <v:fill on="f" focussize="0,0"/>
                <v:stroke on="f" weight="0.5pt"/>
                <v:imagedata o:title=""/>
                <o:lock v:ext="edit" aspectratio="f"/>
                <v:textbox>
                  <w:txbxContent>
                    <w:p w14:paraId="0E0B3176">
                      <w:pPr>
                        <w:rPr>
                          <w:rFonts w:hint="default"/>
                          <w:lang w:val="en-US" w:eastAsia="zh-CN"/>
                        </w:rPr>
                      </w:pPr>
                      <w:r>
                        <w:rPr>
                          <w:rFonts w:hint="eastAsia" w:ascii="Times New Roman" w:hAnsi="Times New Roman" w:eastAsia="宋体" w:cs="Times New Roman"/>
                          <w:i w:val="0"/>
                          <w:iCs w:val="0"/>
                          <w:color w:val="000000"/>
                          <w:kern w:val="0"/>
                          <w:sz w:val="21"/>
                          <w:szCs w:val="21"/>
                          <w:u w:val="none"/>
                          <w:lang w:val="en-US" w:eastAsia="zh-CN" w:bidi="ar"/>
                        </w:rPr>
                        <w:t>730</w:t>
                      </w:r>
                    </w:p>
                  </w:txbxContent>
                </v:textbox>
              </v:shape>
            </w:pict>
          </mc:Fallback>
        </mc:AlternateContent>
      </w:r>
    </w:p>
    <w:p w14:paraId="1D97E507">
      <w:pPr>
        <w:spacing w:line="360" w:lineRule="auto"/>
        <w:jc w:val="center"/>
        <w:rPr>
          <w:rFonts w:hint="default" w:ascii="Times New Roman" w:hAnsi="Times New Roman" w:cs="Times New Roman"/>
          <w:b/>
          <w:bCs/>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693056" behindDoc="0" locked="0" layoutInCell="1" allowOverlap="1">
                <wp:simplePos x="0" y="0"/>
                <wp:positionH relativeFrom="column">
                  <wp:posOffset>2997835</wp:posOffset>
                </wp:positionH>
                <wp:positionV relativeFrom="paragraph">
                  <wp:posOffset>186055</wp:posOffset>
                </wp:positionV>
                <wp:extent cx="920115" cy="5080"/>
                <wp:effectExtent l="0" t="24765" r="13335" b="27305"/>
                <wp:wrapNone/>
                <wp:docPr id="40" name="直接箭头连接符 88"/>
                <wp:cNvGraphicFramePr/>
                <a:graphic xmlns:a="http://schemas.openxmlformats.org/drawingml/2006/main">
                  <a:graphicData uri="http://schemas.microsoft.com/office/word/2010/wordprocessingShape">
                    <wps:wsp>
                      <wps:cNvCnPr/>
                      <wps:spPr>
                        <a:xfrm flipV="1">
                          <a:off x="0" y="0"/>
                          <a:ext cx="920115" cy="5080"/>
                        </a:xfrm>
                        <a:prstGeom prst="straightConnector1">
                          <a:avLst/>
                        </a:prstGeom>
                        <a:ln w="6350" cap="flat" cmpd="sng">
                          <a:solidFill>
                            <a:srgbClr val="000000"/>
                          </a:solidFill>
                          <a:prstDash val="solid"/>
                          <a:miter/>
                          <a:headEnd type="none" w="med" len="med"/>
                          <a:tailEnd type="triangle" w="sm" len="med"/>
                        </a:ln>
                      </wps:spPr>
                      <wps:bodyPr/>
                    </wps:wsp>
                  </a:graphicData>
                </a:graphic>
              </wp:anchor>
            </w:drawing>
          </mc:Choice>
          <mc:Fallback>
            <w:pict>
              <v:shape id="直接箭头连接符 88" o:spid="_x0000_s1026" o:spt="32" type="#_x0000_t32" style="position:absolute;left:0pt;flip:y;margin-left:236.05pt;margin-top:14.65pt;height:0.4pt;width:72.45pt;z-index:251693056;mso-width-relative:page;mso-height-relative:page;" filled="f" stroked="t" coordsize="21600,21600" o:gfxdata="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DcAFdoAAAAJAQAA&#10;DwAAAAAAAAABACAAAAAiAAAAZHJzL2Rvd25yZXYueG1sUEsBAhQAFAAAAAgAh07iQNp5ih8XAgAA&#10;BwQAAA4AAAAAAAAAAQAgAAAAKQEAAGRycy9lMm9Eb2MueG1sUEsFBgAAAAAGAAYAWQEAALIFAAAA&#10;AA==&#10;">
                <v:fill on="f" focussize="0,0"/>
                <v:stroke weight="0.5pt" color="#000000" joinstyle="miter" endarrow="block" endarrowwidth="narrow"/>
                <v:imagedata o:title=""/>
                <o:lock v:ext="edit" aspectratio="f"/>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67456" behindDoc="0" locked="0" layoutInCell="1" allowOverlap="1">
                <wp:simplePos x="0" y="0"/>
                <wp:positionH relativeFrom="column">
                  <wp:posOffset>1203325</wp:posOffset>
                </wp:positionH>
                <wp:positionV relativeFrom="paragraph">
                  <wp:posOffset>178435</wp:posOffset>
                </wp:positionV>
                <wp:extent cx="554355" cy="635"/>
                <wp:effectExtent l="0" t="24765" r="17145" b="31750"/>
                <wp:wrapNone/>
                <wp:docPr id="8" name="直接箭头连接符 73"/>
                <wp:cNvGraphicFramePr/>
                <a:graphic xmlns:a="http://schemas.openxmlformats.org/drawingml/2006/main">
                  <a:graphicData uri="http://schemas.microsoft.com/office/word/2010/wordprocessingShape">
                    <wps:wsp>
                      <wps:cNvCnPr/>
                      <wps:spPr>
                        <a:xfrm>
                          <a:off x="0" y="0"/>
                          <a:ext cx="554355" cy="635"/>
                        </a:xfrm>
                        <a:prstGeom prst="straightConnector1">
                          <a:avLst/>
                        </a:prstGeom>
                        <a:ln w="3175" cap="flat" cmpd="sng">
                          <a:solidFill>
                            <a:srgbClr val="000000"/>
                          </a:solidFill>
                          <a:prstDash val="solid"/>
                          <a:miter/>
                          <a:headEnd type="none" w="med" len="med"/>
                          <a:tailEnd type="triangle" w="sm" len="med"/>
                        </a:ln>
                      </wps:spPr>
                      <wps:bodyPr/>
                    </wps:wsp>
                  </a:graphicData>
                </a:graphic>
              </wp:anchor>
            </w:drawing>
          </mc:Choice>
          <mc:Fallback>
            <w:pict>
              <v:shape id="直接箭头连接符 73" o:spid="_x0000_s1026" o:spt="32" type="#_x0000_t32" style="position:absolute;left:0pt;margin-left:94.75pt;margin-top:14.05pt;height:0.05pt;width:43.65pt;z-index:251667456;mso-width-relative:page;mso-height-relative:page;" filled="f" stroked="t" coordsize="21600,21600" o:gfxdata="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x0LT7TAAAACQEAAA8AAAAAAAAAAQAgAAAAIgAA&#10;AGRycy9kb3ducmV2LnhtbFBLAQIUABQAAAAIAIdO4kB6AVynDQIAAPsDAAAOAAAAAAAAAAEAIAAA&#10;ACIBAABkcnMvZTJvRG9jLnhtbFBLBQYAAAAABgAGAFkBAAChBQAAAAA=&#10;">
                <v:fill on="f" focussize="0,0"/>
                <v:stroke weight="0.25pt" color="#000000" joinstyle="miter" endarrow="block" endarrowwidth="narrow"/>
                <v:imagedata o:title=""/>
                <o:lock v:ext="edit" aspectratio="f"/>
              </v:shape>
            </w:pict>
          </mc:Fallback>
        </mc:AlternateContent>
      </w:r>
    </w:p>
    <w:p w14:paraId="0B1ACF71">
      <w:pPr>
        <w:widowControl/>
        <w:spacing w:after="200"/>
        <w:jc w:val="center"/>
        <w:rPr>
          <w:rFonts w:hint="default" w:ascii="Times New Roman" w:hAnsi="Times New Roman" w:cs="Times New Roman"/>
          <w:b/>
          <w:bCs/>
          <w:color w:val="FF0000"/>
          <w:sz w:val="24"/>
          <w:lang w:eastAsia="en-US" w:bidi="en-US"/>
        </w:rPr>
      </w:pPr>
      <w:r>
        <w:rPr>
          <w:rFonts w:hint="default" w:ascii="Times New Roman" w:hAnsi="Times New Roman" w:cs="Times New Roman"/>
          <w:color w:val="FF0000"/>
          <w:sz w:val="24"/>
        </w:rPr>
        <mc:AlternateContent>
          <mc:Choice Requires="wps">
            <w:drawing>
              <wp:anchor distT="0" distB="0" distL="114300" distR="114300" simplePos="0" relativeHeight="251664384" behindDoc="0" locked="0" layoutInCell="1" allowOverlap="1">
                <wp:simplePos x="0" y="0"/>
                <wp:positionH relativeFrom="column">
                  <wp:posOffset>551180</wp:posOffset>
                </wp:positionH>
                <wp:positionV relativeFrom="paragraph">
                  <wp:posOffset>196850</wp:posOffset>
                </wp:positionV>
                <wp:extent cx="643255" cy="254635"/>
                <wp:effectExtent l="0" t="0" r="0" b="0"/>
                <wp:wrapNone/>
                <wp:docPr id="5" name="文本框 83"/>
                <wp:cNvGraphicFramePr/>
                <a:graphic xmlns:a="http://schemas.openxmlformats.org/drawingml/2006/main">
                  <a:graphicData uri="http://schemas.microsoft.com/office/word/2010/wordprocessingShape">
                    <wps:wsp>
                      <wps:cNvSpPr txBox="1"/>
                      <wps:spPr>
                        <a:xfrm>
                          <a:off x="0" y="0"/>
                          <a:ext cx="643255" cy="254635"/>
                        </a:xfrm>
                        <a:prstGeom prst="rect">
                          <a:avLst/>
                        </a:prstGeom>
                        <a:noFill/>
                        <a:ln w="6350">
                          <a:noFill/>
                        </a:ln>
                      </wps:spPr>
                      <wps:txbx>
                        <w:txbxContent>
                          <w:p w14:paraId="63938C2F">
                            <w:pPr>
                              <w:rPr>
                                <w:rFonts w:hint="default"/>
                                <w:color w:val="000000"/>
                                <w:lang w:val="en-US" w:eastAsia="zh-CN"/>
                              </w:rPr>
                            </w:pPr>
                            <w:r>
                              <w:rPr>
                                <w:rFonts w:hint="eastAsia" w:ascii="Times New Roman" w:hAnsi="Times New Roman" w:eastAsia="宋体" w:cs="Times New Roman"/>
                                <w:i w:val="0"/>
                                <w:iCs w:val="0"/>
                                <w:color w:val="000000"/>
                                <w:kern w:val="0"/>
                                <w:sz w:val="21"/>
                                <w:szCs w:val="21"/>
                                <w:u w:val="none"/>
                                <w:lang w:val="en-US" w:eastAsia="zh-CN" w:bidi="ar"/>
                              </w:rPr>
                              <w:t>52801.8</w:t>
                            </w:r>
                          </w:p>
                        </w:txbxContent>
                      </wps:txbx>
                      <wps:bodyPr vert="horz" wrap="square" anchor="t" anchorCtr="0" upright="1"/>
                    </wps:wsp>
                  </a:graphicData>
                </a:graphic>
              </wp:anchor>
            </w:drawing>
          </mc:Choice>
          <mc:Fallback>
            <w:pict>
              <v:shape id="文本框 83" o:spid="_x0000_s1026" o:spt="202" type="#_x0000_t202" style="position:absolute;left:0pt;margin-left:43.4pt;margin-top:15.5pt;height:20.05pt;width:50.65pt;z-index:251664384;mso-width-relative:page;mso-height-relative:page;" filled="f" stroked="f" coordsize="21600,21600" o:gfxdata="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5p0jq2AAAAAgBAAAPAAAAAAAAAAEAIAAA&#10;ACIAAABkcnMvZG93bnJldi54bWxQSwECFAAUAAAACACHTuJAQ3FFRtMBAACKAwAADgAAAAAAAAAB&#10;ACAAAAAnAQAAZHJzL2Uyb0RvYy54bWxQSwUGAAAAAAYABgBZAQAAbAUAAAAA&#10;">
                <v:fill on="f" focussize="0,0"/>
                <v:stroke on="f" weight="0.5pt"/>
                <v:imagedata o:title=""/>
                <o:lock v:ext="edit" aspectratio="f"/>
                <v:textbox>
                  <w:txbxContent>
                    <w:p w14:paraId="63938C2F">
                      <w:pPr>
                        <w:rPr>
                          <w:rFonts w:hint="default"/>
                          <w:color w:val="000000"/>
                          <w:lang w:val="en-US" w:eastAsia="zh-CN"/>
                        </w:rPr>
                      </w:pPr>
                      <w:r>
                        <w:rPr>
                          <w:rFonts w:hint="eastAsia" w:ascii="Times New Roman" w:hAnsi="Times New Roman" w:eastAsia="宋体" w:cs="Times New Roman"/>
                          <w:i w:val="0"/>
                          <w:iCs w:val="0"/>
                          <w:color w:val="000000"/>
                          <w:kern w:val="0"/>
                          <w:sz w:val="21"/>
                          <w:szCs w:val="21"/>
                          <w:u w:val="none"/>
                          <w:lang w:val="en-US" w:eastAsia="zh-CN" w:bidi="ar"/>
                        </w:rPr>
                        <w:t>52801.8</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63360" behindDoc="0" locked="0" layoutInCell="1" allowOverlap="1">
                <wp:simplePos x="0" y="0"/>
                <wp:positionH relativeFrom="column">
                  <wp:posOffset>-148590</wp:posOffset>
                </wp:positionH>
                <wp:positionV relativeFrom="paragraph">
                  <wp:posOffset>269875</wp:posOffset>
                </wp:positionV>
                <wp:extent cx="688340" cy="296545"/>
                <wp:effectExtent l="4445" t="4445" r="12065" b="22860"/>
                <wp:wrapNone/>
                <wp:docPr id="4" name="文本框 72"/>
                <wp:cNvGraphicFramePr/>
                <a:graphic xmlns:a="http://schemas.openxmlformats.org/drawingml/2006/main">
                  <a:graphicData uri="http://schemas.microsoft.com/office/word/2010/wordprocessingShape">
                    <wps:wsp>
                      <wps:cNvSpPr txBox="1"/>
                      <wps:spPr>
                        <a:xfrm>
                          <a:off x="0" y="0"/>
                          <a:ext cx="688340" cy="296545"/>
                        </a:xfrm>
                        <a:prstGeom prst="rect">
                          <a:avLst/>
                        </a:prstGeom>
                        <a:noFill/>
                        <a:ln w="6350" cap="flat" cmpd="sng">
                          <a:solidFill>
                            <a:srgbClr val="000000"/>
                          </a:solidFill>
                          <a:prstDash val="solid"/>
                          <a:round/>
                          <a:headEnd type="none" w="med" len="med"/>
                          <a:tailEnd type="none" w="med" len="med"/>
                        </a:ln>
                      </wps:spPr>
                      <wps:txbx>
                        <w:txbxContent>
                          <w:p w14:paraId="2FDE64D9">
                            <w:pPr>
                              <w:jc w:val="center"/>
                            </w:pPr>
                            <w:r>
                              <w:rPr>
                                <w:rFonts w:hint="eastAsia"/>
                              </w:rPr>
                              <w:t>新鲜</w:t>
                            </w:r>
                            <w:r>
                              <w:rPr>
                                <w:rFonts w:hint="eastAsia"/>
                                <w:lang w:val="en-US" w:eastAsia="zh-CN"/>
                              </w:rPr>
                              <w:t>水</w:t>
                            </w:r>
                            <w:r>
                              <w:rPr>
                                <w:rFonts w:hint="eastAsia"/>
                              </w:rPr>
                              <w:t>水</w:t>
                            </w:r>
                          </w:p>
                        </w:txbxContent>
                      </wps:txbx>
                      <wps:bodyPr vert="horz" wrap="square" anchor="t" anchorCtr="0" upright="1"/>
                    </wps:wsp>
                  </a:graphicData>
                </a:graphic>
              </wp:anchor>
            </w:drawing>
          </mc:Choice>
          <mc:Fallback>
            <w:pict>
              <v:shape id="文本框 72" o:spid="_x0000_s1026" o:spt="202" type="#_x0000_t202" style="position:absolute;left:0pt;margin-left:-11.7pt;margin-top:21.25pt;height:23.35pt;width:54.2pt;z-index:251663360;mso-width-relative:page;mso-height-relative:page;" filled="f" stroked="t" coordsize="21600,21600" o:gfxdata="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6&#10;SKq12QAAAAgBAAAPAAAAAAAAAAEAIAAAACIAAABkcnMvZG93bnJldi54bWxQSwECFAAUAAAACACH&#10;TuJAxkje1SMCAABABAAADgAAAAAAAAABACAAAAAoAQAAZHJzL2Uyb0RvYy54bWxQSwUGAAAAAAYA&#10;BgBZAQAAvQUAAAAA&#10;">
                <v:fill on="f" focussize="0,0"/>
                <v:stroke weight="0.5pt" color="#000000" joinstyle="round"/>
                <v:imagedata o:title=""/>
                <o:lock v:ext="edit" aspectratio="f"/>
                <v:textbox>
                  <w:txbxContent>
                    <w:p w14:paraId="2FDE64D9">
                      <w:pPr>
                        <w:jc w:val="center"/>
                      </w:pPr>
                      <w:r>
                        <w:rPr>
                          <w:rFonts w:hint="eastAsia"/>
                        </w:rPr>
                        <w:t>新鲜</w:t>
                      </w:r>
                      <w:r>
                        <w:rPr>
                          <w:rFonts w:hint="eastAsia"/>
                          <w:lang w:val="en-US" w:eastAsia="zh-CN"/>
                        </w:rPr>
                        <w:t>水</w:t>
                      </w:r>
                      <w:r>
                        <w:rPr>
                          <w:rFonts w:hint="eastAsia"/>
                        </w:rPr>
                        <w:t>水</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91008" behindDoc="0" locked="0" layoutInCell="1" allowOverlap="1">
                <wp:simplePos x="0" y="0"/>
                <wp:positionH relativeFrom="column">
                  <wp:posOffset>3402330</wp:posOffset>
                </wp:positionH>
                <wp:positionV relativeFrom="paragraph">
                  <wp:posOffset>280670</wp:posOffset>
                </wp:positionV>
                <wp:extent cx="492125" cy="254635"/>
                <wp:effectExtent l="0" t="0" r="0" b="0"/>
                <wp:wrapNone/>
                <wp:docPr id="38" name="文本框 87"/>
                <wp:cNvGraphicFramePr/>
                <a:graphic xmlns:a="http://schemas.openxmlformats.org/drawingml/2006/main">
                  <a:graphicData uri="http://schemas.microsoft.com/office/word/2010/wordprocessingShape">
                    <wps:wsp>
                      <wps:cNvSpPr txBox="1"/>
                      <wps:spPr>
                        <a:xfrm>
                          <a:off x="0" y="0"/>
                          <a:ext cx="492125" cy="254635"/>
                        </a:xfrm>
                        <a:prstGeom prst="rect">
                          <a:avLst/>
                        </a:prstGeom>
                        <a:noFill/>
                        <a:ln w="6350">
                          <a:noFill/>
                        </a:ln>
                      </wps:spPr>
                      <wps:txbx>
                        <w:txbxContent>
                          <w:p w14:paraId="10F4C28A">
                            <w:pPr>
                              <w:rPr>
                                <w:rFonts w:hint="default" w:ascii="Times New Roman" w:hAnsi="Times New Roman" w:cs="Times New Roman"/>
                                <w:lang w:val="en-US" w:eastAsia="zh-CN"/>
                              </w:rPr>
                            </w:pPr>
                            <w:r>
                              <w:rPr>
                                <w:rFonts w:hint="eastAsia" w:ascii="Times New Roman" w:hAnsi="Times New Roman" w:eastAsia="宋体" w:cs="Times New Roman"/>
                                <w:i w:val="0"/>
                                <w:iCs w:val="0"/>
                                <w:color w:val="000000"/>
                                <w:kern w:val="0"/>
                                <w:sz w:val="22"/>
                                <w:szCs w:val="22"/>
                                <w:u w:val="none"/>
                                <w:lang w:val="en-US" w:eastAsia="zh-CN" w:bidi="ar"/>
                              </w:rPr>
                              <w:t>1560</w:t>
                            </w:r>
                          </w:p>
                        </w:txbxContent>
                      </wps:txbx>
                      <wps:bodyPr vert="horz" wrap="square" anchor="t" anchorCtr="0" upright="1"/>
                    </wps:wsp>
                  </a:graphicData>
                </a:graphic>
              </wp:anchor>
            </w:drawing>
          </mc:Choice>
          <mc:Fallback>
            <w:pict>
              <v:shape id="文本框 87" o:spid="_x0000_s1026" o:spt="202" type="#_x0000_t202" style="position:absolute;left:0pt;margin-left:267.9pt;margin-top:22.1pt;height:20.05pt;width:38.75pt;z-index:251691008;mso-width-relative:page;mso-height-relative:page;" filled="f" stroked="f" coordsize="21600,21600" o:gfxdata="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oUYDy2gAAAAkBAAAPAAAAAAAAAAEA&#10;IAAAACIAAABkcnMvZG93bnJldi54bWxQSwECFAAUAAAACACHTuJAOeQ1wtQBAACLAwAADgAAAAAA&#10;AAABACAAAAApAQAAZHJzL2Uyb0RvYy54bWxQSwUGAAAAAAYABgBZAQAAbwUAAAAA&#10;">
                <v:fill on="f" focussize="0,0"/>
                <v:stroke on="f" weight="0.5pt"/>
                <v:imagedata o:title=""/>
                <o:lock v:ext="edit" aspectratio="f"/>
                <v:textbox>
                  <w:txbxContent>
                    <w:p w14:paraId="10F4C28A">
                      <w:pPr>
                        <w:rPr>
                          <w:rFonts w:hint="default" w:ascii="Times New Roman" w:hAnsi="Times New Roman" w:cs="Times New Roman"/>
                          <w:lang w:val="en-US" w:eastAsia="zh-CN"/>
                        </w:rPr>
                      </w:pPr>
                      <w:r>
                        <w:rPr>
                          <w:rFonts w:hint="eastAsia" w:ascii="Times New Roman" w:hAnsi="Times New Roman" w:eastAsia="宋体" w:cs="Times New Roman"/>
                          <w:i w:val="0"/>
                          <w:iCs w:val="0"/>
                          <w:color w:val="000000"/>
                          <w:kern w:val="0"/>
                          <w:sz w:val="22"/>
                          <w:szCs w:val="22"/>
                          <w:u w:val="none"/>
                          <w:lang w:val="en-US" w:eastAsia="zh-CN" w:bidi="ar"/>
                        </w:rPr>
                        <w:t>1560</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9984" behindDoc="0" locked="0" layoutInCell="1" allowOverlap="1">
                <wp:simplePos x="0" y="0"/>
                <wp:positionH relativeFrom="column">
                  <wp:posOffset>2764790</wp:posOffset>
                </wp:positionH>
                <wp:positionV relativeFrom="paragraph">
                  <wp:posOffset>76200</wp:posOffset>
                </wp:positionV>
                <wp:extent cx="682625" cy="254635"/>
                <wp:effectExtent l="0" t="0" r="0" b="0"/>
                <wp:wrapNone/>
                <wp:docPr id="37" name="文本框 87"/>
                <wp:cNvGraphicFramePr/>
                <a:graphic xmlns:a="http://schemas.openxmlformats.org/drawingml/2006/main">
                  <a:graphicData uri="http://schemas.microsoft.com/office/word/2010/wordprocessingShape">
                    <wps:wsp>
                      <wps:cNvSpPr txBox="1"/>
                      <wps:spPr>
                        <a:xfrm>
                          <a:off x="0" y="0"/>
                          <a:ext cx="682625" cy="254635"/>
                        </a:xfrm>
                        <a:prstGeom prst="rect">
                          <a:avLst/>
                        </a:prstGeom>
                        <a:noFill/>
                        <a:ln w="6350">
                          <a:noFill/>
                        </a:ln>
                      </wps:spPr>
                      <wps:txbx>
                        <w:txbxContent>
                          <w:p w14:paraId="3F9E08B1">
                            <w:pPr>
                              <w:rPr>
                                <w:rFonts w:hint="default" w:ascii="Times New Roman" w:hAnsi="Times New Roman" w:cs="Times New Roman"/>
                                <w:lang w:val="en-US" w:eastAsia="zh-CN"/>
                              </w:rPr>
                            </w:pPr>
                            <w:r>
                              <w:rPr>
                                <w:rFonts w:hint="eastAsia" w:ascii="Times New Roman" w:hAnsi="Times New Roman" w:eastAsia="宋体" w:cs="Times New Roman"/>
                                <w:i w:val="0"/>
                                <w:iCs w:val="0"/>
                                <w:color w:val="000000"/>
                                <w:kern w:val="0"/>
                                <w:sz w:val="22"/>
                                <w:szCs w:val="22"/>
                                <w:u w:val="none"/>
                                <w:lang w:val="en-US" w:eastAsia="zh-CN" w:bidi="ar"/>
                              </w:rPr>
                              <w:t>360</w:t>
                            </w:r>
                          </w:p>
                        </w:txbxContent>
                      </wps:txbx>
                      <wps:bodyPr vert="horz" wrap="square" anchor="t" anchorCtr="0" upright="1"/>
                    </wps:wsp>
                  </a:graphicData>
                </a:graphic>
              </wp:anchor>
            </w:drawing>
          </mc:Choice>
          <mc:Fallback>
            <w:pict>
              <v:shape id="文本框 87" o:spid="_x0000_s1026" o:spt="202" type="#_x0000_t202" style="position:absolute;left:0pt;margin-left:217.7pt;margin-top:6pt;height:20.05pt;width:53.75pt;z-index:251689984;mso-width-relative:page;mso-height-relative:page;" filled="f" stroked="f" coordsize="21600,21600" o:gfxdata="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ZOaIc2QAAAAkBAAAPAAAAAAAAAAEA&#10;IAAAACIAAABkcnMvZG93bnJldi54bWxQSwECFAAUAAAACACHTuJAIgPNadUBAACLAwAADgAAAAAA&#10;AAABACAAAAAoAQAAZHJzL2Uyb0RvYy54bWxQSwUGAAAAAAYABgBZAQAAbwUAAAAA&#10;">
                <v:fill on="f" focussize="0,0"/>
                <v:stroke on="f" weight="0.5pt"/>
                <v:imagedata o:title=""/>
                <o:lock v:ext="edit" aspectratio="f"/>
                <v:textbox>
                  <w:txbxContent>
                    <w:p w14:paraId="3F9E08B1">
                      <w:pPr>
                        <w:rPr>
                          <w:rFonts w:hint="default" w:ascii="Times New Roman" w:hAnsi="Times New Roman" w:cs="Times New Roman"/>
                          <w:lang w:val="en-US" w:eastAsia="zh-CN"/>
                        </w:rPr>
                      </w:pPr>
                      <w:r>
                        <w:rPr>
                          <w:rFonts w:hint="eastAsia" w:ascii="Times New Roman" w:hAnsi="Times New Roman" w:eastAsia="宋体" w:cs="Times New Roman"/>
                          <w:i w:val="0"/>
                          <w:iCs w:val="0"/>
                          <w:color w:val="000000"/>
                          <w:kern w:val="0"/>
                          <w:sz w:val="22"/>
                          <w:szCs w:val="22"/>
                          <w:u w:val="none"/>
                          <w:lang w:val="en-US" w:eastAsia="zh-CN" w:bidi="ar"/>
                        </w:rPr>
                        <w:t>360</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7936" behindDoc="0" locked="0" layoutInCell="1" allowOverlap="1">
                <wp:simplePos x="0" y="0"/>
                <wp:positionH relativeFrom="column">
                  <wp:posOffset>2590800</wp:posOffset>
                </wp:positionH>
                <wp:positionV relativeFrom="paragraph">
                  <wp:posOffset>277495</wp:posOffset>
                </wp:positionV>
                <wp:extent cx="224155" cy="163195"/>
                <wp:effectExtent l="2540" t="0" r="1905" b="8255"/>
                <wp:wrapNone/>
                <wp:docPr id="35" name="直接箭头连接符 86"/>
                <wp:cNvGraphicFramePr/>
                <a:graphic xmlns:a="http://schemas.openxmlformats.org/drawingml/2006/main">
                  <a:graphicData uri="http://schemas.microsoft.com/office/word/2010/wordprocessingShape">
                    <wps:wsp>
                      <wps:cNvCnPr/>
                      <wps:spPr>
                        <a:xfrm flipV="1">
                          <a:off x="0" y="0"/>
                          <a:ext cx="224155" cy="163195"/>
                        </a:xfrm>
                        <a:prstGeom prst="straightConnector1">
                          <a:avLst/>
                        </a:prstGeom>
                        <a:ln w="0" cap="flat" cmpd="sng">
                          <a:solidFill>
                            <a:srgbClr val="000000"/>
                          </a:solidFill>
                          <a:prstDash val="sysDash"/>
                          <a:miter/>
                          <a:headEnd type="none" w="med" len="med"/>
                          <a:tailEnd type="triangle" w="sm" len="med"/>
                        </a:ln>
                      </wps:spPr>
                      <wps:bodyPr/>
                    </wps:wsp>
                  </a:graphicData>
                </a:graphic>
              </wp:anchor>
            </w:drawing>
          </mc:Choice>
          <mc:Fallback>
            <w:pict>
              <v:shape id="直接箭头连接符 86" o:spid="_x0000_s1026" o:spt="32" type="#_x0000_t32" style="position:absolute;left:0pt;flip:y;margin-left:204pt;margin-top:21.85pt;height:12.85pt;width:17.65pt;z-index:251687936;mso-width-relative:page;mso-height-relative:page;" filled="f" stroked="t" coordsize="21600,21600" o:gfxdata="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0jXc1wAAAAkBAAAPAAAA&#10;AAAAAAEAIAAAACIAAABkcnMvZG93bnJldi54bWxQSwECFAAUAAAACACHTuJAF10NFhYCAAAIBAAA&#10;DgAAAAAAAAABACAAAAAmAQAAZHJzL2Uyb0RvYy54bWxQSwUGAAAAAAYABgBZAQAArgUAAAAA&#10;">
                <v:fill on="f" focussize="0,0"/>
                <v:stroke weight="0pt" color="#000000" joinstyle="miter" dashstyle="3 1" endarrow="block" endarrowwidth="narrow"/>
                <v:imagedata o:title=""/>
                <o:lock v:ext="edit" aspectratio="f"/>
              </v:shape>
            </w:pict>
          </mc:Fallback>
        </mc:AlternateContent>
      </w:r>
    </w:p>
    <w:p w14:paraId="72D2C9E1">
      <w:pPr>
        <w:widowControl/>
        <w:spacing w:after="200"/>
        <w:jc w:val="center"/>
        <w:rPr>
          <w:rFonts w:hint="default" w:ascii="Times New Roman" w:hAnsi="Times New Roman" w:cs="Times New Roman"/>
          <w:b/>
          <w:bCs/>
          <w:color w:val="FF0000"/>
          <w:sz w:val="24"/>
          <w:lang w:eastAsia="en-US" w:bidi="en-US"/>
        </w:rPr>
      </w:pPr>
      <w:r>
        <w:rPr>
          <w:rFonts w:hint="default" w:ascii="Times New Roman" w:hAnsi="Times New Roman" w:cs="Times New Roman"/>
          <w:color w:val="FF0000"/>
          <w:sz w:val="24"/>
        </w:rPr>
        <mc:AlternateContent>
          <mc:Choice Requires="wps">
            <w:drawing>
              <wp:anchor distT="0" distB="0" distL="114300" distR="114300" simplePos="0" relativeHeight="251692032" behindDoc="0" locked="0" layoutInCell="1" allowOverlap="1">
                <wp:simplePos x="0" y="0"/>
                <wp:positionH relativeFrom="column">
                  <wp:posOffset>543560</wp:posOffset>
                </wp:positionH>
                <wp:positionV relativeFrom="paragraph">
                  <wp:posOffset>113665</wp:posOffset>
                </wp:positionV>
                <wp:extent cx="638810" cy="0"/>
                <wp:effectExtent l="0" t="25400" r="8890" b="31750"/>
                <wp:wrapNone/>
                <wp:docPr id="39" name="直接箭头连接符 79"/>
                <wp:cNvGraphicFramePr/>
                <a:graphic xmlns:a="http://schemas.openxmlformats.org/drawingml/2006/main">
                  <a:graphicData uri="http://schemas.microsoft.com/office/word/2010/wordprocessingShape">
                    <wps:wsp>
                      <wps:cNvCnPr/>
                      <wps:spPr>
                        <a:xfrm>
                          <a:off x="0" y="0"/>
                          <a:ext cx="638810" cy="0"/>
                        </a:xfrm>
                        <a:prstGeom prst="straightConnector1">
                          <a:avLst/>
                        </a:prstGeom>
                        <a:ln w="6350" cap="flat" cmpd="sng">
                          <a:solidFill>
                            <a:srgbClr val="000000"/>
                          </a:solidFill>
                          <a:prstDash val="solid"/>
                          <a:miter/>
                          <a:headEnd type="none" w="med" len="med"/>
                          <a:tailEnd type="triangle" w="sm" len="med"/>
                        </a:ln>
                      </wps:spPr>
                      <wps:bodyPr/>
                    </wps:wsp>
                  </a:graphicData>
                </a:graphic>
              </wp:anchor>
            </w:drawing>
          </mc:Choice>
          <mc:Fallback>
            <w:pict>
              <v:shape id="直接箭头连接符 79" o:spid="_x0000_s1026" o:spt="32" type="#_x0000_t32" style="position:absolute;left:0pt;margin-left:42.8pt;margin-top:8.95pt;height:0pt;width:50.3pt;z-index:251692032;mso-width-relative:page;mso-height-relative:page;" filled="f" stroked="t" coordsize="21600,21600" o:gfxdata="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vHztUAAAAIAQAADwAAAAAAAAABACAAAAAiAAAA&#10;ZHJzL2Rvd25yZXYueG1sUEsBAhQAFAAAAAgAh07iQF/rpNkKAgAA+gMAAA4AAAAAAAAAAQAgAAAA&#10;JAEAAGRycy9lMm9Eb2MueG1sUEsFBgAAAAAGAAYAWQEAAKAFAAAAAA==&#10;">
                <v:fill on="f" focussize="0,0"/>
                <v:stroke weight="0.5pt" color="#000000" joinstyle="miter" endarrow="block" endarrowwidth="narrow"/>
                <v:imagedata o:title=""/>
                <o:lock v:ext="edit" aspectratio="f"/>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8960" behindDoc="0" locked="0" layoutInCell="1" allowOverlap="1">
                <wp:simplePos x="0" y="0"/>
                <wp:positionH relativeFrom="column">
                  <wp:posOffset>3369945</wp:posOffset>
                </wp:positionH>
                <wp:positionV relativeFrom="paragraph">
                  <wp:posOffset>270510</wp:posOffset>
                </wp:positionV>
                <wp:extent cx="536575" cy="3810"/>
                <wp:effectExtent l="0" t="22225" r="15875" b="31115"/>
                <wp:wrapNone/>
                <wp:docPr id="36" name="直接箭头连接符 88"/>
                <wp:cNvGraphicFramePr/>
                <a:graphic xmlns:a="http://schemas.openxmlformats.org/drawingml/2006/main">
                  <a:graphicData uri="http://schemas.microsoft.com/office/word/2010/wordprocessingShape">
                    <wps:wsp>
                      <wps:cNvCnPr/>
                      <wps:spPr>
                        <a:xfrm>
                          <a:off x="0" y="0"/>
                          <a:ext cx="536575" cy="3810"/>
                        </a:xfrm>
                        <a:prstGeom prst="straightConnector1">
                          <a:avLst/>
                        </a:prstGeom>
                        <a:ln w="6350" cap="flat" cmpd="sng">
                          <a:solidFill>
                            <a:srgbClr val="000000"/>
                          </a:solidFill>
                          <a:prstDash val="solid"/>
                          <a:miter/>
                          <a:headEnd type="none" w="med" len="med"/>
                          <a:tailEnd type="triangle" w="sm" len="med"/>
                        </a:ln>
                      </wps:spPr>
                      <wps:bodyPr/>
                    </wps:wsp>
                  </a:graphicData>
                </a:graphic>
              </wp:anchor>
            </w:drawing>
          </mc:Choice>
          <mc:Fallback>
            <w:pict>
              <v:shape id="直接箭头连接符 88" o:spid="_x0000_s1026" o:spt="32" type="#_x0000_t32" style="position:absolute;left:0pt;margin-left:265.35pt;margin-top:21.3pt;height:0.3pt;width:42.25pt;z-index:251688960;mso-width-relative:page;mso-height-relative:page;" filled="f" stroked="t" coordsize="21600,21600" o:gfxdata="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RQL1dgAAAAJAQAADwAAAAAAAAAB&#10;ACAAAAAiAAAAZHJzL2Rvd25yZXYueG1sUEsBAhQAFAAAAAgAh07iQL1OIXQQAgAA/QMAAA4AAAAA&#10;AAAAAQAgAAAAJwEAAGRycy9lMm9Eb2MueG1sUEsFBgAAAAAGAAYAWQEAAKkFAAAAAA==&#10;">
                <v:fill on="f" focussize="0,0"/>
                <v:stroke weight="0.5pt" color="#000000" joinstyle="miter" endarrow="block" endarrowwidth="narrow"/>
                <v:imagedata o:title=""/>
                <o:lock v:ext="edit" aspectratio="f"/>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6912" behindDoc="0" locked="0" layoutInCell="1" allowOverlap="1">
                <wp:simplePos x="0" y="0"/>
                <wp:positionH relativeFrom="column">
                  <wp:posOffset>1200150</wp:posOffset>
                </wp:positionH>
                <wp:positionV relativeFrom="paragraph">
                  <wp:posOffset>24130</wp:posOffset>
                </wp:positionV>
                <wp:extent cx="616585" cy="254635"/>
                <wp:effectExtent l="0" t="0" r="0" b="0"/>
                <wp:wrapNone/>
                <wp:docPr id="34" name="文本框 127"/>
                <wp:cNvGraphicFramePr/>
                <a:graphic xmlns:a="http://schemas.openxmlformats.org/drawingml/2006/main">
                  <a:graphicData uri="http://schemas.microsoft.com/office/word/2010/wordprocessingShape">
                    <wps:wsp>
                      <wps:cNvSpPr txBox="1"/>
                      <wps:spPr>
                        <a:xfrm>
                          <a:off x="0" y="0"/>
                          <a:ext cx="616585" cy="254635"/>
                        </a:xfrm>
                        <a:prstGeom prst="rect">
                          <a:avLst/>
                        </a:prstGeom>
                        <a:noFill/>
                        <a:ln w="6350">
                          <a:noFill/>
                        </a:ln>
                      </wps:spPr>
                      <wps:txbx>
                        <w:txbxContent>
                          <w:p w14:paraId="183E3BA4">
                            <w:pPr>
                              <w:rPr>
                                <w:rFonts w:hint="default"/>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1920</w:t>
                            </w:r>
                          </w:p>
                        </w:txbxContent>
                      </wps:txbx>
                      <wps:bodyPr vert="horz" wrap="square" anchor="t" anchorCtr="0" upright="1"/>
                    </wps:wsp>
                  </a:graphicData>
                </a:graphic>
              </wp:anchor>
            </w:drawing>
          </mc:Choice>
          <mc:Fallback>
            <w:pict>
              <v:shape id="文本框 127" o:spid="_x0000_s1026" o:spt="202" type="#_x0000_t202" style="position:absolute;left:0pt;margin-left:94.5pt;margin-top:1.9pt;height:20.05pt;width:48.55pt;z-index:251686912;mso-width-relative:page;mso-height-relative:page;" filled="f" stroked="f" coordsize="21600,21600" o:gfxdata="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9hGRG9kAAAAIAQAADwAAAAAAAAAB&#10;ACAAAAAiAAAAZHJzL2Rvd25yZXYueG1sUEsBAhQAFAAAAAgAh07iQCshFOvWAQAAjAMAAA4AAAAA&#10;AAAAAQAgAAAAKAEAAGRycy9lMm9Eb2MueG1sUEsFBgAAAAAGAAYAWQEAAHAFAAAAAA==&#10;">
                <v:fill on="f" focussize="0,0"/>
                <v:stroke on="f" weight="0.5pt"/>
                <v:imagedata o:title=""/>
                <o:lock v:ext="edit" aspectratio="f"/>
                <v:textbox>
                  <w:txbxContent>
                    <w:p w14:paraId="183E3BA4">
                      <w:pPr>
                        <w:rPr>
                          <w:rFonts w:hint="default"/>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1920</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5888" behindDoc="0" locked="0" layoutInCell="1" allowOverlap="1">
                <wp:simplePos x="0" y="0"/>
                <wp:positionH relativeFrom="column">
                  <wp:posOffset>1820545</wp:posOffset>
                </wp:positionH>
                <wp:positionV relativeFrom="paragraph">
                  <wp:posOffset>138430</wp:posOffset>
                </wp:positionV>
                <wp:extent cx="1540510" cy="296545"/>
                <wp:effectExtent l="4445" t="4445" r="17145" b="22860"/>
                <wp:wrapNone/>
                <wp:docPr id="33" name="文本框 85"/>
                <wp:cNvGraphicFramePr/>
                <a:graphic xmlns:a="http://schemas.openxmlformats.org/drawingml/2006/main">
                  <a:graphicData uri="http://schemas.microsoft.com/office/word/2010/wordprocessingShape">
                    <wps:wsp>
                      <wps:cNvSpPr txBox="1"/>
                      <wps:spPr>
                        <a:xfrm>
                          <a:off x="0" y="0"/>
                          <a:ext cx="1540510" cy="296545"/>
                        </a:xfrm>
                        <a:prstGeom prst="rect">
                          <a:avLst/>
                        </a:prstGeom>
                        <a:noFill/>
                        <a:ln w="6350" cap="flat" cmpd="sng">
                          <a:solidFill>
                            <a:srgbClr val="000000"/>
                          </a:solidFill>
                          <a:prstDash val="solid"/>
                          <a:round/>
                          <a:headEnd type="none" w="med" len="med"/>
                          <a:tailEnd type="none" w="med" len="med"/>
                        </a:ln>
                      </wps:spPr>
                      <wps:txbx>
                        <w:txbxContent>
                          <w:p w14:paraId="273F3DB3">
                            <w:pPr>
                              <w:jc w:val="center"/>
                            </w:pPr>
                            <w:r>
                              <w:rPr>
                                <w:rFonts w:hint="eastAsia"/>
                                <w:lang w:val="en-US" w:eastAsia="zh-CN"/>
                              </w:rPr>
                              <w:t>粪便收集设施冲洗</w:t>
                            </w:r>
                            <w:r>
                              <w:rPr>
                                <w:rFonts w:hint="eastAsia"/>
                              </w:rPr>
                              <w:t>用水</w:t>
                            </w:r>
                          </w:p>
                        </w:txbxContent>
                      </wps:txbx>
                      <wps:bodyPr vert="horz" wrap="square" anchor="t" anchorCtr="0" upright="1"/>
                    </wps:wsp>
                  </a:graphicData>
                </a:graphic>
              </wp:anchor>
            </w:drawing>
          </mc:Choice>
          <mc:Fallback>
            <w:pict>
              <v:shape id="文本框 85" o:spid="_x0000_s1026" o:spt="202" type="#_x0000_t202" style="position:absolute;left:0pt;margin-left:143.35pt;margin-top:10.9pt;height:23.35pt;width:121.3pt;z-index:251685888;mso-width-relative:page;mso-height-relative:page;" filled="f" stroked="t" coordsize="21600,21600" o:gfxdata="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6WhQa2gAAAAkBAAAPAAAAAAAAAAEAIAAAACIAAABkcnMvZG93bnJldi54bWxQSwECFAAUAAAA&#10;CACHTuJAta88UyUCAABCBAAADgAAAAAAAAABACAAAAApAQAAZHJzL2Uyb0RvYy54bWxQSwUGAAAA&#10;AAYABgBZAQAAwAUAAAAA&#10;">
                <v:fill on="f" focussize="0,0"/>
                <v:stroke weight="0.5pt" color="#000000" joinstyle="round"/>
                <v:imagedata o:title=""/>
                <o:lock v:ext="edit" aspectratio="f"/>
                <v:textbox>
                  <w:txbxContent>
                    <w:p w14:paraId="273F3DB3">
                      <w:pPr>
                        <w:jc w:val="center"/>
                      </w:pPr>
                      <w:r>
                        <w:rPr>
                          <w:rFonts w:hint="eastAsia"/>
                          <w:lang w:val="en-US" w:eastAsia="zh-CN"/>
                        </w:rPr>
                        <w:t>粪便收集设施冲洗</w:t>
                      </w:r>
                      <w:r>
                        <w:rPr>
                          <w:rFonts w:hint="eastAsia"/>
                        </w:rPr>
                        <w:t>用水</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4864" behindDoc="0" locked="0" layoutInCell="1" allowOverlap="1">
                <wp:simplePos x="0" y="0"/>
                <wp:positionH relativeFrom="column">
                  <wp:posOffset>1175385</wp:posOffset>
                </wp:positionH>
                <wp:positionV relativeFrom="paragraph">
                  <wp:posOffset>287020</wp:posOffset>
                </wp:positionV>
                <wp:extent cx="638810" cy="0"/>
                <wp:effectExtent l="0" t="25400" r="8890" b="31750"/>
                <wp:wrapNone/>
                <wp:docPr id="32" name="直接箭头连接符 79"/>
                <wp:cNvGraphicFramePr/>
                <a:graphic xmlns:a="http://schemas.openxmlformats.org/drawingml/2006/main">
                  <a:graphicData uri="http://schemas.microsoft.com/office/word/2010/wordprocessingShape">
                    <wps:wsp>
                      <wps:cNvCnPr/>
                      <wps:spPr>
                        <a:xfrm>
                          <a:off x="0" y="0"/>
                          <a:ext cx="638810" cy="0"/>
                        </a:xfrm>
                        <a:prstGeom prst="straightConnector1">
                          <a:avLst/>
                        </a:prstGeom>
                        <a:ln w="6350" cap="flat" cmpd="sng">
                          <a:solidFill>
                            <a:srgbClr val="000000"/>
                          </a:solidFill>
                          <a:prstDash val="solid"/>
                          <a:miter/>
                          <a:headEnd type="none" w="med" len="med"/>
                          <a:tailEnd type="triangle" w="sm" len="med"/>
                        </a:ln>
                      </wps:spPr>
                      <wps:bodyPr/>
                    </wps:wsp>
                  </a:graphicData>
                </a:graphic>
              </wp:anchor>
            </w:drawing>
          </mc:Choice>
          <mc:Fallback>
            <w:pict>
              <v:shape id="直接箭头连接符 79" o:spid="_x0000_s1026" o:spt="32" type="#_x0000_t32" style="position:absolute;left:0pt;margin-left:92.55pt;margin-top:22.6pt;height:0pt;width:50.3pt;z-index:251684864;mso-width-relative:page;mso-height-relative:page;" filled="f" stroked="t" coordsize="21600,21600" o:gfxdata="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HRNk1wAAAAkBAAAPAAAAAAAAAAEAIAAAACIA&#10;AABkcnMvZG93bnJldi54bWxQSwECFAAUAAAACACHTuJAyp3j5QoCAAD6AwAADgAAAAAAAAABACAA&#10;AAAmAQAAZHJzL2Uyb0RvYy54bWxQSwUGAAAAAAYABgBZAQAAogUAAAAA&#10;">
                <v:fill on="f" focussize="0,0"/>
                <v:stroke weight="0.5pt" color="#000000" joinstyle="miter" endarrow="block" endarrowwidth="narrow"/>
                <v:imagedata o:title=""/>
                <o:lock v:ext="edit" aspectratio="f"/>
              </v:shape>
            </w:pict>
          </mc:Fallback>
        </mc:AlternateContent>
      </w:r>
    </w:p>
    <w:p w14:paraId="7819B21F">
      <w:pPr>
        <w:widowControl/>
        <w:spacing w:after="200"/>
        <w:jc w:val="center"/>
        <w:rPr>
          <w:rFonts w:hint="default" w:ascii="Times New Roman" w:hAnsi="Times New Roman" w:cs="Times New Roman"/>
          <w:b/>
          <w:bCs/>
          <w:color w:val="FF0000"/>
          <w:sz w:val="24"/>
          <w:lang w:eastAsia="en-US" w:bidi="en-US"/>
        </w:rPr>
      </w:pPr>
      <w:r>
        <w:rPr>
          <w:rFonts w:hint="default" w:ascii="Times New Roman" w:hAnsi="Times New Roman" w:cs="Times New Roman"/>
          <w:color w:val="FF0000"/>
          <w:sz w:val="24"/>
        </w:rPr>
        <mc:AlternateContent>
          <mc:Choice Requires="wps">
            <w:drawing>
              <wp:anchor distT="0" distB="0" distL="114300" distR="114300" simplePos="0" relativeHeight="251698176" behindDoc="0" locked="0" layoutInCell="1" allowOverlap="1">
                <wp:simplePos x="0" y="0"/>
                <wp:positionH relativeFrom="column">
                  <wp:posOffset>2891155</wp:posOffset>
                </wp:positionH>
                <wp:positionV relativeFrom="paragraph">
                  <wp:posOffset>244475</wp:posOffset>
                </wp:positionV>
                <wp:extent cx="1534160" cy="1681480"/>
                <wp:effectExtent l="0" t="0" r="66040" b="13970"/>
                <wp:wrapNone/>
                <wp:docPr id="49" name="自选图形 48"/>
                <wp:cNvGraphicFramePr/>
                <a:graphic xmlns:a="http://schemas.openxmlformats.org/drawingml/2006/main">
                  <a:graphicData uri="http://schemas.microsoft.com/office/word/2010/wordprocessingShape">
                    <wps:wsp>
                      <wps:cNvCnPr>
                        <a:stCxn id="43" idx="3"/>
                        <a:endCxn id="24" idx="2"/>
                      </wps:cNvCnPr>
                      <wps:spPr>
                        <a:xfrm flipV="1">
                          <a:off x="0" y="0"/>
                          <a:ext cx="1534160" cy="168148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48" o:spid="_x0000_s1026" o:spt="33" type="#_x0000_t33" style="position:absolute;left:0pt;flip:y;margin-left:227.65pt;margin-top:19.25pt;height:132.4pt;width:120.8pt;z-index:251698176;mso-width-relative:page;mso-height-relative:page;" filled="f" stroked="t" coordsize="21600,21600" o:gfxdata="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99UnS2AAAAAoBAAAPAAAAAAAAAAEAIAAAACIAAABkcnMvZG93bnJldi54bWxQSwECFAAUAAAA&#10;CACHTuJA3z9bsCcCAAA+BAAADgAAAAAAAAABACAAAAAnAQAAZHJzL2Uyb0RvYy54bWxQSwUGAAAA&#10;AAYABgBZAQAAwAUAAAAA&#10;">
                <v:fill on="f" focussize="0,0"/>
                <v:stroke color="#000000" joinstyle="miter" endarrow="open"/>
                <v:imagedata o:title=""/>
                <o:lock v:ext="edit" aspectratio="f"/>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78720" behindDoc="0" locked="0" layoutInCell="1" allowOverlap="1">
                <wp:simplePos x="0" y="0"/>
                <wp:positionH relativeFrom="column">
                  <wp:posOffset>2280920</wp:posOffset>
                </wp:positionH>
                <wp:positionV relativeFrom="paragraph">
                  <wp:posOffset>247015</wp:posOffset>
                </wp:positionV>
                <wp:extent cx="539115" cy="242570"/>
                <wp:effectExtent l="0" t="0" r="0" b="0"/>
                <wp:wrapNone/>
                <wp:docPr id="26" name="文本框 31"/>
                <wp:cNvGraphicFramePr/>
                <a:graphic xmlns:a="http://schemas.openxmlformats.org/drawingml/2006/main">
                  <a:graphicData uri="http://schemas.microsoft.com/office/word/2010/wordprocessingShape">
                    <wps:wsp>
                      <wps:cNvSpPr txBox="1"/>
                      <wps:spPr>
                        <a:xfrm>
                          <a:off x="0" y="0"/>
                          <a:ext cx="539115" cy="242570"/>
                        </a:xfrm>
                        <a:prstGeom prst="rect">
                          <a:avLst/>
                        </a:prstGeom>
                        <a:noFill/>
                        <a:ln w="6350">
                          <a:noFill/>
                        </a:ln>
                      </wps:spPr>
                      <wps:txbx>
                        <w:txbxContent>
                          <w:p w14:paraId="28A4960B">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130.8</w:t>
                            </w:r>
                          </w:p>
                        </w:txbxContent>
                      </wps:txbx>
                      <wps:bodyPr vert="horz" wrap="square" anchor="t" anchorCtr="0" upright="1"/>
                    </wps:wsp>
                  </a:graphicData>
                </a:graphic>
              </wp:anchor>
            </w:drawing>
          </mc:Choice>
          <mc:Fallback>
            <w:pict>
              <v:shape id="文本框 31" o:spid="_x0000_s1026" o:spt="202" type="#_x0000_t202" style="position:absolute;left:0pt;margin-left:179.6pt;margin-top:19.45pt;height:19.1pt;width:42.45pt;z-index:251678720;mso-width-relative:page;mso-height-relative:page;" filled="f" stroked="f" coordsize="21600,21600" o:gfxdata="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HMMhbbAAAACQEAAA8AAAAAAAAA&#10;AQAgAAAAIgAAAGRycy9kb3ducmV2LnhtbFBLAQIUABQAAAAIAIdO4kDmr1O81QEAAIsDAAAOAAAA&#10;AAAAAAEAIAAAACoBAABkcnMvZTJvRG9jLnhtbFBLBQYAAAAABgAGAFkBAABxBQAAAAA=&#10;">
                <v:fill on="f" focussize="0,0"/>
                <v:stroke on="f" weight="0.5pt"/>
                <v:imagedata o:title=""/>
                <o:lock v:ext="edit" aspectratio="f"/>
                <v:textbox>
                  <w:txbxContent>
                    <w:p w14:paraId="28A4960B">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130.8</w:t>
                      </w:r>
                    </w:p>
                  </w:txbxContent>
                </v:textbox>
              </v:shape>
            </w:pict>
          </mc:Fallback>
        </mc:AlternateContent>
      </w:r>
    </w:p>
    <w:p w14:paraId="5FBF4EEE">
      <w:pPr>
        <w:spacing w:line="320" w:lineRule="exact"/>
        <w:rPr>
          <w:rFonts w:hint="default" w:ascii="Times New Roman" w:hAnsi="Times New Roman" w:cs="Times New Roman"/>
          <w:b/>
          <w:bCs/>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677696" behindDoc="0" locked="0" layoutInCell="1" allowOverlap="1">
                <wp:simplePos x="0" y="0"/>
                <wp:positionH relativeFrom="column">
                  <wp:posOffset>1172210</wp:posOffset>
                </wp:positionH>
                <wp:positionV relativeFrom="paragraph">
                  <wp:posOffset>62230</wp:posOffset>
                </wp:positionV>
                <wp:extent cx="581025" cy="270510"/>
                <wp:effectExtent l="0" t="0" r="0" b="0"/>
                <wp:wrapNone/>
                <wp:docPr id="25" name="文本框 205"/>
                <wp:cNvGraphicFramePr/>
                <a:graphic xmlns:a="http://schemas.openxmlformats.org/drawingml/2006/main">
                  <a:graphicData uri="http://schemas.microsoft.com/office/word/2010/wordprocessingShape">
                    <wps:wsp>
                      <wps:cNvSpPr txBox="1"/>
                      <wps:spPr>
                        <a:xfrm>
                          <a:off x="0" y="0"/>
                          <a:ext cx="581025" cy="270510"/>
                        </a:xfrm>
                        <a:prstGeom prst="rect">
                          <a:avLst/>
                        </a:prstGeom>
                        <a:noFill/>
                        <a:ln w="6350">
                          <a:noFill/>
                        </a:ln>
                      </wps:spPr>
                      <wps:txbx>
                        <w:txbxContent>
                          <w:p w14:paraId="29E13A7C">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130.8</w:t>
                            </w:r>
                          </w:p>
                        </w:txbxContent>
                      </wps:txbx>
                      <wps:bodyPr vert="horz" wrap="square" anchor="t" anchorCtr="0" upright="1"/>
                    </wps:wsp>
                  </a:graphicData>
                </a:graphic>
              </wp:anchor>
            </w:drawing>
          </mc:Choice>
          <mc:Fallback>
            <w:pict>
              <v:shape id="文本框 205" o:spid="_x0000_s1026" o:spt="202" type="#_x0000_t202" style="position:absolute;left:0pt;margin-left:92.3pt;margin-top:4.9pt;height:21.3pt;width:45.75pt;z-index:251677696;mso-width-relative:page;mso-height-relative:page;" filled="f" stroked="f" coordsize="21600,21600" o:gfxdata="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vXCvN2QAAAAgBAAAPAAAAAAAAAAEA&#10;IAAAACIAAABkcnMvZG93bnJldi54bWxQSwECFAAUAAAACACHTuJA5iFt+tUBAACMAwAADgAAAAAA&#10;AAABACAAAAAoAQAAZHJzL2Uyb0RvYy54bWxQSwUGAAAAAAYABgBZAQAAbwUAAAAA&#10;">
                <v:fill on="f" focussize="0,0"/>
                <v:stroke on="f" weight="0.5pt"/>
                <v:imagedata o:title=""/>
                <o:lock v:ext="edit" aspectratio="f"/>
                <v:textbox>
                  <w:txbxContent>
                    <w:p w14:paraId="29E13A7C">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130.8</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0768" behindDoc="0" locked="0" layoutInCell="1" allowOverlap="1">
                <wp:simplePos x="0" y="0"/>
                <wp:positionH relativeFrom="column">
                  <wp:posOffset>2158365</wp:posOffset>
                </wp:positionH>
                <wp:positionV relativeFrom="paragraph">
                  <wp:posOffset>59690</wp:posOffset>
                </wp:positionV>
                <wp:extent cx="221615" cy="154940"/>
                <wp:effectExtent l="2540" t="0" r="4445" b="16510"/>
                <wp:wrapNone/>
                <wp:docPr id="28" name="直接箭头连接符 86"/>
                <wp:cNvGraphicFramePr/>
                <a:graphic xmlns:a="http://schemas.openxmlformats.org/drawingml/2006/main">
                  <a:graphicData uri="http://schemas.microsoft.com/office/word/2010/wordprocessingShape">
                    <wps:wsp>
                      <wps:cNvCnPr/>
                      <wps:spPr>
                        <a:xfrm flipV="1">
                          <a:off x="0" y="0"/>
                          <a:ext cx="221615" cy="154940"/>
                        </a:xfrm>
                        <a:prstGeom prst="straightConnector1">
                          <a:avLst/>
                        </a:prstGeom>
                        <a:ln w="0" cap="flat" cmpd="sng">
                          <a:solidFill>
                            <a:srgbClr val="000000"/>
                          </a:solidFill>
                          <a:prstDash val="sysDash"/>
                          <a:miter/>
                          <a:headEnd type="none" w="med" len="med"/>
                          <a:tailEnd type="triangle" w="sm" len="med"/>
                        </a:ln>
                      </wps:spPr>
                      <wps:bodyPr/>
                    </wps:wsp>
                  </a:graphicData>
                </a:graphic>
              </wp:anchor>
            </w:drawing>
          </mc:Choice>
          <mc:Fallback>
            <w:pict>
              <v:shape id="直接箭头连接符 86" o:spid="_x0000_s1026" o:spt="32" type="#_x0000_t32" style="position:absolute;left:0pt;flip:y;margin-left:169.95pt;margin-top:4.7pt;height:12.2pt;width:17.45pt;z-index:251680768;mso-width-relative:page;mso-height-relative:page;" filled="f" stroked="t" coordsize="21600,21600" o:gfxdata="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u1Hj1QAAAAgBAAAPAAAA&#10;AAAAAAEAIAAAACIAAABkcnMvZG93bnJldi54bWxQSwECFAAUAAAACACHTuJAhnKhJBgCAAAIBAAA&#10;DgAAAAAAAAABACAAAAAkAQAAZHJzL2Uyb0RvYy54bWxQSwUGAAAAAAYABgBZAQAArgUAAAAA&#10;">
                <v:fill on="f" focussize="0,0"/>
                <v:stroke weight="0pt" color="#000000" joinstyle="miter" dashstyle="3 1" endarrow="block" endarrowwidth="narrow"/>
                <v:imagedata o:title=""/>
                <o:lock v:ext="edit" aspectratio="f"/>
              </v:shape>
            </w:pict>
          </mc:Fallback>
        </mc:AlternateContent>
      </w:r>
    </w:p>
    <w:p w14:paraId="526F84A0">
      <w:pPr>
        <w:spacing w:line="320" w:lineRule="exact"/>
        <w:rPr>
          <w:rFonts w:hint="default" w:ascii="Times New Roman" w:hAnsi="Times New Roman" w:cs="Times New Roman"/>
          <w:b/>
          <w:bCs/>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679744" behindDoc="0" locked="0" layoutInCell="1" allowOverlap="1">
                <wp:simplePos x="0" y="0"/>
                <wp:positionH relativeFrom="column">
                  <wp:posOffset>1759585</wp:posOffset>
                </wp:positionH>
                <wp:positionV relativeFrom="paragraph">
                  <wp:posOffset>8255</wp:posOffset>
                </wp:positionV>
                <wp:extent cx="1112520" cy="281305"/>
                <wp:effectExtent l="5080" t="4445" r="6350" b="19050"/>
                <wp:wrapNone/>
                <wp:docPr id="27" name="文本框 85"/>
                <wp:cNvGraphicFramePr/>
                <a:graphic xmlns:a="http://schemas.openxmlformats.org/drawingml/2006/main">
                  <a:graphicData uri="http://schemas.microsoft.com/office/word/2010/wordprocessingShape">
                    <wps:wsp>
                      <wps:cNvSpPr txBox="1"/>
                      <wps:spPr>
                        <a:xfrm>
                          <a:off x="0" y="0"/>
                          <a:ext cx="1112520" cy="281305"/>
                        </a:xfrm>
                        <a:prstGeom prst="rect">
                          <a:avLst/>
                        </a:prstGeom>
                        <a:noFill/>
                        <a:ln w="6350" cap="flat" cmpd="sng">
                          <a:solidFill>
                            <a:srgbClr val="000000"/>
                          </a:solidFill>
                          <a:prstDash val="solid"/>
                          <a:round/>
                          <a:headEnd type="none" w="med" len="med"/>
                          <a:tailEnd type="none" w="med" len="med"/>
                        </a:ln>
                      </wps:spPr>
                      <wps:txbx>
                        <w:txbxContent>
                          <w:p w14:paraId="3A324D62">
                            <w:pPr>
                              <w:jc w:val="center"/>
                              <w:rPr>
                                <w:rFonts w:hint="default" w:eastAsia="宋体"/>
                                <w:lang w:val="en-US" w:eastAsia="zh-CN"/>
                              </w:rPr>
                            </w:pPr>
                            <w:r>
                              <w:rPr>
                                <w:rFonts w:hint="eastAsia"/>
                                <w:lang w:val="en-US" w:eastAsia="zh-CN"/>
                              </w:rPr>
                              <w:t>水帘降温用水</w:t>
                            </w:r>
                          </w:p>
                        </w:txbxContent>
                      </wps:txbx>
                      <wps:bodyPr vert="horz" wrap="square" anchor="t" anchorCtr="0" upright="1"/>
                    </wps:wsp>
                  </a:graphicData>
                </a:graphic>
              </wp:anchor>
            </w:drawing>
          </mc:Choice>
          <mc:Fallback>
            <w:pict>
              <v:shape id="文本框 85" o:spid="_x0000_s1026" o:spt="202" type="#_x0000_t202" style="position:absolute;left:0pt;margin-left:138.55pt;margin-top:0.65pt;height:22.15pt;width:87.6pt;z-index:251679744;mso-width-relative:page;mso-height-relative:page;" filled="f" stroked="t" coordsize="21600,21600" o:gfxdata="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Gs&#10;wf3XAAAACAEAAA8AAAAAAAAAAQAgAAAAIgAAAGRycy9kb3ducmV2LnhtbFBLAQIUABQAAAAIAIdO&#10;4kCLLfRdJAIAAEIEAAAOAAAAAAAAAAEAIAAAACYBAABkcnMvZTJvRG9jLnhtbFBLBQYAAAAABgAG&#10;AFkBAAC8BQAAAAA=&#10;">
                <v:fill on="f" focussize="0,0"/>
                <v:stroke weight="0.5pt" color="#000000" joinstyle="round"/>
                <v:imagedata o:title=""/>
                <o:lock v:ext="edit" aspectratio="f"/>
                <v:textbox>
                  <w:txbxContent>
                    <w:p w14:paraId="3A324D62">
                      <w:pPr>
                        <w:jc w:val="center"/>
                        <w:rPr>
                          <w:rFonts w:hint="default" w:eastAsia="宋体"/>
                          <w:lang w:val="en-US" w:eastAsia="zh-CN"/>
                        </w:rPr>
                      </w:pPr>
                      <w:r>
                        <w:rPr>
                          <w:rFonts w:hint="eastAsia"/>
                          <w:lang w:val="en-US" w:eastAsia="zh-CN"/>
                        </w:rPr>
                        <w:t>水帘降温用水</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81792" behindDoc="0" locked="0" layoutInCell="1" allowOverlap="1">
                <wp:simplePos x="0" y="0"/>
                <wp:positionH relativeFrom="column">
                  <wp:posOffset>1189990</wp:posOffset>
                </wp:positionH>
                <wp:positionV relativeFrom="paragraph">
                  <wp:posOffset>161925</wp:posOffset>
                </wp:positionV>
                <wp:extent cx="581025" cy="1905"/>
                <wp:effectExtent l="0" t="25400" r="9525" b="29845"/>
                <wp:wrapNone/>
                <wp:docPr id="29" name="直接箭头连接符 209"/>
                <wp:cNvGraphicFramePr/>
                <a:graphic xmlns:a="http://schemas.openxmlformats.org/drawingml/2006/main">
                  <a:graphicData uri="http://schemas.microsoft.com/office/word/2010/wordprocessingShape">
                    <wps:wsp>
                      <wps:cNvCnPr/>
                      <wps:spPr>
                        <a:xfrm flipV="1">
                          <a:off x="0" y="0"/>
                          <a:ext cx="581025" cy="1905"/>
                        </a:xfrm>
                        <a:prstGeom prst="straightConnector1">
                          <a:avLst/>
                        </a:prstGeom>
                        <a:ln w="6350" cap="flat" cmpd="sng">
                          <a:solidFill>
                            <a:srgbClr val="000000"/>
                          </a:solidFill>
                          <a:prstDash val="solid"/>
                          <a:miter/>
                          <a:headEnd type="none" w="med" len="med"/>
                          <a:tailEnd type="triangle" w="sm" len="med"/>
                        </a:ln>
                      </wps:spPr>
                      <wps:bodyPr/>
                    </wps:wsp>
                  </a:graphicData>
                </a:graphic>
              </wp:anchor>
            </w:drawing>
          </mc:Choice>
          <mc:Fallback>
            <w:pict>
              <v:shape id="直接箭头连接符 209" o:spid="_x0000_s1026" o:spt="32" type="#_x0000_t32" style="position:absolute;left:0pt;flip:y;margin-left:93.7pt;margin-top:12.75pt;height:0.15pt;width:45.75pt;z-index:251681792;mso-width-relative:page;mso-height-relative:page;" filled="f" stroked="t" coordsize="21600,21600" o:gfxdata="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xH2+NkAAAAJAQAA&#10;DwAAAAAAAAABACAAAAAiAAAAZHJzL2Rvd25yZXYueG1sUEsBAhQAFAAAAAgAh07iQOYLS68YAgAA&#10;CAQAAA4AAAAAAAAAAQAgAAAAKAEAAGRycy9lMm9Eb2MueG1sUEsFBgAAAAAGAAYAWQEAALIFAAAA&#10;AA==&#10;">
                <v:fill on="f" focussize="0,0"/>
                <v:stroke weight="0.5pt" color="#000000" joinstyle="miter" endarrow="block" endarrowwidth="narrow"/>
                <v:imagedata o:title=""/>
                <o:lock v:ext="edit" aspectratio="f"/>
              </v:shape>
            </w:pict>
          </mc:Fallback>
        </mc:AlternateContent>
      </w:r>
    </w:p>
    <w:p w14:paraId="5FAAF76D">
      <w:pPr>
        <w:spacing w:line="360" w:lineRule="auto"/>
        <w:jc w:val="both"/>
        <w:rPr>
          <w:rFonts w:hint="default" w:ascii="Times New Roman" w:hAnsi="Times New Roman" w:cs="Times New Roman"/>
          <w:b/>
          <w:bCs/>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699200" behindDoc="0" locked="0" layoutInCell="1" allowOverlap="1">
                <wp:simplePos x="0" y="0"/>
                <wp:positionH relativeFrom="column">
                  <wp:posOffset>4237990</wp:posOffset>
                </wp:positionH>
                <wp:positionV relativeFrom="paragraph">
                  <wp:posOffset>183515</wp:posOffset>
                </wp:positionV>
                <wp:extent cx="476250" cy="290195"/>
                <wp:effectExtent l="0" t="0" r="0" b="0"/>
                <wp:wrapNone/>
                <wp:docPr id="50" name="文本框 49"/>
                <wp:cNvGraphicFramePr/>
                <a:graphic xmlns:a="http://schemas.openxmlformats.org/drawingml/2006/main">
                  <a:graphicData uri="http://schemas.microsoft.com/office/word/2010/wordprocessingShape">
                    <wps:wsp>
                      <wps:cNvSpPr txBox="1"/>
                      <wps:spPr>
                        <a:xfrm>
                          <a:off x="0" y="0"/>
                          <a:ext cx="476250" cy="290195"/>
                        </a:xfrm>
                        <a:prstGeom prst="rect">
                          <a:avLst/>
                        </a:prstGeom>
                        <a:noFill/>
                        <a:ln>
                          <a:noFill/>
                        </a:ln>
                      </wps:spPr>
                      <wps:txbx>
                        <w:txbxContent>
                          <w:p w14:paraId="67A6A61D">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7.94</w:t>
                            </w:r>
                          </w:p>
                        </w:txbxContent>
                      </wps:txbx>
                      <wps:bodyPr vert="horz" wrap="square" anchor="t" anchorCtr="0" upright="1"/>
                    </wps:wsp>
                  </a:graphicData>
                </a:graphic>
              </wp:anchor>
            </w:drawing>
          </mc:Choice>
          <mc:Fallback>
            <w:pict>
              <v:shape id="文本框 49" o:spid="_x0000_s1026" o:spt="202" type="#_x0000_t202" style="position:absolute;left:0pt;margin-left:333.7pt;margin-top:14.45pt;height:22.85pt;width:37.5pt;z-index:251699200;mso-width-relative:page;mso-height-relative:page;" filled="f" stroked="f" coordsize="21600,21600" o:gfxdata="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bCumDWAAAACQEAAA8AAAAAAAAAAQAgAAAAIgAAAGRycy9k&#10;b3ducmV2LnhtbFBLAQIUABQAAAAIAIdO4kCuL3dDywEAAIIDAAAOAAAAAAAAAAEAIAAAACUBAABk&#10;cnMvZTJvRG9jLnhtbFBLBQYAAAAABgAGAFkBAABiBQAAAAA=&#10;">
                <v:fill on="f" focussize="0,0"/>
                <v:stroke on="f"/>
                <v:imagedata o:title=""/>
                <o:lock v:ext="edit" aspectratio="f"/>
                <v:textbox>
                  <w:txbxContent>
                    <w:p w14:paraId="67A6A61D">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7.94</w:t>
                      </w:r>
                    </w:p>
                  </w:txbxContent>
                </v:textbox>
              </v:shape>
            </w:pict>
          </mc:Fallback>
        </mc:AlternateContent>
      </w:r>
      <w:r>
        <w:rPr>
          <w:rFonts w:hint="default" w:ascii="Times New Roman" w:hAnsi="Times New Roman" w:cs="Times New Roman"/>
          <w:color w:val="FF0000"/>
          <w:sz w:val="24"/>
        </w:rPr>
        <mc:AlternateContent>
          <mc:Choice Requires="wpg">
            <w:drawing>
              <wp:anchor distT="0" distB="0" distL="114300" distR="114300" simplePos="0" relativeHeight="251675648" behindDoc="0" locked="0" layoutInCell="1" allowOverlap="1">
                <wp:simplePos x="0" y="0"/>
                <wp:positionH relativeFrom="column">
                  <wp:posOffset>1741805</wp:posOffset>
                </wp:positionH>
                <wp:positionV relativeFrom="paragraph">
                  <wp:posOffset>203835</wp:posOffset>
                </wp:positionV>
                <wp:extent cx="1195070" cy="521335"/>
                <wp:effectExtent l="5080" t="0" r="0" b="11430"/>
                <wp:wrapNone/>
                <wp:docPr id="23" name="组合 116"/>
                <wp:cNvGraphicFramePr/>
                <a:graphic xmlns:a="http://schemas.openxmlformats.org/drawingml/2006/main">
                  <a:graphicData uri="http://schemas.microsoft.com/office/word/2010/wordprocessingGroup">
                    <wpg:wgp>
                      <wpg:cNvGrpSpPr/>
                      <wpg:grpSpPr>
                        <a:xfrm>
                          <a:off x="0" y="0"/>
                          <a:ext cx="1195070" cy="521335"/>
                          <a:chOff x="4785" y="1099494"/>
                          <a:chExt cx="2145" cy="838"/>
                        </a:xfrm>
                      </wpg:grpSpPr>
                      <wps:wsp>
                        <wps:cNvPr id="19" name="文本框 87"/>
                        <wps:cNvSpPr txBox="1"/>
                        <wps:spPr>
                          <a:xfrm>
                            <a:off x="5824" y="1099494"/>
                            <a:ext cx="1106" cy="410"/>
                          </a:xfrm>
                          <a:prstGeom prst="rect">
                            <a:avLst/>
                          </a:prstGeom>
                          <a:noFill/>
                          <a:ln w="6350">
                            <a:noFill/>
                          </a:ln>
                        </wps:spPr>
                        <wps:txbx>
                          <w:txbxContent>
                            <w:p w14:paraId="14A32226">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365</w:t>
                              </w:r>
                            </w:p>
                          </w:txbxContent>
                        </wps:txbx>
                        <wps:bodyPr vert="horz" wrap="square" anchor="t" anchorCtr="0" upright="1"/>
                      </wps:wsp>
                      <wpg:grpSp>
                        <wpg:cNvPr id="22" name="组合 91"/>
                        <wpg:cNvGrpSpPr/>
                        <wpg:grpSpPr>
                          <a:xfrm>
                            <a:off x="4785" y="1099608"/>
                            <a:ext cx="2019" cy="724"/>
                            <a:chOff x="4785" y="1099608"/>
                            <a:chExt cx="2019" cy="724"/>
                          </a:xfrm>
                        </wpg:grpSpPr>
                        <wps:wsp>
                          <wps:cNvPr id="20" name="文本框 85"/>
                          <wps:cNvSpPr txBox="1"/>
                          <wps:spPr>
                            <a:xfrm>
                              <a:off x="4785" y="1099855"/>
                              <a:ext cx="2019" cy="477"/>
                            </a:xfrm>
                            <a:prstGeom prst="rect">
                              <a:avLst/>
                            </a:prstGeom>
                            <a:noFill/>
                            <a:ln w="6350" cap="flat" cmpd="sng">
                              <a:solidFill>
                                <a:srgbClr val="000000"/>
                              </a:solidFill>
                              <a:prstDash val="solid"/>
                              <a:round/>
                              <a:headEnd type="none" w="med" len="med"/>
                              <a:tailEnd type="none" w="med" len="med"/>
                            </a:ln>
                          </wps:spPr>
                          <wps:txbx>
                            <w:txbxContent>
                              <w:p w14:paraId="2663B7E1">
                                <w:pPr>
                                  <w:jc w:val="center"/>
                                </w:pPr>
                                <w:r>
                                  <w:rPr>
                                    <w:rFonts w:hint="eastAsia"/>
                                  </w:rPr>
                                  <w:t>消毒用水</w:t>
                                </w:r>
                              </w:p>
                            </w:txbxContent>
                          </wps:txbx>
                          <wps:bodyPr vert="horz" wrap="square" anchor="t" anchorCtr="0" upright="1"/>
                        </wps:wsp>
                        <wps:wsp>
                          <wps:cNvPr id="21" name="直接箭头连接符 86"/>
                          <wps:cNvCnPr/>
                          <wps:spPr>
                            <a:xfrm flipV="1">
                              <a:off x="5442" y="1099608"/>
                              <a:ext cx="402" cy="263"/>
                            </a:xfrm>
                            <a:prstGeom prst="straightConnector1">
                              <a:avLst/>
                            </a:prstGeom>
                            <a:ln w="0" cap="flat" cmpd="sng">
                              <a:solidFill>
                                <a:srgbClr val="000000"/>
                              </a:solidFill>
                              <a:prstDash val="sysDash"/>
                              <a:miter/>
                              <a:headEnd type="none" w="med" len="med"/>
                              <a:tailEnd type="triangle" w="sm" len="med"/>
                            </a:ln>
                          </wps:spPr>
                          <wps:bodyPr/>
                        </wps:wsp>
                      </wpg:grpSp>
                    </wpg:wgp>
                  </a:graphicData>
                </a:graphic>
              </wp:anchor>
            </w:drawing>
          </mc:Choice>
          <mc:Fallback>
            <w:pict>
              <v:group id="组合 116" o:spid="_x0000_s1026" o:spt="203" style="position:absolute;left:0pt;margin-left:137.15pt;margin-top:16.05pt;height:41.05pt;width:94.1pt;z-index:251675648;mso-width-relative:page;mso-height-relative:page;" coordorigin="4785,1099494" coordsize="2145,838" o:gfxdata="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30qC2doAAAAKAQAADwAAAAAAAAABACAA&#10;AAAiAAAAZHJzL2Rvd25yZXYueG1sUEsBAhQAFAAAAAgAh07iQF0Y47yaAwAAkwoAAA4AAAAAAAAA&#10;AQAgAAAAKQEAAGRycy9lMm9Eb2MueG1sUEsFBgAAAAAGAAYAWQEAADUHAAAAAA==&#10;">
                <o:lock v:ext="edit" aspectratio="f"/>
                <v:shape id="文本框 87" o:spid="_x0000_s1026" o:spt="202" type="#_x0000_t202" style="position:absolute;left:5824;top:1099494;height:410;width:1106;"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4A32226">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365</w:t>
                        </w:r>
                      </w:p>
                    </w:txbxContent>
                  </v:textbox>
                </v:shape>
                <v:group id="组合 91" o:spid="_x0000_s1026" o:spt="203" style="position:absolute;left:4785;top:1099608;height:724;width:2019;" coordorigin="4785,1099608" coordsize="2019,724"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文本框 85" o:spid="_x0000_s1026" o:spt="202" type="#_x0000_t202" style="position:absolute;left:4785;top:1099855;height:477;width:2019;" filled="f" stroked="t" coordsize="21600,21600" o:gfxdata="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tfc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textbox>
                      <w:txbxContent>
                        <w:p w14:paraId="2663B7E1">
                          <w:pPr>
                            <w:jc w:val="center"/>
                          </w:pPr>
                          <w:r>
                            <w:rPr>
                              <w:rFonts w:hint="eastAsia"/>
                            </w:rPr>
                            <w:t>消毒用水</w:t>
                          </w:r>
                        </w:p>
                      </w:txbxContent>
                    </v:textbox>
                  </v:shape>
                  <v:shape id="直接箭头连接符 86" o:spid="_x0000_s1026" o:spt="32" type="#_x0000_t32" style="position:absolute;left:5442;top:1099608;flip:y;height:263;width:402;" filled="f" stroked="t" coordsize="21600,21600" o:gfxdata="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plfTugAAANsA&#10;AAAPAAAAAAAAAAEAIAAAACIAAABkcnMvZG93bnJldi54bWxQSwECFAAUAAAACACHTuJAMy8FnjsA&#10;AAA5AAAAEAAAAAAAAAABACAAAAAJAQAAZHJzL3NoYXBleG1sLnhtbFBLBQYAAAAABgAGAFsBAACz&#10;AwAAAAA=&#10;">
                    <v:fill on="f" focussize="0,0"/>
                    <v:stroke weight="0pt" color="#000000" joinstyle="miter" dashstyle="3 1" endarrow="block" endarrowwidth="narrow"/>
                    <v:imagedata o:title=""/>
                    <o:lock v:ext="edit" aspectratio="f"/>
                  </v:shape>
                </v:group>
              </v:group>
            </w:pict>
          </mc:Fallback>
        </mc:AlternateContent>
      </w:r>
    </w:p>
    <w:p w14:paraId="4EBC973B">
      <w:pPr>
        <w:pStyle w:val="22"/>
        <w:rPr>
          <w:rFonts w:hint="default" w:ascii="Times New Roman" w:hAnsi="Times New Roman" w:cs="Times New Roman"/>
          <w:b/>
          <w:bCs/>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666432" behindDoc="0" locked="0" layoutInCell="1" allowOverlap="1">
                <wp:simplePos x="0" y="0"/>
                <wp:positionH relativeFrom="column">
                  <wp:posOffset>1163955</wp:posOffset>
                </wp:positionH>
                <wp:positionV relativeFrom="paragraph">
                  <wp:posOffset>93345</wp:posOffset>
                </wp:positionV>
                <wp:extent cx="616585" cy="254635"/>
                <wp:effectExtent l="0" t="0" r="0" b="0"/>
                <wp:wrapNone/>
                <wp:docPr id="7" name="文本框 128"/>
                <wp:cNvGraphicFramePr/>
                <a:graphic xmlns:a="http://schemas.openxmlformats.org/drawingml/2006/main">
                  <a:graphicData uri="http://schemas.microsoft.com/office/word/2010/wordprocessingShape">
                    <wps:wsp>
                      <wps:cNvSpPr txBox="1"/>
                      <wps:spPr>
                        <a:xfrm>
                          <a:off x="0" y="0"/>
                          <a:ext cx="616585" cy="254635"/>
                        </a:xfrm>
                        <a:prstGeom prst="rect">
                          <a:avLst/>
                        </a:prstGeom>
                        <a:noFill/>
                        <a:ln w="6350">
                          <a:noFill/>
                        </a:ln>
                      </wps:spPr>
                      <wps:txbx>
                        <w:txbxContent>
                          <w:p w14:paraId="23CE5FC7">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365</w:t>
                            </w:r>
                          </w:p>
                        </w:txbxContent>
                      </wps:txbx>
                      <wps:bodyPr vert="horz" wrap="square" anchor="t" anchorCtr="0" upright="1"/>
                    </wps:wsp>
                  </a:graphicData>
                </a:graphic>
              </wp:anchor>
            </w:drawing>
          </mc:Choice>
          <mc:Fallback>
            <w:pict>
              <v:shape id="文本框 128" o:spid="_x0000_s1026" o:spt="202" type="#_x0000_t202" style="position:absolute;left:0pt;margin-left:91.65pt;margin-top:7.35pt;height:20.05pt;width:48.55pt;z-index:251666432;mso-width-relative:page;mso-height-relative:page;" filled="f" stroked="f" coordsize="21600,21600" o:gfxdata="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cPlJa2gAAAAkBAAAPAAAAAAAAAAEA&#10;IAAAACIAAABkcnMvZG93bnJldi54bWxQSwECFAAUAAAACACHTuJAf7CHy9QBAACLAwAADgAAAAAA&#10;AAABACAAAAApAQAAZHJzL2Uyb0RvYy54bWxQSwUGAAAAAAYABgBZAQAAbwUAAAAA&#10;">
                <v:fill on="f" focussize="0,0"/>
                <v:stroke on="f" weight="0.5pt"/>
                <v:imagedata o:title=""/>
                <o:lock v:ext="edit" aspectratio="f"/>
                <v:textbox>
                  <w:txbxContent>
                    <w:p w14:paraId="23CE5FC7">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365</w:t>
                      </w:r>
                    </w:p>
                  </w:txbxContent>
                </v:textbox>
              </v:shape>
            </w:pict>
          </mc:Fallback>
        </mc:AlternateContent>
      </w:r>
    </w:p>
    <w:p w14:paraId="2DF4C745">
      <w:pPr>
        <w:pStyle w:val="22"/>
        <w:rPr>
          <w:rFonts w:hint="default" w:ascii="Times New Roman" w:hAnsi="Times New Roman" w:cs="Times New Roman"/>
          <w:b/>
          <w:bCs/>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669504" behindDoc="0" locked="0" layoutInCell="1" allowOverlap="1">
                <wp:simplePos x="0" y="0"/>
                <wp:positionH relativeFrom="column">
                  <wp:posOffset>1172210</wp:posOffset>
                </wp:positionH>
                <wp:positionV relativeFrom="paragraph">
                  <wp:posOffset>161290</wp:posOffset>
                </wp:positionV>
                <wp:extent cx="587375" cy="1905"/>
                <wp:effectExtent l="0" t="25400" r="3175" b="29845"/>
                <wp:wrapNone/>
                <wp:docPr id="10" name="直接箭头连接符 80"/>
                <wp:cNvGraphicFramePr/>
                <a:graphic xmlns:a="http://schemas.openxmlformats.org/drawingml/2006/main">
                  <a:graphicData uri="http://schemas.microsoft.com/office/word/2010/wordprocessingShape">
                    <wps:wsp>
                      <wps:cNvCnPr/>
                      <wps:spPr>
                        <a:xfrm flipV="1">
                          <a:off x="0" y="0"/>
                          <a:ext cx="587375" cy="1905"/>
                        </a:xfrm>
                        <a:prstGeom prst="straightConnector1">
                          <a:avLst/>
                        </a:prstGeom>
                        <a:ln w="6350" cap="flat" cmpd="sng">
                          <a:solidFill>
                            <a:srgbClr val="000000"/>
                          </a:solidFill>
                          <a:prstDash val="solid"/>
                          <a:miter/>
                          <a:headEnd type="none" w="med" len="med"/>
                          <a:tailEnd type="triangle" w="sm" len="med"/>
                        </a:ln>
                      </wps:spPr>
                      <wps:bodyPr/>
                    </wps:wsp>
                  </a:graphicData>
                </a:graphic>
              </wp:anchor>
            </w:drawing>
          </mc:Choice>
          <mc:Fallback>
            <w:pict>
              <v:shape id="直接箭头连接符 80" o:spid="_x0000_s1026" o:spt="32" type="#_x0000_t32" style="position:absolute;left:0pt;flip:y;margin-left:92.3pt;margin-top:12.7pt;height:0.15pt;width:46.25pt;z-index:251669504;mso-width-relative:page;mso-height-relative:page;" filled="f" stroked="t" coordsize="21600,21600" o:gfxdata="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kKaO2AAAAAkBAAAPAAAA&#10;AAAAAAEAIAAAACIAAABkcnMvZG93bnJldi54bWxQSwECFAAUAAAACACHTuJAiqVyhRUCAAAHBAAA&#10;DgAAAAAAAAABACAAAAAnAQAAZHJzL2Uyb0RvYy54bWxQSwUGAAAAAAYABgBZAQAArgUAAAAA&#10;">
                <v:fill on="f" focussize="0,0"/>
                <v:stroke weight="0.5pt" color="#000000" joinstyle="miter" endarrow="block" endarrowwidth="narrow"/>
                <v:imagedata o:title=""/>
                <o:lock v:ext="edit" aspectratio="f"/>
              </v:shape>
            </w:pict>
          </mc:Fallback>
        </mc:AlternateContent>
      </w:r>
    </w:p>
    <w:p w14:paraId="169F72C0">
      <w:pPr>
        <w:spacing w:line="360" w:lineRule="auto"/>
        <w:jc w:val="center"/>
        <w:rPr>
          <w:rFonts w:hint="default" w:ascii="Times New Roman" w:hAnsi="Times New Roman" w:cs="Times New Roman"/>
          <w:b/>
          <w:bCs/>
          <w:color w:val="FF0000"/>
          <w:sz w:val="24"/>
        </w:rPr>
      </w:pPr>
      <w:r>
        <w:rPr>
          <w:rFonts w:hint="default" w:ascii="Times New Roman" w:hAnsi="Times New Roman" w:cs="Times New Roman"/>
          <w:color w:val="FF0000"/>
          <w:sz w:val="24"/>
        </w:rPr>
        <mc:AlternateContent>
          <mc:Choice Requires="wpg">
            <w:drawing>
              <wp:anchor distT="0" distB="0" distL="114300" distR="114300" simplePos="0" relativeHeight="251695104" behindDoc="0" locked="0" layoutInCell="1" allowOverlap="1">
                <wp:simplePos x="0" y="0"/>
                <wp:positionH relativeFrom="column">
                  <wp:posOffset>1766570</wp:posOffset>
                </wp:positionH>
                <wp:positionV relativeFrom="paragraph">
                  <wp:posOffset>231140</wp:posOffset>
                </wp:positionV>
                <wp:extent cx="1195070" cy="521335"/>
                <wp:effectExtent l="5080" t="0" r="0" b="11430"/>
                <wp:wrapNone/>
                <wp:docPr id="46" name="组合 116"/>
                <wp:cNvGraphicFramePr/>
                <a:graphic xmlns:a="http://schemas.openxmlformats.org/drawingml/2006/main">
                  <a:graphicData uri="http://schemas.microsoft.com/office/word/2010/wordprocessingGroup">
                    <wpg:wgp>
                      <wpg:cNvGrpSpPr/>
                      <wpg:grpSpPr>
                        <a:xfrm>
                          <a:off x="0" y="0"/>
                          <a:ext cx="1195070" cy="521335"/>
                          <a:chOff x="4785" y="1099494"/>
                          <a:chExt cx="2145" cy="838"/>
                        </a:xfrm>
                      </wpg:grpSpPr>
                      <wps:wsp>
                        <wps:cNvPr id="42" name="文本框 87"/>
                        <wps:cNvSpPr txBox="1"/>
                        <wps:spPr>
                          <a:xfrm>
                            <a:off x="5824" y="1099494"/>
                            <a:ext cx="1106" cy="410"/>
                          </a:xfrm>
                          <a:prstGeom prst="rect">
                            <a:avLst/>
                          </a:prstGeom>
                          <a:noFill/>
                          <a:ln w="6350">
                            <a:noFill/>
                          </a:ln>
                        </wps:spPr>
                        <wps:txbx>
                          <w:txbxContent>
                            <w:p w14:paraId="667CE812">
                              <w:pP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585.6</w:t>
                              </w:r>
                            </w:p>
                          </w:txbxContent>
                        </wps:txbx>
                        <wps:bodyPr wrap="square" upright="1"/>
                      </wps:wsp>
                      <wpg:grpSp>
                        <wpg:cNvPr id="45" name="组合 91"/>
                        <wpg:cNvGrpSpPr/>
                        <wpg:grpSpPr>
                          <a:xfrm>
                            <a:off x="4785" y="1099608"/>
                            <a:ext cx="2019" cy="724"/>
                            <a:chOff x="4785" y="1099608"/>
                            <a:chExt cx="2019" cy="724"/>
                          </a:xfrm>
                        </wpg:grpSpPr>
                        <wps:wsp>
                          <wps:cNvPr id="43" name="文本框 85"/>
                          <wps:cNvSpPr txBox="1"/>
                          <wps:spPr>
                            <a:xfrm>
                              <a:off x="4785" y="1099855"/>
                              <a:ext cx="2019" cy="477"/>
                            </a:xfrm>
                            <a:prstGeom prst="rect">
                              <a:avLst/>
                            </a:prstGeom>
                            <a:noFill/>
                            <a:ln w="6350" cap="flat" cmpd="sng">
                              <a:solidFill>
                                <a:srgbClr val="000000"/>
                              </a:solidFill>
                              <a:prstDash val="solid"/>
                              <a:round/>
                              <a:headEnd type="none" w="med" len="med"/>
                              <a:tailEnd type="none" w="med" len="med"/>
                            </a:ln>
                          </wps:spPr>
                          <wps:txbx>
                            <w:txbxContent>
                              <w:p w14:paraId="02544B55">
                                <w:pPr>
                                  <w:jc w:val="center"/>
                                </w:pPr>
                                <w:r>
                                  <w:rPr>
                                    <w:rFonts w:hint="eastAsia"/>
                                    <w:lang w:val="en-US" w:eastAsia="zh-CN"/>
                                  </w:rPr>
                                  <w:t>锅炉</w:t>
                                </w:r>
                                <w:r>
                                  <w:rPr>
                                    <w:rFonts w:hint="eastAsia"/>
                                  </w:rPr>
                                  <w:t>用水</w:t>
                                </w:r>
                              </w:p>
                            </w:txbxContent>
                          </wps:txbx>
                          <wps:bodyPr wrap="square" upright="1"/>
                        </wps:wsp>
                        <wps:wsp>
                          <wps:cNvPr id="44" name="直接箭头连接符 86"/>
                          <wps:cNvCnPr/>
                          <wps:spPr>
                            <a:xfrm flipV="1">
                              <a:off x="5442" y="1099608"/>
                              <a:ext cx="402" cy="263"/>
                            </a:xfrm>
                            <a:prstGeom prst="straightConnector1">
                              <a:avLst/>
                            </a:prstGeom>
                            <a:ln w="0" cap="flat" cmpd="sng">
                              <a:solidFill>
                                <a:srgbClr val="000000"/>
                              </a:solidFill>
                              <a:prstDash val="sysDash"/>
                              <a:miter/>
                              <a:headEnd type="none" w="med" len="med"/>
                              <a:tailEnd type="triangle" w="sm" len="med"/>
                            </a:ln>
                          </wps:spPr>
                          <wps:bodyPr/>
                        </wps:wsp>
                      </wpg:grpSp>
                    </wpg:wgp>
                  </a:graphicData>
                </a:graphic>
              </wp:anchor>
            </w:drawing>
          </mc:Choice>
          <mc:Fallback>
            <w:pict>
              <v:group id="组合 116" o:spid="_x0000_s1026" o:spt="203" style="position:absolute;left:0pt;margin-left:139.1pt;margin-top:18.2pt;height:41.05pt;width:94.1pt;z-index:251695104;mso-width-relative:page;mso-height-relative:page;" coordorigin="4785,1099494" coordsize="2145,838" o:gfxdata="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ANPLWzaAAAACgEAAA8AAAAAAAAAAQAgAAAAIgAAAGRycy9kb3ducmV2LnhtbFBL&#10;AQIUABQAAAAIAIdO4kB5HG8wgwMAAEkKAAAOAAAAAAAAAAEAIAAAACkBAABkcnMvZTJvRG9jLnht&#10;bFBLBQYAAAAABgAGAFkBAAAeBwAAAAA=&#10;">
                <o:lock v:ext="edit" aspectratio="f"/>
                <v:shape id="文本框 87" o:spid="_x0000_s1026" o:spt="202" type="#_x0000_t202" style="position:absolute;left:5824;top:1099494;height:410;width:1106;"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67CE812">
                        <w:pP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585.6</w:t>
                        </w:r>
                      </w:p>
                    </w:txbxContent>
                  </v:textbox>
                </v:shape>
                <v:group id="组合 91" o:spid="_x0000_s1026" o:spt="203" style="position:absolute;left:4785;top:1099608;height:724;width:2019;" coordorigin="4785,1099608" coordsize="2019,724"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文本框 85" o:spid="_x0000_s1026" o:spt="202" type="#_x0000_t202" style="position:absolute;left:4785;top:1099855;height:477;width:2019;" filled="f" stroked="t" coordsize="21600,21600" o:gfxdata="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JiSk&#10;wAAAANs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14:paraId="02544B55">
                          <w:pPr>
                            <w:jc w:val="center"/>
                          </w:pPr>
                          <w:r>
                            <w:rPr>
                              <w:rFonts w:hint="eastAsia"/>
                              <w:lang w:val="en-US" w:eastAsia="zh-CN"/>
                            </w:rPr>
                            <w:t>锅炉</w:t>
                          </w:r>
                          <w:r>
                            <w:rPr>
                              <w:rFonts w:hint="eastAsia"/>
                            </w:rPr>
                            <w:t>用水</w:t>
                          </w:r>
                        </w:p>
                      </w:txbxContent>
                    </v:textbox>
                  </v:shape>
                  <v:shape id="直接箭头连接符 86" o:spid="_x0000_s1026" o:spt="32" type="#_x0000_t32" style="position:absolute;left:5442;top:1099608;flip:y;height:263;width:402;" filled="f" stroked="t" coordsize="21600,21600" o:gfxdata="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DhHrugAAANsA&#10;AAAPAAAAAAAAAAEAIAAAACIAAABkcnMvZG93bnJldi54bWxQSwECFAAUAAAACACHTuJAMy8FnjsA&#10;AAA5AAAAEAAAAAAAAAABACAAAAAJAQAAZHJzL3NoYXBleG1sLnhtbFBLBQYAAAAABgAGAFsBAACz&#10;AwAAAAA=&#10;">
                    <v:fill on="f" focussize="0,0"/>
                    <v:stroke weight="0pt" color="#000000" joinstyle="miter" dashstyle="3 1" endarrow="block" endarrowwidth="narrow"/>
                    <v:imagedata o:title=""/>
                    <o:lock v:ext="edit" aspectratio="f"/>
                  </v:shape>
                </v:group>
              </v:group>
            </w:pict>
          </mc:Fallback>
        </mc:AlternateContent>
      </w:r>
    </w:p>
    <w:p w14:paraId="0CFD533F">
      <w:pPr>
        <w:spacing w:line="360" w:lineRule="auto"/>
        <w:jc w:val="center"/>
        <w:rPr>
          <w:rFonts w:hint="default" w:ascii="Times New Roman" w:hAnsi="Times New Roman" w:cs="Times New Roman"/>
          <w:b/>
          <w:bCs/>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697152" behindDoc="0" locked="0" layoutInCell="1" allowOverlap="1">
                <wp:simplePos x="0" y="0"/>
                <wp:positionH relativeFrom="column">
                  <wp:posOffset>1223645</wp:posOffset>
                </wp:positionH>
                <wp:positionV relativeFrom="paragraph">
                  <wp:posOffset>50165</wp:posOffset>
                </wp:positionV>
                <wp:extent cx="616585" cy="220980"/>
                <wp:effectExtent l="0" t="0" r="0" b="0"/>
                <wp:wrapNone/>
                <wp:docPr id="48" name="文本框 128"/>
                <wp:cNvGraphicFramePr/>
                <a:graphic xmlns:a="http://schemas.openxmlformats.org/drawingml/2006/main">
                  <a:graphicData uri="http://schemas.microsoft.com/office/word/2010/wordprocessingShape">
                    <wps:wsp>
                      <wps:cNvSpPr txBox="1"/>
                      <wps:spPr>
                        <a:xfrm flipV="1">
                          <a:off x="0" y="0"/>
                          <a:ext cx="616585" cy="220980"/>
                        </a:xfrm>
                        <a:prstGeom prst="rect">
                          <a:avLst/>
                        </a:prstGeom>
                        <a:noFill/>
                        <a:ln w="6350">
                          <a:noFill/>
                        </a:ln>
                      </wps:spPr>
                      <wps:txbx>
                        <w:txbxContent>
                          <w:p w14:paraId="6860BF99">
                            <w:pP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5856</w:t>
                            </w:r>
                          </w:p>
                        </w:txbxContent>
                      </wps:txbx>
                      <wps:bodyPr vert="horz" wrap="square" anchor="t" anchorCtr="0" upright="1"/>
                    </wps:wsp>
                  </a:graphicData>
                </a:graphic>
              </wp:anchor>
            </w:drawing>
          </mc:Choice>
          <mc:Fallback>
            <w:pict>
              <v:shape id="文本框 128" o:spid="_x0000_s1026" o:spt="202" type="#_x0000_t202" style="position:absolute;left:0pt;flip:y;margin-left:96.35pt;margin-top:3.95pt;height:17.4pt;width:48.55pt;z-index:251697152;mso-width-relative:page;mso-height-relative:page;" filled="f" stroked="f" coordsize="21600,21600" o:gfxdata="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z9f9g1QAAAAgBAAAPAAAAAAAA&#10;AAEAIAAAACIAAABkcnMvZG93bnJldi54bWxQSwECFAAUAAAACACHTuJAqxLuRtwBAACWAwAADgAA&#10;AAAAAAABACAAAAAkAQAAZHJzL2Uyb0RvYy54bWxQSwUGAAAAAAYABgBZAQAAcgUAAAAA&#10;">
                <v:fill on="f" focussize="0,0"/>
                <v:stroke on="f" weight="0.5pt"/>
                <v:imagedata o:title=""/>
                <o:lock v:ext="edit" aspectratio="f"/>
                <v:textbox>
                  <w:txbxContent>
                    <w:p w14:paraId="6860BF99">
                      <w:pP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5856</w:t>
                      </w:r>
                    </w:p>
                  </w:txbxContent>
                </v:textbox>
              </v:shape>
            </w:pict>
          </mc:Fallback>
        </mc:AlternateContent>
      </w:r>
    </w:p>
    <w:p w14:paraId="7E619A2D">
      <w:pPr>
        <w:spacing w:line="360" w:lineRule="auto"/>
        <w:jc w:val="center"/>
        <w:rPr>
          <w:rFonts w:hint="default" w:ascii="Times New Roman" w:hAnsi="Times New Roman" w:cs="Times New Roman"/>
          <w:b/>
          <w:bCs/>
          <w:color w:val="FF0000"/>
          <w:sz w:val="24"/>
        </w:rPr>
      </w:pPr>
      <w:r>
        <w:rPr>
          <w:rFonts w:hint="default" w:ascii="Times New Roman" w:hAnsi="Times New Roman" w:cs="Times New Roman"/>
          <w:color w:val="FF0000"/>
          <w:sz w:val="24"/>
        </w:rPr>
        <mc:AlternateContent>
          <mc:Choice Requires="wps">
            <w:drawing>
              <wp:anchor distT="0" distB="0" distL="114300" distR="114300" simplePos="0" relativeHeight="251701248" behindDoc="0" locked="0" layoutInCell="1" allowOverlap="1">
                <wp:simplePos x="0" y="0"/>
                <wp:positionH relativeFrom="column">
                  <wp:posOffset>2254250</wp:posOffset>
                </wp:positionH>
                <wp:positionV relativeFrom="paragraph">
                  <wp:posOffset>252730</wp:posOffset>
                </wp:positionV>
                <wp:extent cx="1020445" cy="288925"/>
                <wp:effectExtent l="0" t="0" r="0" b="0"/>
                <wp:wrapNone/>
                <wp:docPr id="52" name="文本框 51"/>
                <wp:cNvGraphicFramePr/>
                <a:graphic xmlns:a="http://schemas.openxmlformats.org/drawingml/2006/main">
                  <a:graphicData uri="http://schemas.microsoft.com/office/word/2010/wordprocessingShape">
                    <wps:wsp>
                      <wps:cNvSpPr txBox="1"/>
                      <wps:spPr>
                        <a:xfrm>
                          <a:off x="0" y="0"/>
                          <a:ext cx="1020445" cy="288925"/>
                        </a:xfrm>
                        <a:prstGeom prst="rect">
                          <a:avLst/>
                        </a:prstGeom>
                        <a:noFill/>
                        <a:ln>
                          <a:noFill/>
                        </a:ln>
                      </wps:spPr>
                      <wps:txbx>
                        <w:txbxContent>
                          <w:p w14:paraId="05FED8E9">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循环5262.46</w:t>
                            </w:r>
                          </w:p>
                        </w:txbxContent>
                      </wps:txbx>
                      <wps:bodyPr vert="horz" wrap="square" anchor="t" anchorCtr="0" upright="1"/>
                    </wps:wsp>
                  </a:graphicData>
                </a:graphic>
              </wp:anchor>
            </w:drawing>
          </mc:Choice>
          <mc:Fallback>
            <w:pict>
              <v:shape id="文本框 51" o:spid="_x0000_s1026" o:spt="202" type="#_x0000_t202" style="position:absolute;left:0pt;margin-left:177.5pt;margin-top:19.9pt;height:22.75pt;width:80.35pt;z-index:251701248;mso-width-relative:page;mso-height-relative:page;" filled="f" stroked="f" coordsize="21600,21600" o:gfxdata="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&#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1dNLfXAAAACQEAAA8AAAAAAAAAAQAgAAAAIgAAAGRy&#10;cy9kb3ducmV2LnhtbFBLAQIUABQAAAAIAIdO4kBhrOhTzQEAAIMDAAAOAAAAAAAAAAEAIAAAACYB&#10;AABkcnMvZTJvRG9jLnhtbFBLBQYAAAAABgAGAFkBAABlBQAAAAA=&#10;">
                <v:fill on="f" focussize="0,0"/>
                <v:stroke on="f"/>
                <v:imagedata o:title=""/>
                <o:lock v:ext="edit" aspectratio="f"/>
                <v:textbox>
                  <w:txbxContent>
                    <w:p w14:paraId="05FED8E9">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循环5262.46</w:t>
                      </w:r>
                    </w:p>
                  </w:txbxContent>
                </v:textbox>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700224" behindDoc="0" locked="0" layoutInCell="1" allowOverlap="1">
                <wp:simplePos x="0" y="0"/>
                <wp:positionH relativeFrom="column">
                  <wp:posOffset>2329180</wp:posOffset>
                </wp:positionH>
                <wp:positionV relativeFrom="paragraph">
                  <wp:posOffset>78740</wp:posOffset>
                </wp:positionV>
                <wp:extent cx="561975" cy="148590"/>
                <wp:effectExtent l="48895" t="4445" r="246380" b="247015"/>
                <wp:wrapNone/>
                <wp:docPr id="51" name="自选图形 50"/>
                <wp:cNvGraphicFramePr/>
                <a:graphic xmlns:a="http://schemas.openxmlformats.org/drawingml/2006/main">
                  <a:graphicData uri="http://schemas.microsoft.com/office/word/2010/wordprocessingShape">
                    <wps:wsp>
                      <wps:cNvCnPr>
                        <a:stCxn id="43" idx="3"/>
                        <a:endCxn id="43" idx="2"/>
                      </wps:cNvCnPr>
                      <wps:spPr>
                        <a:xfrm flipH="1">
                          <a:off x="0" y="0"/>
                          <a:ext cx="561975" cy="148590"/>
                        </a:xfrm>
                        <a:prstGeom prst="bentConnector4">
                          <a:avLst>
                            <a:gd name="adj1" fmla="val -42375"/>
                            <a:gd name="adj2" fmla="val 260255"/>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50" o:spid="_x0000_s1026" o:spt="35" type="#_x0000_t35" style="position:absolute;left:0pt;flip:x;margin-left:183.4pt;margin-top:6.2pt;height:11.7pt;width:44.25pt;z-index:251700224;mso-width-relative:page;mso-height-relative:page;" filled="f" stroked="t" coordsize="21600,21600" o:gfxdata="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QR0u2QAAAAkBAAAPAAAAAAAAAAEA&#10;IAAAACIAAABkcnMvZG93bnJldi54bWxQSwECFAAUAAAACACHTuJADcwqb0cCAACPBAAADgAAAAAA&#10;AAABACAAAAAoAQAAZHJzL2Uyb0RvYy54bWxQSwUGAAAAAAYABgBZAQAA4QUAAAAA&#10;" adj="-9153,56215">
                <v:fill on="f" focussize="0,0"/>
                <v:stroke color="#000000" joinstyle="miter" endarrow="open"/>
                <v:imagedata o:title=""/>
                <o:lock v:ext="edit" aspectratio="f"/>
              </v:shape>
            </w:pict>
          </mc:Fallback>
        </mc:AlternateContent>
      </w:r>
      <w:r>
        <w:rPr>
          <w:rFonts w:hint="default" w:ascii="Times New Roman" w:hAnsi="Times New Roman" w:cs="Times New Roman"/>
          <w:color w:val="FF0000"/>
          <w:sz w:val="24"/>
        </w:rPr>
        <mc:AlternateContent>
          <mc:Choice Requires="wps">
            <w:drawing>
              <wp:anchor distT="0" distB="0" distL="114300" distR="114300" simplePos="0" relativeHeight="251696128" behindDoc="0" locked="0" layoutInCell="1" allowOverlap="1">
                <wp:simplePos x="0" y="0"/>
                <wp:positionH relativeFrom="column">
                  <wp:posOffset>1162050</wp:posOffset>
                </wp:positionH>
                <wp:positionV relativeFrom="paragraph">
                  <wp:posOffset>43180</wp:posOffset>
                </wp:positionV>
                <wp:extent cx="587375" cy="1905"/>
                <wp:effectExtent l="0" t="25400" r="3175" b="29845"/>
                <wp:wrapNone/>
                <wp:docPr id="47" name="直接箭头连接符 80"/>
                <wp:cNvGraphicFramePr/>
                <a:graphic xmlns:a="http://schemas.openxmlformats.org/drawingml/2006/main">
                  <a:graphicData uri="http://schemas.microsoft.com/office/word/2010/wordprocessingShape">
                    <wps:wsp>
                      <wps:cNvCnPr/>
                      <wps:spPr>
                        <a:xfrm flipV="1">
                          <a:off x="0" y="0"/>
                          <a:ext cx="587375" cy="1905"/>
                        </a:xfrm>
                        <a:prstGeom prst="straightConnector1">
                          <a:avLst/>
                        </a:prstGeom>
                        <a:ln w="6350" cap="flat" cmpd="sng">
                          <a:solidFill>
                            <a:srgbClr val="000000"/>
                          </a:solidFill>
                          <a:prstDash val="solid"/>
                          <a:miter/>
                          <a:headEnd type="none" w="med" len="med"/>
                          <a:tailEnd type="triangle" w="sm" len="med"/>
                        </a:ln>
                      </wps:spPr>
                      <wps:bodyPr/>
                    </wps:wsp>
                  </a:graphicData>
                </a:graphic>
              </wp:anchor>
            </w:drawing>
          </mc:Choice>
          <mc:Fallback>
            <w:pict>
              <v:shape id="直接箭头连接符 80" o:spid="_x0000_s1026" o:spt="32" type="#_x0000_t32" style="position:absolute;left:0pt;flip:y;margin-left:91.5pt;margin-top:3.4pt;height:0.15pt;width:46.25pt;z-index:251696128;mso-width-relative:page;mso-height-relative:page;" filled="f" stroked="t" coordsize="21600,21600" o:gfxdata="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51AidgAAAAHAQAADwAA&#10;AAAAAAABACAAAAAiAAAAZHJzL2Rvd25yZXYueG1sUEsBAhQAFAAAAAgAh07iQNQlmXgWAgAABwQA&#10;AA4AAAAAAAAAAQAgAAAAJwEAAGRycy9lMm9Eb2MueG1sUEsFBgAAAAAGAAYAWQEAAK8FAAAAAA==&#10;">
                <v:fill on="f" focussize="0,0"/>
                <v:stroke weight="0.5pt" color="#000000" joinstyle="miter" endarrow="block" endarrowwidth="narrow"/>
                <v:imagedata o:title=""/>
                <o:lock v:ext="edit" aspectratio="f"/>
              </v:shape>
            </w:pict>
          </mc:Fallback>
        </mc:AlternateContent>
      </w:r>
    </w:p>
    <w:p w14:paraId="50FAA183">
      <w:pPr>
        <w:spacing w:line="360" w:lineRule="auto"/>
        <w:jc w:val="center"/>
        <w:rPr>
          <w:rFonts w:hint="default" w:ascii="Times New Roman" w:hAnsi="Times New Roman" w:cs="Times New Roman"/>
          <w:b/>
          <w:bCs/>
          <w:color w:val="FF0000"/>
          <w:sz w:val="24"/>
        </w:rPr>
      </w:pPr>
    </w:p>
    <w:p w14:paraId="07A1F569">
      <w:pPr>
        <w:spacing w:line="360" w:lineRule="auto"/>
        <w:jc w:val="center"/>
        <w:rPr>
          <w:rFonts w:hint="default" w:ascii="Times New Roman" w:hAnsi="Times New Roman" w:cs="Times New Roman"/>
          <w:color w:val="FF0000"/>
          <w:lang w:eastAsia="zh-CN"/>
        </w:rPr>
      </w:pPr>
      <w:r>
        <w:rPr>
          <w:rFonts w:hint="default" w:ascii="Times New Roman" w:hAnsi="Times New Roman" w:cs="Times New Roman"/>
          <w:b/>
          <w:bCs/>
          <w:color w:val="FF0000"/>
          <w:sz w:val="24"/>
        </w:rPr>
        <w:t>图3.</w:t>
      </w:r>
      <w:r>
        <w:rPr>
          <w:rFonts w:hint="default" w:ascii="Times New Roman" w:hAnsi="Times New Roman" w:cs="Times New Roman"/>
          <w:b/>
          <w:bCs/>
          <w:color w:val="FF0000"/>
          <w:sz w:val="24"/>
          <w:lang w:val="en-US" w:eastAsia="zh-CN"/>
        </w:rPr>
        <w:t>1</w:t>
      </w:r>
      <w:r>
        <w:rPr>
          <w:rFonts w:hint="default" w:ascii="Times New Roman" w:hAnsi="Times New Roman" w:cs="Times New Roman"/>
          <w:b/>
          <w:bCs/>
          <w:color w:val="FF0000"/>
          <w:sz w:val="24"/>
        </w:rPr>
        <w:t>-</w:t>
      </w:r>
      <w:r>
        <w:rPr>
          <w:rFonts w:hint="default" w:ascii="Times New Roman" w:hAnsi="Times New Roman" w:cs="Times New Roman"/>
          <w:b/>
          <w:bCs/>
          <w:color w:val="FF0000"/>
          <w:sz w:val="24"/>
          <w:lang w:val="en-US" w:eastAsia="zh-CN"/>
        </w:rPr>
        <w:t>3</w:t>
      </w:r>
      <w:r>
        <w:rPr>
          <w:rFonts w:hint="default" w:ascii="Times New Roman" w:hAnsi="Times New Roman" w:cs="Times New Roman"/>
          <w:b/>
          <w:bCs/>
          <w:color w:val="FF0000"/>
          <w:sz w:val="24"/>
        </w:rPr>
        <w:t>水平衡图单位m</w:t>
      </w:r>
      <w:r>
        <w:rPr>
          <w:rFonts w:hint="default" w:ascii="Times New Roman" w:hAnsi="Times New Roman" w:cs="Times New Roman"/>
          <w:b/>
          <w:bCs/>
          <w:color w:val="FF0000"/>
          <w:sz w:val="24"/>
          <w:vertAlign w:val="superscript"/>
        </w:rPr>
        <w:t>3</w:t>
      </w:r>
      <w:r>
        <w:rPr>
          <w:rFonts w:hint="default" w:ascii="Times New Roman" w:hAnsi="Times New Roman" w:cs="Times New Roman"/>
          <w:b/>
          <w:bCs/>
          <w:color w:val="FF0000"/>
          <w:sz w:val="24"/>
        </w:rPr>
        <w:t>/a</w:t>
      </w:r>
    </w:p>
    <w:p w14:paraId="6F1A997E">
      <w:pPr>
        <w:pStyle w:val="16"/>
        <w:keepNext w:val="0"/>
        <w:keepLines w:val="0"/>
        <w:pageBreakBefore w:val="0"/>
        <w:widowControl w:val="0"/>
        <w:kinsoku/>
        <w:wordWrap/>
        <w:overflowPunct/>
        <w:topLinePunct w:val="0"/>
        <w:autoSpaceDE w:val="0"/>
        <w:autoSpaceDN w:val="0"/>
        <w:bidi w:val="0"/>
        <w:spacing w:before="0" w:line="360" w:lineRule="auto"/>
        <w:ind w:right="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供电</w:t>
      </w:r>
    </w:p>
    <w:p w14:paraId="6CCC79F0">
      <w:pPr>
        <w:pStyle w:val="16"/>
        <w:keepNext w:val="0"/>
        <w:keepLines w:val="0"/>
        <w:pageBreakBefore w:val="0"/>
        <w:widowControl w:val="0"/>
        <w:kinsoku/>
        <w:wordWrap/>
        <w:overflowPunct/>
        <w:topLinePunct w:val="0"/>
        <w:autoSpaceDE w:val="0"/>
        <w:autoSpaceDN w:val="0"/>
        <w:bidi w:val="0"/>
        <w:spacing w:before="0" w:line="360" w:lineRule="auto"/>
        <w:ind w:right="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新疆生产建设兵团第十师188团</w:t>
      </w:r>
      <w:r>
        <w:rPr>
          <w:rFonts w:hint="default" w:ascii="Times New Roman" w:hAnsi="Times New Roman" w:cs="Times New Roman"/>
          <w:color w:val="auto"/>
        </w:rPr>
        <w:t>输变电基础设施完善，可为本项目提供可靠电源</w:t>
      </w:r>
      <w:r>
        <w:rPr>
          <w:rFonts w:hint="default" w:ascii="Times New Roman" w:hAnsi="Times New Roman" w:cs="Times New Roman"/>
          <w:color w:val="auto"/>
          <w:lang w:eastAsia="zh-CN"/>
        </w:rPr>
        <w:t>。</w:t>
      </w:r>
    </w:p>
    <w:p w14:paraId="39BCF1E0">
      <w:pPr>
        <w:pStyle w:val="16"/>
        <w:keepNext w:val="0"/>
        <w:keepLines w:val="0"/>
        <w:pageBreakBefore w:val="0"/>
        <w:widowControl w:val="0"/>
        <w:kinsoku/>
        <w:wordWrap/>
        <w:overflowPunct/>
        <w:topLinePunct w:val="0"/>
        <w:autoSpaceDE w:val="0"/>
        <w:autoSpaceDN w:val="0"/>
        <w:bidi w:val="0"/>
        <w:spacing w:before="0" w:line="360" w:lineRule="auto"/>
        <w:ind w:right="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4</w:t>
      </w:r>
      <w:r>
        <w:rPr>
          <w:rFonts w:hint="default" w:ascii="Times New Roman" w:hAnsi="Times New Roman" w:cs="Times New Roman"/>
          <w:color w:val="auto"/>
        </w:rPr>
        <w:t>）供热</w:t>
      </w:r>
    </w:p>
    <w:p w14:paraId="5A7400A1">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color w:val="auto"/>
          <w:highlight w:val="none"/>
          <w:lang w:val="en-US" w:eastAsia="zh-CN"/>
        </w:rPr>
      </w:pPr>
      <w:bookmarkStart w:id="39" w:name="_Toc2851"/>
      <w:bookmarkStart w:id="40" w:name="_Toc29807"/>
      <w:r>
        <w:rPr>
          <w:rFonts w:hint="default" w:ascii="Times New Roman" w:hAnsi="Times New Roman" w:cs="Times New Roman"/>
          <w:color w:val="auto"/>
          <w:highlight w:val="none"/>
          <w:lang w:val="en-US" w:eastAsia="zh-CN"/>
        </w:rPr>
        <w:t>本项目采用电暖器供热。</w:t>
      </w:r>
    </w:p>
    <w:p w14:paraId="15850B51">
      <w:pPr>
        <w:keepNext w:val="0"/>
        <w:keepLines w:val="0"/>
        <w:pageBreakBefore w:val="0"/>
        <w:widowControl w:val="0"/>
        <w:kinsoku/>
        <w:wordWrap/>
        <w:overflowPunct/>
        <w:topLinePunct w:val="0"/>
        <w:autoSpaceDE w:val="0"/>
        <w:autoSpaceDN w:val="0"/>
        <w:bidi w:val="0"/>
        <w:spacing w:line="360" w:lineRule="auto"/>
        <w:ind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通风系统</w:t>
      </w:r>
    </w:p>
    <w:p w14:paraId="37AE847D">
      <w:pPr>
        <w:keepNext w:val="0"/>
        <w:keepLines w:val="0"/>
        <w:pageBreakBefore w:val="0"/>
        <w:widowControl w:val="0"/>
        <w:kinsoku/>
        <w:wordWrap/>
        <w:overflowPunct/>
        <w:topLinePunct w:val="0"/>
        <w:autoSpaceDE w:val="0"/>
        <w:autoSpaceDN w:val="0"/>
        <w:bidi w:val="0"/>
        <w:spacing w:line="360" w:lineRule="auto"/>
        <w:ind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鸡舍夏季（6-9月）采用水帘降温，能够满足鸡舍饲养温度与夏季消暑需要。鸡舍需保持一定的空气流通和湿度，项目采用风机+水帘的方式对鸡舍进行通风、加湿。水帘通风系统由低压大流量轴流风机、水循环系统及控制装置组成，风机抽风时，造成室内负压，迫使室外未饱和的空气流经湿帘多孔湿润表面，进而对鸡舍进行通风、加湿。夏季温度较高时，水分蒸发可吸收大量的潜热，可对鸡舍进行降温，保持鸡舍恒温恒湿的状态，达到通风、保湿、降温的效果。</w:t>
      </w:r>
    </w:p>
    <w:p w14:paraId="450AE431">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eastAsia="宋体" w:cs="Times New Roman"/>
          <w:bCs/>
          <w:color w:val="auto"/>
          <w:sz w:val="24"/>
          <w:lang w:val="en-US" w:eastAsia="zh-CN"/>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w:t>
      </w:r>
      <w:r>
        <w:rPr>
          <w:rFonts w:hint="default" w:ascii="Times New Roman" w:hAnsi="Times New Roman" w:cs="Times New Roman"/>
          <w:bCs/>
          <w:color w:val="auto"/>
          <w:sz w:val="24"/>
          <w:lang w:val="en-US" w:eastAsia="zh-CN"/>
        </w:rPr>
        <w:t>消毒</w:t>
      </w:r>
    </w:p>
    <w:p w14:paraId="40319B73">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1）车辆消毒</w:t>
      </w:r>
    </w:p>
    <w:p w14:paraId="4A9048EF">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在大门入口处需设消毒关卡，对进来车辆进行消毒。关卡上设置喷雾口，采用喷雾方式消毒，避免产生地面径流，消毒液使用过氧乙酸。</w:t>
      </w:r>
    </w:p>
    <w:p w14:paraId="304FB82F">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2）人员消毒</w:t>
      </w:r>
    </w:p>
    <w:p w14:paraId="7B4853D2">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本项目对进场人员进行消毒，以防鸡感染外来疾病，主要使用过氧乙酸雾化消毒。</w:t>
      </w:r>
    </w:p>
    <w:p w14:paraId="15D17086">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3）鸡舍消毒</w:t>
      </w:r>
    </w:p>
    <w:p w14:paraId="0E293369">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蛋鸡在转群和出栏时，鸡舍需采取喷雾消毒，消毒剂主要为消毒威。</w:t>
      </w:r>
    </w:p>
    <w:p w14:paraId="3C392681">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4）消毒水处理</w:t>
      </w:r>
    </w:p>
    <w:p w14:paraId="39E45CDF">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本项目鸡舍消毒及人员消毒均采用喷雾及雾化的方式，不涉及冲洗工艺，厂区门口消毒池以喷洒的方式作业，用量不大，少量过氧乙酸液在地面基本自然蒸发。</w:t>
      </w:r>
    </w:p>
    <w:p w14:paraId="30C955C9">
      <w:pPr>
        <w:pStyle w:val="120"/>
        <w:keepNext w:val="0"/>
        <w:keepLines w:val="0"/>
        <w:pageBreakBefore w:val="0"/>
        <w:widowControl w:val="0"/>
        <w:kinsoku/>
        <w:wordWrap/>
        <w:overflowPunct/>
        <w:topLinePunct w:val="0"/>
        <w:autoSpaceDE w:val="0"/>
        <w:autoSpaceDN w:val="0"/>
        <w:bidi w:val="0"/>
        <w:spacing w:line="360" w:lineRule="auto"/>
        <w:ind w:right="0"/>
        <w:rPr>
          <w:rFonts w:hint="default" w:ascii="Times New Roman" w:hAnsi="Times New Roman" w:cs="Times New Roman"/>
          <w:color w:val="auto"/>
          <w:lang w:val="en-US" w:eastAsia="zh-CN"/>
        </w:rPr>
      </w:pPr>
      <w:r>
        <w:rPr>
          <w:rFonts w:hint="default" w:ascii="Times New Roman" w:hAnsi="Times New Roman" w:cs="Times New Roman"/>
          <w:bCs/>
          <w:color w:val="auto"/>
          <w:sz w:val="24"/>
          <w:lang w:val="en-US" w:eastAsia="zh-CN"/>
        </w:rPr>
        <w:t>综上，本项目运营期不会有消毒废水产生，不涉及消毒废水处理。</w:t>
      </w:r>
    </w:p>
    <w:p w14:paraId="3544060C">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场区总平面布置</w:t>
      </w:r>
      <w:bookmarkEnd w:id="39"/>
      <w:bookmarkEnd w:id="40"/>
    </w:p>
    <w:p w14:paraId="75DEAA48">
      <w:pPr>
        <w:spacing w:line="360" w:lineRule="auto"/>
        <w:ind w:firstLine="480" w:firstLineChars="200"/>
        <w:rPr>
          <w:rFonts w:hint="default" w:ascii="Times New Roman" w:hAnsi="Times New Roman" w:cs="Times New Roman"/>
          <w:color w:val="auto"/>
          <w:sz w:val="24"/>
        </w:rPr>
      </w:pPr>
      <w:bookmarkStart w:id="41" w:name="_Toc14646"/>
      <w:bookmarkStart w:id="42" w:name="_Toc2362"/>
      <w:r>
        <w:rPr>
          <w:rFonts w:hint="default" w:ascii="Times New Roman" w:hAnsi="Times New Roman" w:cs="Times New Roman"/>
          <w:color w:val="auto"/>
          <w:sz w:val="24"/>
          <w:lang w:val="en-US" w:eastAsia="zh-CN"/>
        </w:rPr>
        <w:t>根据《畜禽养殖业污染防治技术规范》（HJ/T81-2001）中场区布局要求，即“4.1新建、改建、扩建的畜禽养殖场应实现生产区、生活管理区的隔离，粪便污水处理设施和畜禽尸体焚烧炉应设在养殖场的生产区、生活管理区的常年主导风向的下风向或侧风向处。4.2养殖场的排水系统应实行雨水和污水收集输送系统分离，在场区内外设置的污水收集输送系统，不得采取明沟的布设”。</w:t>
      </w:r>
    </w:p>
    <w:p w14:paraId="27B9C16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项目设有生产区和生活管理区，项目生产区位于场区中部，主要建设蛋鸡舍、育雏舍、蛋品库等，由西向东依次排列；生活区位于项目区西侧，与鸡舍分开。项目场区设有绿化隔离带。</w:t>
      </w:r>
    </w:p>
    <w:p w14:paraId="1766931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根据当地气象资料，该区域常年主导风向为西北风。办公区位于厂区东南侧，处于全年主导侧风向处，供水供电等设施环绕厂区建设；厂区北侧为进场道路，与乡道相连，为项目主要对外联系通道。厂区内设两个出入口，为人员及货物出入口。厂区内道路为环状式布置，基本满足物流，消防要求。</w:t>
      </w:r>
    </w:p>
    <w:p w14:paraId="33B71E1F">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lang w:val="en-US" w:eastAsia="zh-CN"/>
        </w:rPr>
        <w:t>综上所述，本项目平面布置符合《畜禽养殖业污染防治技术规范》（HJ/T81-2001），从环境保护的角度分析本项目的平面布置基本合理。项目总平面布置见附图3-3。</w:t>
      </w:r>
      <w:r>
        <w:rPr>
          <w:rFonts w:hint="default" w:ascii="Times New Roman" w:hAnsi="Times New Roman" w:cs="Times New Roman"/>
          <w:color w:val="auto"/>
          <w:sz w:val="24"/>
          <w:szCs w:val="24"/>
          <w:highlight w:val="none"/>
          <w:lang w:val="en-US" w:eastAsia="zh-CN"/>
        </w:rPr>
        <w:t>项目区总平面布置与相关技术规范符合性分析如下：</w:t>
      </w:r>
    </w:p>
    <w:p w14:paraId="30F93A47">
      <w:pPr>
        <w:pStyle w:val="14"/>
        <w:bidi w:val="0"/>
        <w:spacing w:line="240" w:lineRule="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3.1</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w:t>
      </w:r>
      <w:r>
        <w:rPr>
          <w:rFonts w:hint="default" w:ascii="Times New Roman" w:hAnsi="Times New Roman" w:cs="Times New Roman"/>
          <w:color w:val="FF0000"/>
        </w:rPr>
        <w:fldChar w:fldCharType="end"/>
      </w:r>
      <w:r>
        <w:rPr>
          <w:rFonts w:hint="default" w:ascii="Times New Roman" w:hAnsi="Times New Roman" w:cs="Times New Roman"/>
          <w:color w:val="FF0000"/>
          <w:sz w:val="21"/>
          <w:szCs w:val="21"/>
          <w:highlight w:val="none"/>
          <w:lang w:val="en-US" w:eastAsia="zh-CN"/>
        </w:rPr>
        <w:t>与《畜禽养殖业污染防治技术规范》（HJ/T81-2001）符合性</w:t>
      </w:r>
    </w:p>
    <w:tbl>
      <w:tblPr>
        <w:tblStyle w:val="33"/>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3"/>
        <w:gridCol w:w="3086"/>
        <w:gridCol w:w="847"/>
      </w:tblGrid>
      <w:tr w14:paraId="6F10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698" w:type="pct"/>
            <w:tcBorders>
              <w:tl2br w:val="nil"/>
              <w:tr2bl w:val="nil"/>
            </w:tcBorders>
            <w:noWrap w:val="0"/>
            <w:vAlign w:val="center"/>
          </w:tcPr>
          <w:p w14:paraId="54F2BE3B">
            <w:pPr>
              <w:pStyle w:val="126"/>
              <w:keepNext w:val="0"/>
              <w:keepLines w:val="0"/>
              <w:suppressLineNumbers w:val="0"/>
              <w:bidi w:val="0"/>
              <w:spacing w:before="0" w:beforeAutospacing="0" w:after="0" w:afterAutospacing="0"/>
              <w:ind w:left="0" w:right="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HJ/T81-2001</w:t>
            </w:r>
          </w:p>
        </w:tc>
        <w:tc>
          <w:tcPr>
            <w:tcW w:w="1805" w:type="pct"/>
            <w:tcBorders>
              <w:tl2br w:val="nil"/>
              <w:tr2bl w:val="nil"/>
            </w:tcBorders>
            <w:noWrap w:val="0"/>
            <w:vAlign w:val="center"/>
          </w:tcPr>
          <w:p w14:paraId="64D20335">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本项目</w:t>
            </w:r>
          </w:p>
        </w:tc>
        <w:tc>
          <w:tcPr>
            <w:tcW w:w="495" w:type="pct"/>
            <w:tcBorders>
              <w:tl2br w:val="nil"/>
              <w:tr2bl w:val="nil"/>
            </w:tcBorders>
            <w:noWrap w:val="0"/>
            <w:vAlign w:val="center"/>
          </w:tcPr>
          <w:p w14:paraId="332FB0EC">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符合性</w:t>
            </w:r>
          </w:p>
        </w:tc>
      </w:tr>
      <w:tr w14:paraId="22CA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2698" w:type="pct"/>
            <w:tcBorders>
              <w:tl2br w:val="nil"/>
              <w:tr2bl w:val="nil"/>
            </w:tcBorders>
            <w:noWrap w:val="0"/>
            <w:vAlign w:val="center"/>
          </w:tcPr>
          <w:p w14:paraId="0D199449">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新建、改建、扩建的畜禽养殖场应实现生产区、生活管理区的隔离，粪便污水处理设施和畜禽尸体焚烧炉应设在养殖场的生产区、生活管理区的常年主导风向的下风向或侧风向处。</w:t>
            </w:r>
          </w:p>
        </w:tc>
        <w:tc>
          <w:tcPr>
            <w:tcW w:w="1805" w:type="pct"/>
            <w:tcBorders>
              <w:tl2br w:val="nil"/>
              <w:tr2bl w:val="nil"/>
            </w:tcBorders>
            <w:noWrap w:val="0"/>
            <w:vAlign w:val="center"/>
          </w:tcPr>
          <w:p w14:paraId="35E6CDB6">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本项目所在区域年主导风向为西北风，项目粪便污水处理设施、填埋井等位于区域常年主要风频的下风向。</w:t>
            </w:r>
          </w:p>
        </w:tc>
        <w:tc>
          <w:tcPr>
            <w:tcW w:w="495" w:type="pct"/>
            <w:tcBorders>
              <w:tl2br w:val="nil"/>
              <w:tr2bl w:val="nil"/>
            </w:tcBorders>
            <w:noWrap w:val="0"/>
            <w:vAlign w:val="center"/>
          </w:tcPr>
          <w:p w14:paraId="616B6C02">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w:t>
            </w:r>
          </w:p>
        </w:tc>
      </w:tr>
      <w:tr w14:paraId="6D4B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698" w:type="pct"/>
            <w:tcBorders>
              <w:tl2br w:val="nil"/>
              <w:tr2bl w:val="nil"/>
            </w:tcBorders>
            <w:noWrap w:val="0"/>
            <w:vAlign w:val="center"/>
          </w:tcPr>
          <w:p w14:paraId="266BC6B9">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养殖场的排水系统应实行雨水和污水收集输送系统分离，在场区内外设置的污水收集输送系统不得采取明沟布设。</w:t>
            </w:r>
          </w:p>
        </w:tc>
        <w:tc>
          <w:tcPr>
            <w:tcW w:w="1805" w:type="pct"/>
            <w:tcBorders>
              <w:tl2br w:val="nil"/>
              <w:tr2bl w:val="nil"/>
            </w:tcBorders>
            <w:noWrap w:val="0"/>
            <w:vAlign w:val="center"/>
          </w:tcPr>
          <w:p w14:paraId="0D990107">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项目区实施雨污分流，粪便收集设施冲洗废水输送设置污水收集输送系统。</w:t>
            </w:r>
          </w:p>
        </w:tc>
        <w:tc>
          <w:tcPr>
            <w:tcW w:w="495" w:type="pct"/>
            <w:tcBorders>
              <w:tl2br w:val="nil"/>
              <w:tr2bl w:val="nil"/>
            </w:tcBorders>
            <w:noWrap w:val="0"/>
            <w:vAlign w:val="center"/>
          </w:tcPr>
          <w:p w14:paraId="06286372">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w:t>
            </w:r>
          </w:p>
        </w:tc>
      </w:tr>
    </w:tbl>
    <w:p w14:paraId="1ADD08D7">
      <w:pPr>
        <w:pStyle w:val="14"/>
        <w:keepNext w:val="0"/>
        <w:keepLines w:val="0"/>
        <w:pageBreakBefore w:val="0"/>
        <w:widowControl w:val="0"/>
        <w:kinsoku/>
        <w:wordWrap/>
        <w:overflowPunct/>
        <w:topLinePunct w:val="0"/>
        <w:autoSpaceDE/>
        <w:autoSpaceDN/>
        <w:bidi w:val="0"/>
        <w:adjustRightInd w:val="0"/>
        <w:snapToGrid/>
        <w:spacing w:before="157" w:beforeLines="50" w:line="240" w:lineRule="auto"/>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3.1</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6</w:t>
      </w:r>
      <w:r>
        <w:rPr>
          <w:rFonts w:hint="default" w:ascii="Times New Roman" w:hAnsi="Times New Roman" w:cs="Times New Roman"/>
          <w:color w:val="FF0000"/>
        </w:rPr>
        <w:fldChar w:fldCharType="end"/>
      </w:r>
      <w:r>
        <w:rPr>
          <w:rFonts w:hint="default" w:ascii="Times New Roman" w:hAnsi="Times New Roman" w:cs="Times New Roman"/>
          <w:color w:val="FF0000"/>
          <w:sz w:val="21"/>
          <w:szCs w:val="21"/>
          <w:highlight w:val="none"/>
          <w:lang w:val="en-US" w:eastAsia="zh-CN"/>
        </w:rPr>
        <w:t>与《畜禽粪便无害化处理技术规范》（NY/T1168-2006）符合性</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2"/>
        <w:gridCol w:w="3594"/>
        <w:gridCol w:w="923"/>
      </w:tblGrid>
      <w:tr w14:paraId="765C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4FCCC962">
            <w:pPr>
              <w:pStyle w:val="126"/>
              <w:keepNext w:val="0"/>
              <w:keepLines w:val="0"/>
              <w:suppressLineNumbers w:val="0"/>
              <w:bidi w:val="0"/>
              <w:spacing w:before="0" w:beforeAutospacing="0" w:after="0" w:afterAutospacing="0"/>
              <w:ind w:left="0" w:right="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NY/T1168-2006</w:t>
            </w:r>
          </w:p>
        </w:tc>
        <w:tc>
          <w:tcPr>
            <w:tcW w:w="2106" w:type="pct"/>
            <w:tcBorders>
              <w:tl2br w:val="nil"/>
              <w:tr2bl w:val="nil"/>
            </w:tcBorders>
            <w:noWrap w:val="0"/>
            <w:vAlign w:val="center"/>
          </w:tcPr>
          <w:p w14:paraId="01B7EA75">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本项目</w:t>
            </w:r>
          </w:p>
        </w:tc>
        <w:tc>
          <w:tcPr>
            <w:tcW w:w="541" w:type="pct"/>
            <w:tcBorders>
              <w:tl2br w:val="nil"/>
              <w:tr2bl w:val="nil"/>
            </w:tcBorders>
            <w:noWrap w:val="0"/>
            <w:vAlign w:val="center"/>
          </w:tcPr>
          <w:p w14:paraId="40046A86">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符合性</w:t>
            </w:r>
          </w:p>
        </w:tc>
      </w:tr>
      <w:tr w14:paraId="24BC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2351" w:type="pct"/>
            <w:tcBorders>
              <w:tl2br w:val="nil"/>
              <w:tr2bl w:val="nil"/>
            </w:tcBorders>
            <w:noWrap w:val="0"/>
            <w:vAlign w:val="center"/>
          </w:tcPr>
          <w:p w14:paraId="1CBBD400">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设置在畜禽养殖区域内的粪便处理设施应按照NY/T682的规定设计，应设在养殖场的生产区、生活管理区的常年主导风向的下风向或侧风向处，与主要生产设施之间保持100m以上的距离。</w:t>
            </w:r>
          </w:p>
        </w:tc>
        <w:tc>
          <w:tcPr>
            <w:tcW w:w="2106" w:type="pct"/>
            <w:tcBorders>
              <w:tl2br w:val="nil"/>
              <w:tr2bl w:val="nil"/>
            </w:tcBorders>
            <w:noWrap w:val="0"/>
            <w:vAlign w:val="center"/>
          </w:tcPr>
          <w:p w14:paraId="008A7210">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本项目所在区域年主导风向为西北风，项目粪便处理设施基本位于区域常年主要风频的下风向。与其他功能区间距保持100m以上距离。</w:t>
            </w:r>
          </w:p>
        </w:tc>
        <w:tc>
          <w:tcPr>
            <w:tcW w:w="541" w:type="pct"/>
            <w:tcBorders>
              <w:tl2br w:val="nil"/>
              <w:tr2bl w:val="nil"/>
            </w:tcBorders>
            <w:noWrap w:val="0"/>
            <w:vAlign w:val="center"/>
          </w:tcPr>
          <w:p w14:paraId="7100258D">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w:t>
            </w:r>
          </w:p>
        </w:tc>
      </w:tr>
      <w:tr w14:paraId="2C9E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77F2CBF8">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粪污处理场地距离功能地表水体400m以上，应采取地面硬化、防渗漏、防径流和雨污分流等措施。</w:t>
            </w:r>
          </w:p>
        </w:tc>
        <w:tc>
          <w:tcPr>
            <w:tcW w:w="2106" w:type="pct"/>
            <w:tcBorders>
              <w:tl2br w:val="nil"/>
              <w:tr2bl w:val="nil"/>
            </w:tcBorders>
            <w:noWrap w:val="0"/>
            <w:vAlign w:val="center"/>
          </w:tcPr>
          <w:p w14:paraId="384420B7">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本项目周边无地表水体，满足要求。要求其在施工设计中采取地面硬化、防渗漏、防径流和雨污分流等措施。</w:t>
            </w:r>
          </w:p>
        </w:tc>
        <w:tc>
          <w:tcPr>
            <w:tcW w:w="541" w:type="pct"/>
            <w:tcBorders>
              <w:tl2br w:val="nil"/>
              <w:tr2bl w:val="nil"/>
            </w:tcBorders>
            <w:noWrap w:val="0"/>
            <w:vAlign w:val="center"/>
          </w:tcPr>
          <w:p w14:paraId="12F720EE">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w:t>
            </w:r>
          </w:p>
        </w:tc>
      </w:tr>
    </w:tbl>
    <w:p w14:paraId="3369ACED">
      <w:pPr>
        <w:pStyle w:val="124"/>
        <w:keepNext w:val="0"/>
        <w:keepLines w:val="0"/>
        <w:pageBreakBefore w:val="0"/>
        <w:widowControl w:val="0"/>
        <w:kinsoku/>
        <w:wordWrap/>
        <w:overflowPunct/>
        <w:topLinePunct w:val="0"/>
        <w:autoSpaceDE/>
        <w:autoSpaceDN/>
        <w:bidi w:val="0"/>
        <w:adjustRightInd w:val="0"/>
        <w:snapToGrid/>
        <w:spacing w:before="157" w:beforeLines="5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3.1-</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与《畜禽场场区设计技术规范》（NY/T682-2003）符合性</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6"/>
        <w:gridCol w:w="2791"/>
        <w:gridCol w:w="942"/>
      </w:tblGrid>
      <w:tr w14:paraId="058F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11" w:type="pct"/>
            <w:tcBorders>
              <w:tl2br w:val="nil"/>
              <w:tr2bl w:val="nil"/>
            </w:tcBorders>
            <w:noWrap w:val="0"/>
            <w:vAlign w:val="center"/>
          </w:tcPr>
          <w:p w14:paraId="62452083">
            <w:pPr>
              <w:pStyle w:val="12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NY/T682-2003</w:t>
            </w:r>
          </w:p>
        </w:tc>
        <w:tc>
          <w:tcPr>
            <w:tcW w:w="1636" w:type="pct"/>
            <w:tcBorders>
              <w:tl2br w:val="nil"/>
              <w:tr2bl w:val="nil"/>
            </w:tcBorders>
            <w:noWrap w:val="0"/>
            <w:vAlign w:val="center"/>
          </w:tcPr>
          <w:p w14:paraId="07839FED">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w:t>
            </w:r>
          </w:p>
        </w:tc>
        <w:tc>
          <w:tcPr>
            <w:tcW w:w="552" w:type="pct"/>
            <w:tcBorders>
              <w:tl2br w:val="nil"/>
              <w:tr2bl w:val="nil"/>
            </w:tcBorders>
            <w:noWrap w:val="0"/>
            <w:vAlign w:val="center"/>
          </w:tcPr>
          <w:p w14:paraId="206DB072">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符合性</w:t>
            </w:r>
          </w:p>
        </w:tc>
      </w:tr>
      <w:tr w14:paraId="65C4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1" w:type="pct"/>
            <w:tcBorders>
              <w:tl2br w:val="nil"/>
              <w:tr2bl w:val="nil"/>
            </w:tcBorders>
            <w:noWrap w:val="0"/>
            <w:vAlign w:val="center"/>
          </w:tcPr>
          <w:p w14:paraId="4ABC2558">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根据畜禽场的生产工艺要求，按功能分区布置各个建（构）筑物的位置，为畜禽生产提供一个良好的生产环境。畜禽场一般应划分生活管理区、辅助生产区、生产区和隔离区。</w:t>
            </w:r>
          </w:p>
        </w:tc>
        <w:tc>
          <w:tcPr>
            <w:tcW w:w="1636" w:type="pct"/>
            <w:tcBorders>
              <w:tl2br w:val="nil"/>
              <w:tr2bl w:val="nil"/>
            </w:tcBorders>
            <w:noWrap w:val="0"/>
            <w:vAlign w:val="center"/>
          </w:tcPr>
          <w:p w14:paraId="5F63CA6C">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本项目主要分为养殖区、生活区，各个功能区分区明确，中间用道路或绿化进行隔离。</w:t>
            </w:r>
          </w:p>
        </w:tc>
        <w:tc>
          <w:tcPr>
            <w:tcW w:w="552" w:type="pct"/>
            <w:tcBorders>
              <w:tl2br w:val="nil"/>
              <w:tr2bl w:val="nil"/>
            </w:tcBorders>
            <w:noWrap w:val="0"/>
            <w:vAlign w:val="center"/>
          </w:tcPr>
          <w:p w14:paraId="70A16EF5">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5ACB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1" w:type="pct"/>
            <w:tcBorders>
              <w:tl2br w:val="nil"/>
              <w:tr2bl w:val="nil"/>
            </w:tcBorders>
            <w:noWrap w:val="0"/>
            <w:vAlign w:val="center"/>
          </w:tcPr>
          <w:p w14:paraId="0EAAC0CC">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畜禽场大门应位于场区主干道与场外道路连接处，设施布置应使外来人员或车辆应经过强制性消毒，并经门卫放行才能进场。</w:t>
            </w:r>
          </w:p>
          <w:p w14:paraId="3CD425DB">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产区主要布置各种畜禽舍和相应的挤奶厅、孵化厅、蛋库、剪毛间、药浴池、人工授精室、胚胎移植室、装车台等。生产区与其他区之间应用围墙或绿化隔离带严格分开，在生产区入口处设置第二次人员更衣消毒室和车辆消毒设施。这些设施都应设置两个出入口，分别与生活管理区和生产区相通。</w:t>
            </w:r>
          </w:p>
        </w:tc>
        <w:tc>
          <w:tcPr>
            <w:tcW w:w="1636" w:type="pct"/>
            <w:tcBorders>
              <w:tl2br w:val="nil"/>
              <w:tr2bl w:val="nil"/>
            </w:tcBorders>
            <w:noWrap w:val="0"/>
            <w:vAlign w:val="center"/>
          </w:tcPr>
          <w:p w14:paraId="3C8A675D">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项目区进出口和养殖区进出口设置消毒设施，生产区与其他区域用道路或绿化带进行隔离，项目区内道路设置保证生产区与生活区相通。</w:t>
            </w:r>
          </w:p>
        </w:tc>
        <w:tc>
          <w:tcPr>
            <w:tcW w:w="552" w:type="pct"/>
            <w:tcBorders>
              <w:tl2br w:val="nil"/>
              <w:tr2bl w:val="nil"/>
            </w:tcBorders>
            <w:noWrap w:val="0"/>
            <w:vAlign w:val="center"/>
          </w:tcPr>
          <w:p w14:paraId="45D6A68A">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5A6A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1" w:type="pct"/>
            <w:tcBorders>
              <w:tl2br w:val="nil"/>
              <w:tr2bl w:val="nil"/>
            </w:tcBorders>
            <w:noWrap w:val="0"/>
            <w:vAlign w:val="center"/>
          </w:tcPr>
          <w:p w14:paraId="082CF475">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场区实行雨污分流的原则，对场区自然降水可采用有组织的排水。对场区污水应采用暗管排放，集中处理，符合GB18596的规定。</w:t>
            </w:r>
          </w:p>
        </w:tc>
        <w:tc>
          <w:tcPr>
            <w:tcW w:w="1636" w:type="pct"/>
            <w:tcBorders>
              <w:tl2br w:val="nil"/>
              <w:tr2bl w:val="nil"/>
            </w:tcBorders>
            <w:noWrap w:val="0"/>
            <w:vAlign w:val="center"/>
          </w:tcPr>
          <w:p w14:paraId="2A1372ED">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项目区内实行雨污分流，粪便收集设施冲洗废水通过暗管排放至废水收集池内。</w:t>
            </w:r>
          </w:p>
        </w:tc>
        <w:tc>
          <w:tcPr>
            <w:tcW w:w="552" w:type="pct"/>
            <w:tcBorders>
              <w:tl2br w:val="nil"/>
              <w:tr2bl w:val="nil"/>
            </w:tcBorders>
            <w:noWrap w:val="0"/>
            <w:vAlign w:val="center"/>
          </w:tcPr>
          <w:p w14:paraId="367F31AE">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bl>
    <w:p w14:paraId="1280F387">
      <w:pPr>
        <w:pStyle w:val="124"/>
        <w:keepNext w:val="0"/>
        <w:keepLines w:val="0"/>
        <w:pageBreakBefore w:val="0"/>
        <w:widowControl w:val="0"/>
        <w:kinsoku/>
        <w:wordWrap/>
        <w:overflowPunct/>
        <w:topLinePunct w:val="0"/>
        <w:autoSpaceDE/>
        <w:autoSpaceDN/>
        <w:bidi w:val="0"/>
        <w:adjustRightInd w:val="0"/>
        <w:snapToGrid/>
        <w:spacing w:before="157" w:beforeLines="50"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3.1-</w:t>
      </w:r>
      <w:r>
        <w:rPr>
          <w:rFonts w:hint="default"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与《畜禽养殖场质量及卫生控制规范》（NY/T1167-2006）符合性</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5"/>
        <w:gridCol w:w="2792"/>
        <w:gridCol w:w="942"/>
      </w:tblGrid>
      <w:tr w14:paraId="1746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810" w:type="pct"/>
            <w:tcBorders>
              <w:tl2br w:val="nil"/>
              <w:tr2bl w:val="nil"/>
            </w:tcBorders>
            <w:noWrap w:val="0"/>
            <w:vAlign w:val="center"/>
          </w:tcPr>
          <w:p w14:paraId="213DB16F">
            <w:pPr>
              <w:pStyle w:val="12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NY/T1167-2006</w:t>
            </w:r>
          </w:p>
        </w:tc>
        <w:tc>
          <w:tcPr>
            <w:tcW w:w="1636" w:type="pct"/>
            <w:tcBorders>
              <w:tl2br w:val="nil"/>
              <w:tr2bl w:val="nil"/>
            </w:tcBorders>
            <w:noWrap w:val="0"/>
            <w:vAlign w:val="center"/>
          </w:tcPr>
          <w:p w14:paraId="1F7B5E32">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w:t>
            </w:r>
          </w:p>
        </w:tc>
        <w:tc>
          <w:tcPr>
            <w:tcW w:w="552" w:type="pct"/>
            <w:tcBorders>
              <w:tl2br w:val="nil"/>
              <w:tr2bl w:val="nil"/>
            </w:tcBorders>
            <w:noWrap w:val="0"/>
            <w:vAlign w:val="center"/>
          </w:tcPr>
          <w:p w14:paraId="0D70994B">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符合性</w:t>
            </w:r>
          </w:p>
        </w:tc>
      </w:tr>
      <w:tr w14:paraId="709C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tcBorders>
              <w:tl2br w:val="nil"/>
              <w:tr2bl w:val="nil"/>
            </w:tcBorders>
            <w:noWrap w:val="0"/>
            <w:vAlign w:val="center"/>
          </w:tcPr>
          <w:p w14:paraId="0EC75B22">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正确选址：按照GB19525.2的要求对畜禽养殖场环境质量和环境影响进行评价，摸清当地环境质量现状以及畜禽养殖场、养殖小区建成后对当地环境质量将产生的影响。</w:t>
            </w:r>
          </w:p>
        </w:tc>
        <w:tc>
          <w:tcPr>
            <w:tcW w:w="1636" w:type="pct"/>
            <w:tcBorders>
              <w:tl2br w:val="nil"/>
              <w:tr2bl w:val="nil"/>
            </w:tcBorders>
            <w:noWrap w:val="0"/>
            <w:vAlign w:val="center"/>
          </w:tcPr>
          <w:p w14:paraId="31EA007A">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项目在第三及第四章节进行了分析评价，符合其要求。</w:t>
            </w:r>
          </w:p>
        </w:tc>
        <w:tc>
          <w:tcPr>
            <w:tcW w:w="552" w:type="pct"/>
            <w:tcBorders>
              <w:tl2br w:val="nil"/>
              <w:tr2bl w:val="nil"/>
            </w:tcBorders>
            <w:noWrap w:val="0"/>
            <w:vAlign w:val="center"/>
          </w:tcPr>
          <w:p w14:paraId="66E35B04">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0345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tcBorders>
              <w:tl2br w:val="nil"/>
              <w:tr2bl w:val="nil"/>
            </w:tcBorders>
            <w:noWrap w:val="0"/>
            <w:vAlign w:val="center"/>
          </w:tcPr>
          <w:p w14:paraId="0364EF65">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合理布局：住宅区、生活管理区、生产区、隔离区分开，且依次处于场区常年主导风向的上风向。</w:t>
            </w:r>
          </w:p>
        </w:tc>
        <w:tc>
          <w:tcPr>
            <w:tcW w:w="1636" w:type="pct"/>
            <w:tcBorders>
              <w:tl2br w:val="nil"/>
              <w:tr2bl w:val="nil"/>
            </w:tcBorders>
            <w:noWrap w:val="0"/>
            <w:vAlign w:val="center"/>
          </w:tcPr>
          <w:p w14:paraId="69914D4F">
            <w:pPr>
              <w:pStyle w:val="126"/>
              <w:keepNext w:val="0"/>
              <w:keepLines w:val="0"/>
              <w:suppressLineNumbers w:val="0"/>
              <w:bidi w:val="0"/>
              <w:spacing w:before="0" w:beforeAutospacing="0" w:after="0" w:afterAutospacing="0"/>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本项目生产区与生活区之间分隔开来，生活区位于主导风向侧风向。</w:t>
            </w:r>
          </w:p>
        </w:tc>
        <w:tc>
          <w:tcPr>
            <w:tcW w:w="552" w:type="pct"/>
            <w:tcBorders>
              <w:tl2br w:val="nil"/>
              <w:tr2bl w:val="nil"/>
            </w:tcBorders>
            <w:noWrap w:val="0"/>
            <w:vAlign w:val="center"/>
          </w:tcPr>
          <w:p w14:paraId="113E3C5F">
            <w:pPr>
              <w:pStyle w:val="126"/>
              <w:keepNext w:val="0"/>
              <w:keepLines w:val="0"/>
              <w:suppressLineNumbers w:val="0"/>
              <w:bidi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bl>
    <w:p w14:paraId="3941438D">
      <w:pPr>
        <w:pStyle w:val="12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4"/>
          <w:highlight w:val="none"/>
          <w:lang w:val="en-US" w:eastAsia="zh-CN"/>
        </w:rPr>
        <w:t>本项目总平面布置根据现有地形和当地主导风向，考虑周围环境，并兼顾防疫、消防、环境卫生等要求，符合工艺流程，充分考虑自然地形地貌条件，满足生产要求，合理布置场区的建筑提高了生产效率，降低了运输成本。平面布置符合相关技术规范要求，合理可行</w:t>
      </w:r>
      <w:r>
        <w:rPr>
          <w:rFonts w:hint="default" w:ascii="Times New Roman" w:hAnsi="Times New Roman" w:cs="Times New Roman"/>
          <w:color w:val="auto"/>
          <w:sz w:val="24"/>
        </w:rPr>
        <w:t>。</w:t>
      </w:r>
    </w:p>
    <w:p w14:paraId="69C2CFCF">
      <w:pPr>
        <w:pStyle w:val="3"/>
        <w:bidi w:val="0"/>
        <w:rPr>
          <w:rFonts w:hint="default" w:ascii="Times New Roman" w:hAnsi="Times New Roman" w:cs="Times New Roman"/>
          <w:color w:val="auto"/>
          <w:lang w:val="en-US" w:eastAsia="zh-CN"/>
        </w:rPr>
      </w:pPr>
      <w:bookmarkStart w:id="43" w:name="_Toc7127"/>
      <w:r>
        <w:rPr>
          <w:rFonts w:hint="default" w:ascii="Times New Roman" w:hAnsi="Times New Roman" w:cs="Times New Roman"/>
          <w:color w:val="auto"/>
          <w:lang w:val="en-US" w:eastAsia="zh-CN"/>
        </w:rPr>
        <w:t>本项目主要设备</w:t>
      </w:r>
      <w:bookmarkEnd w:id="41"/>
      <w:bookmarkEnd w:id="42"/>
      <w:bookmarkEnd w:id="43"/>
    </w:p>
    <w:p w14:paraId="66A2685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rPr>
      </w:pPr>
      <w:r>
        <w:rPr>
          <w:rFonts w:hint="default" w:ascii="Times New Roman" w:hAnsi="Times New Roman" w:cs="Times New Roman"/>
          <w:color w:val="FF0000"/>
        </w:rPr>
        <w:t>本项目主要设备组成详见表</w:t>
      </w:r>
      <w:r>
        <w:rPr>
          <w:rFonts w:hint="default" w:ascii="Times New Roman" w:hAnsi="Times New Roman" w:cs="Times New Roman"/>
          <w:color w:val="FF0000"/>
          <w:lang w:val="en-US"/>
        </w:rPr>
        <w:t>3</w:t>
      </w:r>
      <w:r>
        <w:rPr>
          <w:rFonts w:hint="default" w:ascii="Times New Roman" w:hAnsi="Times New Roman" w:cs="Times New Roman"/>
          <w:color w:val="FF0000"/>
        </w:rPr>
        <w:t>.</w:t>
      </w:r>
      <w:r>
        <w:rPr>
          <w:rFonts w:hint="default" w:ascii="Times New Roman" w:hAnsi="Times New Roman" w:cs="Times New Roman"/>
          <w:color w:val="FF0000"/>
          <w:lang w:val="en-US" w:eastAsia="zh-CN"/>
        </w:rPr>
        <w:t>2</w:t>
      </w:r>
      <w:r>
        <w:rPr>
          <w:rFonts w:hint="default" w:ascii="Times New Roman" w:hAnsi="Times New Roman" w:cs="Times New Roman"/>
          <w:color w:val="FF0000"/>
        </w:rPr>
        <w:t>-</w:t>
      </w:r>
      <w:r>
        <w:rPr>
          <w:rFonts w:hint="default" w:ascii="Times New Roman" w:hAnsi="Times New Roman" w:cs="Times New Roman"/>
          <w:color w:val="FF0000"/>
          <w:lang w:val="en-US" w:eastAsia="zh-CN"/>
        </w:rPr>
        <w:t>1</w:t>
      </w:r>
      <w:r>
        <w:rPr>
          <w:rFonts w:hint="default" w:ascii="Times New Roman" w:hAnsi="Times New Roman" w:cs="Times New Roman"/>
          <w:color w:val="FF0000"/>
        </w:rPr>
        <w:t>。</w:t>
      </w:r>
    </w:p>
    <w:p w14:paraId="12292E9F">
      <w:pPr>
        <w:pStyle w:val="14"/>
        <w:bidi w:val="0"/>
        <w:rPr>
          <w:rFonts w:hint="default" w:ascii="Times New Roman" w:hAnsi="Times New Roman" w:cs="Times New Roman"/>
          <w:color w:val="FF0000"/>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w:t>
      </w:r>
      <w:r>
        <w:rPr>
          <w:rFonts w:hint="default" w:ascii="Times New Roman" w:hAnsi="Times New Roman" w:cs="Times New Roman"/>
          <w:color w:val="FF0000"/>
        </w:rPr>
        <w:fldChar w:fldCharType="end"/>
      </w:r>
      <w:r>
        <w:rPr>
          <w:rFonts w:hint="default" w:ascii="Times New Roman" w:hAnsi="Times New Roman" w:cs="Times New Roman"/>
          <w:color w:val="FF0000"/>
        </w:rPr>
        <w:t>本项目主要生产设备一览表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3313"/>
        <w:gridCol w:w="2003"/>
        <w:gridCol w:w="2110"/>
      </w:tblGrid>
      <w:tr w14:paraId="10CC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30977DB5">
            <w:pPr>
              <w:widowControl/>
              <w:autoSpaceDE/>
              <w:autoSpaceDN/>
              <w:jc w:val="center"/>
              <w:rPr>
                <w:rFonts w:hint="default" w:ascii="Times New Roman" w:hAnsi="Times New Roman" w:cs="Times New Roman"/>
                <w:b/>
                <w:bCs/>
                <w:color w:val="FF0000"/>
                <w:sz w:val="21"/>
                <w:szCs w:val="21"/>
                <w:lang w:val="en-US" w:bidi="ar-SA"/>
              </w:rPr>
            </w:pPr>
            <w:r>
              <w:rPr>
                <w:rFonts w:hint="default" w:ascii="Times New Roman" w:hAnsi="Times New Roman" w:cs="Times New Roman"/>
                <w:b/>
                <w:bCs/>
                <w:color w:val="FF0000"/>
                <w:sz w:val="21"/>
                <w:szCs w:val="21"/>
                <w:lang w:val="en-US" w:bidi="ar-SA"/>
              </w:rPr>
              <w:t>品名</w:t>
            </w:r>
          </w:p>
        </w:tc>
        <w:tc>
          <w:tcPr>
            <w:tcW w:w="1942" w:type="pct"/>
            <w:tcBorders>
              <w:tl2br w:val="nil"/>
              <w:tr2bl w:val="nil"/>
            </w:tcBorders>
            <w:noWrap w:val="0"/>
            <w:vAlign w:val="center"/>
          </w:tcPr>
          <w:p w14:paraId="24D19777">
            <w:pPr>
              <w:widowControl/>
              <w:autoSpaceDE/>
              <w:autoSpaceDN/>
              <w:jc w:val="center"/>
              <w:rPr>
                <w:rFonts w:hint="default" w:ascii="Times New Roman" w:hAnsi="Times New Roman" w:cs="Times New Roman"/>
                <w:b/>
                <w:bCs/>
                <w:color w:val="FF0000"/>
                <w:sz w:val="21"/>
                <w:szCs w:val="21"/>
                <w:lang w:val="en-US" w:bidi="ar-SA"/>
              </w:rPr>
            </w:pPr>
            <w:r>
              <w:rPr>
                <w:rFonts w:hint="default" w:ascii="Times New Roman" w:hAnsi="Times New Roman" w:cs="Times New Roman"/>
                <w:b/>
                <w:bCs/>
                <w:color w:val="FF0000"/>
                <w:sz w:val="21"/>
                <w:szCs w:val="21"/>
                <w:lang w:val="en-US" w:bidi="ar-SA"/>
              </w:rPr>
              <w:t>设备清单</w:t>
            </w:r>
          </w:p>
        </w:tc>
        <w:tc>
          <w:tcPr>
            <w:tcW w:w="2410" w:type="pct"/>
            <w:gridSpan w:val="2"/>
            <w:tcBorders>
              <w:tl2br w:val="nil"/>
              <w:tr2bl w:val="nil"/>
            </w:tcBorders>
            <w:noWrap/>
            <w:vAlign w:val="center"/>
          </w:tcPr>
          <w:p w14:paraId="5DD09FDD">
            <w:pPr>
              <w:widowControl/>
              <w:autoSpaceDE/>
              <w:autoSpaceDN/>
              <w:jc w:val="center"/>
              <w:rPr>
                <w:rFonts w:hint="default" w:ascii="Times New Roman" w:hAnsi="Times New Roman" w:cs="Times New Roman"/>
                <w:b/>
                <w:bCs/>
                <w:color w:val="FF0000"/>
                <w:sz w:val="21"/>
                <w:szCs w:val="21"/>
                <w:lang w:val="en-US" w:bidi="ar-SA"/>
              </w:rPr>
            </w:pPr>
            <w:r>
              <w:rPr>
                <w:rFonts w:hint="default" w:ascii="Times New Roman" w:hAnsi="Times New Roman" w:cs="Times New Roman"/>
                <w:b/>
                <w:bCs/>
                <w:color w:val="FF0000"/>
                <w:sz w:val="21"/>
                <w:szCs w:val="21"/>
                <w:lang w:val="en-US" w:bidi="ar-SA"/>
              </w:rPr>
              <w:t>数量</w:t>
            </w:r>
          </w:p>
        </w:tc>
      </w:tr>
      <w:tr w14:paraId="48E0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04DE0391">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一、笼架系统</w:t>
            </w:r>
          </w:p>
        </w:tc>
      </w:tr>
      <w:tr w14:paraId="2E09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29E93ED6">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942" w:type="pct"/>
            <w:tcBorders>
              <w:tl2br w:val="nil"/>
              <w:tr2bl w:val="nil"/>
            </w:tcBorders>
            <w:noWrap w:val="0"/>
            <w:vAlign w:val="center"/>
          </w:tcPr>
          <w:p w14:paraId="5DC363F5">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四层蛋鸡笼架系统</w:t>
            </w:r>
          </w:p>
        </w:tc>
        <w:tc>
          <w:tcPr>
            <w:tcW w:w="1174" w:type="pct"/>
            <w:tcBorders>
              <w:tl2br w:val="nil"/>
              <w:tr2bl w:val="nil"/>
            </w:tcBorders>
            <w:noWrap/>
            <w:vAlign w:val="center"/>
          </w:tcPr>
          <w:p w14:paraId="0BBEAD27">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400</w:t>
            </w:r>
          </w:p>
        </w:tc>
        <w:tc>
          <w:tcPr>
            <w:tcW w:w="1235" w:type="pct"/>
            <w:tcBorders>
              <w:tl2br w:val="nil"/>
              <w:tr2bl w:val="nil"/>
            </w:tcBorders>
            <w:noWrap/>
            <w:vAlign w:val="center"/>
          </w:tcPr>
          <w:p w14:paraId="6C1C5AE9">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组</w:t>
            </w:r>
          </w:p>
        </w:tc>
      </w:tr>
      <w:tr w14:paraId="4098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4936B5A6">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w:t>
            </w:r>
          </w:p>
        </w:tc>
        <w:tc>
          <w:tcPr>
            <w:tcW w:w="1942" w:type="pct"/>
            <w:tcBorders>
              <w:tl2br w:val="nil"/>
              <w:tr2bl w:val="nil"/>
            </w:tcBorders>
            <w:noWrap w:val="0"/>
            <w:vAlign w:val="center"/>
          </w:tcPr>
          <w:p w14:paraId="189FA570">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工程车</w:t>
            </w:r>
          </w:p>
        </w:tc>
        <w:tc>
          <w:tcPr>
            <w:tcW w:w="1174" w:type="pct"/>
            <w:tcBorders>
              <w:tl2br w:val="nil"/>
              <w:tr2bl w:val="nil"/>
            </w:tcBorders>
            <w:noWrap/>
            <w:vAlign w:val="center"/>
          </w:tcPr>
          <w:p w14:paraId="3BDA37D4">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w:t>
            </w:r>
          </w:p>
        </w:tc>
        <w:tc>
          <w:tcPr>
            <w:tcW w:w="1235" w:type="pct"/>
            <w:tcBorders>
              <w:tl2br w:val="nil"/>
              <w:tr2bl w:val="nil"/>
            </w:tcBorders>
            <w:noWrap/>
            <w:vAlign w:val="center"/>
          </w:tcPr>
          <w:p w14:paraId="354B8A2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台</w:t>
            </w:r>
          </w:p>
        </w:tc>
      </w:tr>
      <w:tr w14:paraId="5750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6E0D5A47">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二、喂料系统</w:t>
            </w:r>
          </w:p>
        </w:tc>
      </w:tr>
      <w:tr w14:paraId="6A5B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057DE54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942" w:type="pct"/>
            <w:tcBorders>
              <w:tl2br w:val="nil"/>
              <w:tr2bl w:val="nil"/>
            </w:tcBorders>
            <w:noWrap w:val="0"/>
            <w:vAlign w:val="center"/>
          </w:tcPr>
          <w:p w14:paraId="1F2A679B">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喂料行车主机</w:t>
            </w:r>
          </w:p>
        </w:tc>
        <w:tc>
          <w:tcPr>
            <w:tcW w:w="1174" w:type="pct"/>
            <w:tcBorders>
              <w:tl2br w:val="nil"/>
              <w:tr2bl w:val="nil"/>
            </w:tcBorders>
            <w:noWrap/>
            <w:vAlign w:val="center"/>
          </w:tcPr>
          <w:p w14:paraId="48815B39">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5</w:t>
            </w:r>
          </w:p>
        </w:tc>
        <w:tc>
          <w:tcPr>
            <w:tcW w:w="1235" w:type="pct"/>
            <w:tcBorders>
              <w:tl2br w:val="nil"/>
              <w:tr2bl w:val="nil"/>
            </w:tcBorders>
            <w:noWrap/>
            <w:vAlign w:val="center"/>
          </w:tcPr>
          <w:p w14:paraId="0CB09039">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台</w:t>
            </w:r>
          </w:p>
        </w:tc>
      </w:tr>
      <w:tr w14:paraId="2EB2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1CBD15F7">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w:t>
            </w:r>
          </w:p>
        </w:tc>
        <w:tc>
          <w:tcPr>
            <w:tcW w:w="1942" w:type="pct"/>
            <w:tcBorders>
              <w:tl2br w:val="nil"/>
              <w:tr2bl w:val="nil"/>
            </w:tcBorders>
            <w:noWrap/>
            <w:vAlign w:val="center"/>
          </w:tcPr>
          <w:p w14:paraId="6A0D4AD1">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绞龙线传输系统</w:t>
            </w:r>
          </w:p>
        </w:tc>
        <w:tc>
          <w:tcPr>
            <w:tcW w:w="1174" w:type="pct"/>
            <w:tcBorders>
              <w:tl2br w:val="nil"/>
              <w:tr2bl w:val="nil"/>
            </w:tcBorders>
            <w:noWrap/>
            <w:vAlign w:val="center"/>
          </w:tcPr>
          <w:p w14:paraId="734EAF87">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25</w:t>
            </w:r>
          </w:p>
        </w:tc>
        <w:tc>
          <w:tcPr>
            <w:tcW w:w="1235" w:type="pct"/>
            <w:tcBorders>
              <w:tl2br w:val="nil"/>
              <w:tr2bl w:val="nil"/>
            </w:tcBorders>
            <w:noWrap/>
            <w:vAlign w:val="center"/>
          </w:tcPr>
          <w:p w14:paraId="1DA4D861">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米</w:t>
            </w:r>
          </w:p>
        </w:tc>
      </w:tr>
      <w:tr w14:paraId="17B1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41E70AF6">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3</w:t>
            </w:r>
          </w:p>
        </w:tc>
        <w:tc>
          <w:tcPr>
            <w:tcW w:w="1942" w:type="pct"/>
            <w:tcBorders>
              <w:tl2br w:val="nil"/>
              <w:tr2bl w:val="nil"/>
            </w:tcBorders>
            <w:noWrap/>
            <w:vAlign w:val="center"/>
          </w:tcPr>
          <w:p w14:paraId="31FD4A3A">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料塔（容积≈33m³）</w:t>
            </w:r>
          </w:p>
        </w:tc>
        <w:tc>
          <w:tcPr>
            <w:tcW w:w="1174" w:type="pct"/>
            <w:tcBorders>
              <w:tl2br w:val="nil"/>
              <w:tr2bl w:val="nil"/>
            </w:tcBorders>
            <w:noWrap/>
            <w:vAlign w:val="center"/>
          </w:tcPr>
          <w:p w14:paraId="7E2A8FF0">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03140A6B">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61BA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3850FCF4">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4</w:t>
            </w:r>
          </w:p>
        </w:tc>
        <w:tc>
          <w:tcPr>
            <w:tcW w:w="1942" w:type="pct"/>
            <w:tcBorders>
              <w:tl2br w:val="nil"/>
              <w:tr2bl w:val="nil"/>
            </w:tcBorders>
            <w:noWrap/>
            <w:vAlign w:val="center"/>
          </w:tcPr>
          <w:p w14:paraId="362B8A40">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料塔变形口</w:t>
            </w:r>
          </w:p>
        </w:tc>
        <w:tc>
          <w:tcPr>
            <w:tcW w:w="1174" w:type="pct"/>
            <w:tcBorders>
              <w:tl2br w:val="nil"/>
              <w:tr2bl w:val="nil"/>
            </w:tcBorders>
            <w:noWrap/>
            <w:vAlign w:val="center"/>
          </w:tcPr>
          <w:p w14:paraId="324D35C0">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07DEC60E">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4E96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3753388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5</w:t>
            </w:r>
          </w:p>
        </w:tc>
        <w:tc>
          <w:tcPr>
            <w:tcW w:w="1942" w:type="pct"/>
            <w:tcBorders>
              <w:tl2br w:val="nil"/>
              <w:tr2bl w:val="nil"/>
            </w:tcBorders>
            <w:noWrap/>
            <w:vAlign w:val="center"/>
          </w:tcPr>
          <w:p w14:paraId="60418A32">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称重模块（含传感器）</w:t>
            </w:r>
          </w:p>
        </w:tc>
        <w:tc>
          <w:tcPr>
            <w:tcW w:w="1174" w:type="pct"/>
            <w:tcBorders>
              <w:tl2br w:val="nil"/>
              <w:tr2bl w:val="nil"/>
            </w:tcBorders>
            <w:noWrap/>
            <w:vAlign w:val="center"/>
          </w:tcPr>
          <w:p w14:paraId="63A07EE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03CBA358">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168F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15EB333F">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三、清粪系统</w:t>
            </w:r>
          </w:p>
        </w:tc>
      </w:tr>
      <w:tr w14:paraId="2E02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67088BA1">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942" w:type="pct"/>
            <w:tcBorders>
              <w:tl2br w:val="nil"/>
              <w:tr2bl w:val="nil"/>
            </w:tcBorders>
            <w:noWrap/>
            <w:vAlign w:val="center"/>
          </w:tcPr>
          <w:p w14:paraId="083632B2">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清粪机主机</w:t>
            </w:r>
          </w:p>
        </w:tc>
        <w:tc>
          <w:tcPr>
            <w:tcW w:w="1174" w:type="pct"/>
            <w:tcBorders>
              <w:tl2br w:val="nil"/>
              <w:tr2bl w:val="nil"/>
            </w:tcBorders>
            <w:noWrap/>
            <w:vAlign w:val="center"/>
          </w:tcPr>
          <w:p w14:paraId="5127B31E">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5</w:t>
            </w:r>
          </w:p>
        </w:tc>
        <w:tc>
          <w:tcPr>
            <w:tcW w:w="1235" w:type="pct"/>
            <w:tcBorders>
              <w:tl2br w:val="nil"/>
              <w:tr2bl w:val="nil"/>
            </w:tcBorders>
            <w:noWrap/>
            <w:vAlign w:val="center"/>
          </w:tcPr>
          <w:p w14:paraId="1E1F8907">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台</w:t>
            </w:r>
          </w:p>
        </w:tc>
      </w:tr>
      <w:tr w14:paraId="3C15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0F41C572">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w:t>
            </w:r>
          </w:p>
        </w:tc>
        <w:tc>
          <w:tcPr>
            <w:tcW w:w="1942" w:type="pct"/>
            <w:tcBorders>
              <w:tl2br w:val="nil"/>
              <w:tr2bl w:val="nil"/>
            </w:tcBorders>
            <w:noWrap/>
            <w:vAlign w:val="center"/>
          </w:tcPr>
          <w:p w14:paraId="3CD4BC3E">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纵向输粪系统</w:t>
            </w:r>
          </w:p>
        </w:tc>
        <w:tc>
          <w:tcPr>
            <w:tcW w:w="1174" w:type="pct"/>
            <w:tcBorders>
              <w:tl2br w:val="nil"/>
              <w:tr2bl w:val="nil"/>
            </w:tcBorders>
            <w:noWrap/>
            <w:vAlign w:val="center"/>
          </w:tcPr>
          <w:p w14:paraId="7E1430A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20</w:t>
            </w:r>
          </w:p>
        </w:tc>
        <w:tc>
          <w:tcPr>
            <w:tcW w:w="1235" w:type="pct"/>
            <w:tcBorders>
              <w:tl2br w:val="nil"/>
              <w:tr2bl w:val="nil"/>
            </w:tcBorders>
            <w:noWrap/>
            <w:vAlign w:val="center"/>
          </w:tcPr>
          <w:p w14:paraId="5817A61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条</w:t>
            </w:r>
          </w:p>
        </w:tc>
      </w:tr>
      <w:tr w14:paraId="08E9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2D3103E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3</w:t>
            </w:r>
          </w:p>
        </w:tc>
        <w:tc>
          <w:tcPr>
            <w:tcW w:w="1942" w:type="pct"/>
            <w:tcBorders>
              <w:tl2br w:val="nil"/>
              <w:tr2bl w:val="nil"/>
            </w:tcBorders>
            <w:noWrap/>
            <w:vAlign w:val="center"/>
          </w:tcPr>
          <w:p w14:paraId="201A2DD8">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横向清粪</w:t>
            </w:r>
          </w:p>
        </w:tc>
        <w:tc>
          <w:tcPr>
            <w:tcW w:w="1174" w:type="pct"/>
            <w:tcBorders>
              <w:tl2br w:val="nil"/>
              <w:tr2bl w:val="nil"/>
            </w:tcBorders>
            <w:noWrap/>
            <w:vAlign w:val="center"/>
          </w:tcPr>
          <w:p w14:paraId="1D230416">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16</w:t>
            </w:r>
          </w:p>
        </w:tc>
        <w:tc>
          <w:tcPr>
            <w:tcW w:w="1235" w:type="pct"/>
            <w:tcBorders>
              <w:tl2br w:val="nil"/>
              <w:tr2bl w:val="nil"/>
            </w:tcBorders>
            <w:noWrap/>
            <w:vAlign w:val="center"/>
          </w:tcPr>
          <w:p w14:paraId="197F0B2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米</w:t>
            </w:r>
          </w:p>
        </w:tc>
      </w:tr>
      <w:tr w14:paraId="2C8F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48C4C5D7">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4</w:t>
            </w:r>
          </w:p>
        </w:tc>
        <w:tc>
          <w:tcPr>
            <w:tcW w:w="1942" w:type="pct"/>
            <w:tcBorders>
              <w:tl2br w:val="nil"/>
              <w:tr2bl w:val="nil"/>
            </w:tcBorders>
            <w:noWrap/>
            <w:vAlign w:val="center"/>
          </w:tcPr>
          <w:p w14:paraId="33D065AA">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斜向清粪</w:t>
            </w:r>
          </w:p>
        </w:tc>
        <w:tc>
          <w:tcPr>
            <w:tcW w:w="1174" w:type="pct"/>
            <w:tcBorders>
              <w:tl2br w:val="nil"/>
              <w:tr2bl w:val="nil"/>
            </w:tcBorders>
            <w:noWrap/>
            <w:vAlign w:val="center"/>
          </w:tcPr>
          <w:p w14:paraId="1613E26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9</w:t>
            </w:r>
          </w:p>
        </w:tc>
        <w:tc>
          <w:tcPr>
            <w:tcW w:w="1235" w:type="pct"/>
            <w:tcBorders>
              <w:tl2br w:val="nil"/>
              <w:tr2bl w:val="nil"/>
            </w:tcBorders>
            <w:noWrap/>
            <w:vAlign w:val="center"/>
          </w:tcPr>
          <w:p w14:paraId="1ECE6BF6">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米</w:t>
            </w:r>
          </w:p>
        </w:tc>
      </w:tr>
      <w:tr w14:paraId="43B0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3A3D79C1">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5</w:t>
            </w:r>
          </w:p>
        </w:tc>
        <w:tc>
          <w:tcPr>
            <w:tcW w:w="1942" w:type="pct"/>
            <w:tcBorders>
              <w:tl2br w:val="nil"/>
              <w:tr2bl w:val="nil"/>
            </w:tcBorders>
            <w:noWrap/>
            <w:vAlign w:val="center"/>
          </w:tcPr>
          <w:p w14:paraId="36C55331">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横向清粪盖板</w:t>
            </w:r>
          </w:p>
        </w:tc>
        <w:tc>
          <w:tcPr>
            <w:tcW w:w="1174" w:type="pct"/>
            <w:tcBorders>
              <w:tl2br w:val="nil"/>
              <w:tr2bl w:val="nil"/>
            </w:tcBorders>
            <w:noWrap/>
            <w:vAlign w:val="center"/>
          </w:tcPr>
          <w:p w14:paraId="314A96E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776034F2">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0306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639B3460">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6</w:t>
            </w:r>
          </w:p>
        </w:tc>
        <w:tc>
          <w:tcPr>
            <w:tcW w:w="1942" w:type="pct"/>
            <w:tcBorders>
              <w:tl2br w:val="nil"/>
              <w:tr2bl w:val="nil"/>
            </w:tcBorders>
            <w:noWrap/>
            <w:vAlign w:val="center"/>
          </w:tcPr>
          <w:p w14:paraId="04A56DE6">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斜向清粪盖板</w:t>
            </w:r>
          </w:p>
        </w:tc>
        <w:tc>
          <w:tcPr>
            <w:tcW w:w="1174" w:type="pct"/>
            <w:tcBorders>
              <w:tl2br w:val="nil"/>
              <w:tr2bl w:val="nil"/>
            </w:tcBorders>
            <w:noWrap/>
            <w:vAlign w:val="center"/>
          </w:tcPr>
          <w:p w14:paraId="0C056D5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6E2FF1E6">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436D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02C012AD">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四、集蛋系统</w:t>
            </w:r>
          </w:p>
        </w:tc>
      </w:tr>
      <w:tr w14:paraId="1E7D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41F7BC9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942" w:type="pct"/>
            <w:tcBorders>
              <w:tl2br w:val="nil"/>
              <w:tr2bl w:val="nil"/>
            </w:tcBorders>
            <w:noWrap w:val="0"/>
            <w:vAlign w:val="center"/>
          </w:tcPr>
          <w:p w14:paraId="06E667B4">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立体集蛋系统</w:t>
            </w:r>
          </w:p>
        </w:tc>
        <w:tc>
          <w:tcPr>
            <w:tcW w:w="1174" w:type="pct"/>
            <w:tcBorders>
              <w:tl2br w:val="nil"/>
              <w:tr2bl w:val="nil"/>
            </w:tcBorders>
            <w:noWrap/>
            <w:vAlign w:val="center"/>
          </w:tcPr>
          <w:p w14:paraId="7285D8D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5</w:t>
            </w:r>
          </w:p>
        </w:tc>
        <w:tc>
          <w:tcPr>
            <w:tcW w:w="1235" w:type="pct"/>
            <w:tcBorders>
              <w:tl2br w:val="nil"/>
              <w:tr2bl w:val="nil"/>
            </w:tcBorders>
            <w:noWrap/>
            <w:vAlign w:val="center"/>
          </w:tcPr>
          <w:p w14:paraId="4D1E216C">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台</w:t>
            </w:r>
          </w:p>
        </w:tc>
      </w:tr>
      <w:tr w14:paraId="6A1A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0531E6D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w:t>
            </w:r>
          </w:p>
        </w:tc>
        <w:tc>
          <w:tcPr>
            <w:tcW w:w="1942" w:type="pct"/>
            <w:tcBorders>
              <w:tl2br w:val="nil"/>
              <w:tr2bl w:val="nil"/>
            </w:tcBorders>
            <w:noWrap w:val="0"/>
            <w:vAlign w:val="center"/>
          </w:tcPr>
          <w:p w14:paraId="55267205">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集蛋传输带</w:t>
            </w:r>
          </w:p>
        </w:tc>
        <w:tc>
          <w:tcPr>
            <w:tcW w:w="1174" w:type="pct"/>
            <w:tcBorders>
              <w:tl2br w:val="nil"/>
              <w:tr2bl w:val="nil"/>
            </w:tcBorders>
            <w:noWrap/>
            <w:vAlign w:val="center"/>
          </w:tcPr>
          <w:p w14:paraId="21982030">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40</w:t>
            </w:r>
          </w:p>
        </w:tc>
        <w:tc>
          <w:tcPr>
            <w:tcW w:w="1235" w:type="pct"/>
            <w:tcBorders>
              <w:tl2br w:val="nil"/>
              <w:tr2bl w:val="nil"/>
            </w:tcBorders>
            <w:noWrap/>
            <w:vAlign w:val="center"/>
          </w:tcPr>
          <w:p w14:paraId="7BBFF1AB">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条</w:t>
            </w:r>
          </w:p>
        </w:tc>
      </w:tr>
      <w:tr w14:paraId="082B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0F5F4197">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五、饮水系统</w:t>
            </w:r>
          </w:p>
        </w:tc>
      </w:tr>
      <w:tr w14:paraId="0556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4159AE9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942" w:type="pct"/>
            <w:tcBorders>
              <w:tl2br w:val="nil"/>
              <w:tr2bl w:val="nil"/>
            </w:tcBorders>
            <w:noWrap w:val="0"/>
            <w:vAlign w:val="center"/>
          </w:tcPr>
          <w:p w14:paraId="7CA6E665">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22mm*22mm方水管</w:t>
            </w:r>
          </w:p>
        </w:tc>
        <w:tc>
          <w:tcPr>
            <w:tcW w:w="1174" w:type="pct"/>
            <w:tcBorders>
              <w:tl2br w:val="nil"/>
              <w:tr2bl w:val="nil"/>
            </w:tcBorders>
            <w:noWrap/>
            <w:vAlign w:val="center"/>
          </w:tcPr>
          <w:p w14:paraId="4ED78809">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20</w:t>
            </w:r>
          </w:p>
        </w:tc>
        <w:tc>
          <w:tcPr>
            <w:tcW w:w="1235" w:type="pct"/>
            <w:tcBorders>
              <w:tl2br w:val="nil"/>
              <w:tr2bl w:val="nil"/>
            </w:tcBorders>
            <w:noWrap/>
            <w:vAlign w:val="center"/>
          </w:tcPr>
          <w:p w14:paraId="5A561DAF">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条</w:t>
            </w:r>
          </w:p>
        </w:tc>
      </w:tr>
      <w:tr w14:paraId="2B0D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7FA3CAA2">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w:t>
            </w:r>
          </w:p>
        </w:tc>
        <w:tc>
          <w:tcPr>
            <w:tcW w:w="1942" w:type="pct"/>
            <w:tcBorders>
              <w:tl2br w:val="nil"/>
              <w:tr2bl w:val="nil"/>
            </w:tcBorders>
            <w:noWrap w:val="0"/>
            <w:vAlign w:val="center"/>
          </w:tcPr>
          <w:p w14:paraId="5F867705">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CORTI4005R饮水器</w:t>
            </w:r>
          </w:p>
        </w:tc>
        <w:tc>
          <w:tcPr>
            <w:tcW w:w="1174" w:type="pct"/>
            <w:tcBorders>
              <w:tl2br w:val="nil"/>
              <w:tr2bl w:val="nil"/>
            </w:tcBorders>
            <w:noWrap/>
            <w:vAlign w:val="center"/>
          </w:tcPr>
          <w:p w14:paraId="17952D9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6400</w:t>
            </w:r>
          </w:p>
        </w:tc>
        <w:tc>
          <w:tcPr>
            <w:tcW w:w="1235" w:type="pct"/>
            <w:tcBorders>
              <w:tl2br w:val="nil"/>
              <w:tr2bl w:val="nil"/>
            </w:tcBorders>
            <w:noWrap/>
            <w:vAlign w:val="center"/>
          </w:tcPr>
          <w:p w14:paraId="32ADC5C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个</w:t>
            </w:r>
          </w:p>
        </w:tc>
      </w:tr>
      <w:tr w14:paraId="58C3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57CAB906">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3</w:t>
            </w:r>
          </w:p>
        </w:tc>
        <w:tc>
          <w:tcPr>
            <w:tcW w:w="1942" w:type="pct"/>
            <w:tcBorders>
              <w:tl2br w:val="nil"/>
              <w:tr2bl w:val="nil"/>
            </w:tcBorders>
            <w:noWrap w:val="0"/>
            <w:vAlign w:val="center"/>
          </w:tcPr>
          <w:p w14:paraId="370E1BBA">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加药器</w:t>
            </w:r>
          </w:p>
        </w:tc>
        <w:tc>
          <w:tcPr>
            <w:tcW w:w="1174" w:type="pct"/>
            <w:tcBorders>
              <w:tl2br w:val="nil"/>
              <w:tr2bl w:val="nil"/>
            </w:tcBorders>
            <w:noWrap/>
            <w:vAlign w:val="center"/>
          </w:tcPr>
          <w:p w14:paraId="180F4F8C">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447887DC">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0619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687B1FE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4</w:t>
            </w:r>
          </w:p>
        </w:tc>
        <w:tc>
          <w:tcPr>
            <w:tcW w:w="1942" w:type="pct"/>
            <w:tcBorders>
              <w:tl2br w:val="nil"/>
              <w:tr2bl w:val="nil"/>
            </w:tcBorders>
            <w:noWrap w:val="0"/>
            <w:vAlign w:val="center"/>
          </w:tcPr>
          <w:p w14:paraId="6524FF67">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加药器配件</w:t>
            </w:r>
          </w:p>
        </w:tc>
        <w:tc>
          <w:tcPr>
            <w:tcW w:w="1174" w:type="pct"/>
            <w:tcBorders>
              <w:tl2br w:val="nil"/>
              <w:tr2bl w:val="nil"/>
            </w:tcBorders>
            <w:noWrap/>
            <w:vAlign w:val="center"/>
          </w:tcPr>
          <w:p w14:paraId="2C73E5D1">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4AEC79FF">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492A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60CB2E68">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5</w:t>
            </w:r>
          </w:p>
        </w:tc>
        <w:tc>
          <w:tcPr>
            <w:tcW w:w="1942" w:type="pct"/>
            <w:tcBorders>
              <w:tl2br w:val="nil"/>
              <w:tr2bl w:val="nil"/>
            </w:tcBorders>
            <w:noWrap w:val="0"/>
            <w:vAlign w:val="center"/>
          </w:tcPr>
          <w:p w14:paraId="2209D555">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过滤器</w:t>
            </w:r>
          </w:p>
        </w:tc>
        <w:tc>
          <w:tcPr>
            <w:tcW w:w="1174" w:type="pct"/>
            <w:tcBorders>
              <w:tl2br w:val="nil"/>
              <w:tr2bl w:val="nil"/>
            </w:tcBorders>
            <w:noWrap/>
            <w:vAlign w:val="center"/>
          </w:tcPr>
          <w:p w14:paraId="61ED6B4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09DD8065">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045A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3263DCF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6</w:t>
            </w:r>
          </w:p>
        </w:tc>
        <w:tc>
          <w:tcPr>
            <w:tcW w:w="1942" w:type="pct"/>
            <w:tcBorders>
              <w:tl2br w:val="nil"/>
              <w:tr2bl w:val="nil"/>
            </w:tcBorders>
            <w:noWrap w:val="0"/>
            <w:vAlign w:val="center"/>
          </w:tcPr>
          <w:p w14:paraId="534A73E0">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过滤器配件</w:t>
            </w:r>
          </w:p>
        </w:tc>
        <w:tc>
          <w:tcPr>
            <w:tcW w:w="1174" w:type="pct"/>
            <w:tcBorders>
              <w:tl2br w:val="nil"/>
              <w:tr2bl w:val="nil"/>
            </w:tcBorders>
            <w:noWrap/>
            <w:vAlign w:val="center"/>
          </w:tcPr>
          <w:p w14:paraId="730B9D2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0A29E894">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56CA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7CF34B9B">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7</w:t>
            </w:r>
          </w:p>
        </w:tc>
        <w:tc>
          <w:tcPr>
            <w:tcW w:w="1942" w:type="pct"/>
            <w:tcBorders>
              <w:tl2br w:val="nil"/>
              <w:tr2bl w:val="nil"/>
            </w:tcBorders>
            <w:noWrap w:val="0"/>
            <w:vAlign w:val="center"/>
          </w:tcPr>
          <w:p w14:paraId="1CF14F2C">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调压器</w:t>
            </w:r>
          </w:p>
        </w:tc>
        <w:tc>
          <w:tcPr>
            <w:tcW w:w="1174" w:type="pct"/>
            <w:tcBorders>
              <w:tl2br w:val="nil"/>
              <w:tr2bl w:val="nil"/>
            </w:tcBorders>
            <w:noWrap/>
            <w:vAlign w:val="center"/>
          </w:tcPr>
          <w:p w14:paraId="54FFA266">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20</w:t>
            </w:r>
          </w:p>
        </w:tc>
        <w:tc>
          <w:tcPr>
            <w:tcW w:w="1235" w:type="pct"/>
            <w:tcBorders>
              <w:tl2br w:val="nil"/>
              <w:tr2bl w:val="nil"/>
            </w:tcBorders>
            <w:noWrap/>
            <w:vAlign w:val="center"/>
          </w:tcPr>
          <w:p w14:paraId="5EA51FC7">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个</w:t>
            </w:r>
          </w:p>
        </w:tc>
      </w:tr>
      <w:tr w14:paraId="02D6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0A299A22">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8</w:t>
            </w:r>
          </w:p>
        </w:tc>
        <w:tc>
          <w:tcPr>
            <w:tcW w:w="1942" w:type="pct"/>
            <w:tcBorders>
              <w:tl2br w:val="nil"/>
              <w:tr2bl w:val="nil"/>
            </w:tcBorders>
            <w:noWrap w:val="0"/>
            <w:vAlign w:val="center"/>
          </w:tcPr>
          <w:p w14:paraId="1EBB4651">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V型接水槽</w:t>
            </w:r>
          </w:p>
        </w:tc>
        <w:tc>
          <w:tcPr>
            <w:tcW w:w="1174" w:type="pct"/>
            <w:tcBorders>
              <w:tl2br w:val="nil"/>
              <w:tr2bl w:val="nil"/>
            </w:tcBorders>
            <w:noWrap/>
            <w:vAlign w:val="center"/>
          </w:tcPr>
          <w:p w14:paraId="6A048708">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20</w:t>
            </w:r>
          </w:p>
        </w:tc>
        <w:tc>
          <w:tcPr>
            <w:tcW w:w="1235" w:type="pct"/>
            <w:tcBorders>
              <w:tl2br w:val="nil"/>
              <w:tr2bl w:val="nil"/>
            </w:tcBorders>
            <w:noWrap/>
            <w:vAlign w:val="center"/>
          </w:tcPr>
          <w:p w14:paraId="207DE38B">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米</w:t>
            </w:r>
          </w:p>
        </w:tc>
      </w:tr>
      <w:tr w14:paraId="48AA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7702E92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9</w:t>
            </w:r>
          </w:p>
        </w:tc>
        <w:tc>
          <w:tcPr>
            <w:tcW w:w="1942" w:type="pct"/>
            <w:tcBorders>
              <w:tl2br w:val="nil"/>
              <w:tr2bl w:val="nil"/>
            </w:tcBorders>
            <w:noWrap w:val="0"/>
            <w:vAlign w:val="center"/>
          </w:tcPr>
          <w:p w14:paraId="0521BDA1">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终端</w:t>
            </w:r>
          </w:p>
        </w:tc>
        <w:tc>
          <w:tcPr>
            <w:tcW w:w="1174" w:type="pct"/>
            <w:tcBorders>
              <w:tl2br w:val="nil"/>
              <w:tr2bl w:val="nil"/>
            </w:tcBorders>
            <w:noWrap/>
            <w:vAlign w:val="center"/>
          </w:tcPr>
          <w:p w14:paraId="192CE134">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20</w:t>
            </w:r>
          </w:p>
        </w:tc>
        <w:tc>
          <w:tcPr>
            <w:tcW w:w="1235" w:type="pct"/>
            <w:tcBorders>
              <w:tl2br w:val="nil"/>
              <w:tr2bl w:val="nil"/>
            </w:tcBorders>
            <w:noWrap/>
            <w:vAlign w:val="center"/>
          </w:tcPr>
          <w:p w14:paraId="2D51FE82">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个</w:t>
            </w:r>
          </w:p>
        </w:tc>
      </w:tr>
      <w:tr w14:paraId="4320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47BB715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10</w:t>
            </w:r>
          </w:p>
        </w:tc>
        <w:tc>
          <w:tcPr>
            <w:tcW w:w="1942" w:type="pct"/>
            <w:tcBorders>
              <w:tl2br w:val="nil"/>
              <w:tr2bl w:val="nil"/>
            </w:tcBorders>
            <w:noWrap w:val="0"/>
            <w:vAlign w:val="center"/>
          </w:tcPr>
          <w:p w14:paraId="495A179D">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电子水表</w:t>
            </w:r>
          </w:p>
        </w:tc>
        <w:tc>
          <w:tcPr>
            <w:tcW w:w="1174" w:type="pct"/>
            <w:tcBorders>
              <w:tl2br w:val="nil"/>
              <w:tr2bl w:val="nil"/>
            </w:tcBorders>
            <w:noWrap/>
            <w:vAlign w:val="center"/>
          </w:tcPr>
          <w:p w14:paraId="32A2C7C2">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6E21F775">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5111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485FFCC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11</w:t>
            </w:r>
          </w:p>
        </w:tc>
        <w:tc>
          <w:tcPr>
            <w:tcW w:w="1942" w:type="pct"/>
            <w:tcBorders>
              <w:tl2br w:val="nil"/>
              <w:tr2bl w:val="nil"/>
            </w:tcBorders>
            <w:noWrap w:val="0"/>
            <w:vAlign w:val="center"/>
          </w:tcPr>
          <w:p w14:paraId="7E42378C">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供水配件</w:t>
            </w:r>
          </w:p>
        </w:tc>
        <w:tc>
          <w:tcPr>
            <w:tcW w:w="1174" w:type="pct"/>
            <w:tcBorders>
              <w:tl2br w:val="nil"/>
              <w:tr2bl w:val="nil"/>
            </w:tcBorders>
            <w:noWrap/>
            <w:vAlign w:val="center"/>
          </w:tcPr>
          <w:p w14:paraId="7959FFC7">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319F8982">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栋</w:t>
            </w:r>
          </w:p>
        </w:tc>
      </w:tr>
      <w:tr w14:paraId="74AE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701CCF55">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六、通风系统</w:t>
            </w:r>
          </w:p>
        </w:tc>
      </w:tr>
      <w:tr w14:paraId="5002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4BD8F8C5">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942" w:type="pct"/>
            <w:tcBorders>
              <w:tl2br w:val="nil"/>
              <w:tr2bl w:val="nil"/>
            </w:tcBorders>
            <w:noWrap/>
            <w:vAlign w:val="center"/>
          </w:tcPr>
          <w:p w14:paraId="77D3526D">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50风机</w:t>
            </w:r>
          </w:p>
        </w:tc>
        <w:tc>
          <w:tcPr>
            <w:tcW w:w="1174" w:type="pct"/>
            <w:tcBorders>
              <w:tl2br w:val="nil"/>
              <w:tr2bl w:val="nil"/>
            </w:tcBorders>
            <w:noWrap/>
            <w:vAlign w:val="center"/>
          </w:tcPr>
          <w:p w14:paraId="16548E76">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18</w:t>
            </w:r>
          </w:p>
        </w:tc>
        <w:tc>
          <w:tcPr>
            <w:tcW w:w="1235" w:type="pct"/>
            <w:tcBorders>
              <w:tl2br w:val="nil"/>
              <w:tr2bl w:val="nil"/>
            </w:tcBorders>
            <w:noWrap/>
            <w:vAlign w:val="center"/>
          </w:tcPr>
          <w:p w14:paraId="799EB2C4">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台</w:t>
            </w:r>
          </w:p>
        </w:tc>
      </w:tr>
      <w:tr w14:paraId="0DD2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2ABDEE29">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w:t>
            </w:r>
          </w:p>
        </w:tc>
        <w:tc>
          <w:tcPr>
            <w:tcW w:w="1942" w:type="pct"/>
            <w:tcBorders>
              <w:tl2br w:val="nil"/>
              <w:tr2bl w:val="nil"/>
            </w:tcBorders>
            <w:noWrap w:val="0"/>
            <w:vAlign w:val="center"/>
          </w:tcPr>
          <w:p w14:paraId="22913A62">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湿帘</w:t>
            </w:r>
          </w:p>
        </w:tc>
        <w:tc>
          <w:tcPr>
            <w:tcW w:w="1174" w:type="pct"/>
            <w:tcBorders>
              <w:tl2br w:val="nil"/>
              <w:tr2bl w:val="nil"/>
            </w:tcBorders>
            <w:noWrap/>
            <w:vAlign w:val="center"/>
          </w:tcPr>
          <w:p w14:paraId="0653B7ED">
            <w:pPr>
              <w:widowControl/>
              <w:autoSpaceDE/>
              <w:autoSpaceDN/>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lang w:val="en-US" w:bidi="ar-SA"/>
              </w:rPr>
              <w:t>279</w:t>
            </w:r>
          </w:p>
        </w:tc>
        <w:tc>
          <w:tcPr>
            <w:tcW w:w="1235" w:type="pct"/>
            <w:tcBorders>
              <w:tl2br w:val="nil"/>
              <w:tr2bl w:val="nil"/>
            </w:tcBorders>
            <w:noWrap/>
            <w:vAlign w:val="center"/>
          </w:tcPr>
          <w:p w14:paraId="1EC24FB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m²</w:t>
            </w:r>
          </w:p>
        </w:tc>
      </w:tr>
      <w:tr w14:paraId="70BB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5702711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3</w:t>
            </w:r>
          </w:p>
        </w:tc>
        <w:tc>
          <w:tcPr>
            <w:tcW w:w="1942" w:type="pct"/>
            <w:tcBorders>
              <w:tl2br w:val="nil"/>
              <w:tr2bl w:val="nil"/>
            </w:tcBorders>
            <w:noWrap w:val="0"/>
            <w:vAlign w:val="center"/>
          </w:tcPr>
          <w:p w14:paraId="4CEF62BD">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水循环管件及支撑</w:t>
            </w:r>
          </w:p>
        </w:tc>
        <w:tc>
          <w:tcPr>
            <w:tcW w:w="1174" w:type="pct"/>
            <w:tcBorders>
              <w:tl2br w:val="nil"/>
              <w:tr2bl w:val="nil"/>
            </w:tcBorders>
            <w:noWrap/>
            <w:vAlign w:val="center"/>
          </w:tcPr>
          <w:p w14:paraId="5BEB88F0">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0F0DA767">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栋</w:t>
            </w:r>
          </w:p>
        </w:tc>
      </w:tr>
      <w:tr w14:paraId="3D53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0AF293E0">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4</w:t>
            </w:r>
          </w:p>
        </w:tc>
        <w:tc>
          <w:tcPr>
            <w:tcW w:w="1942" w:type="pct"/>
            <w:tcBorders>
              <w:tl2br w:val="nil"/>
              <w:tr2bl w:val="nil"/>
            </w:tcBorders>
            <w:noWrap w:val="0"/>
            <w:vAlign w:val="center"/>
          </w:tcPr>
          <w:p w14:paraId="7FDF8E8F">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水循环过滤器</w:t>
            </w:r>
          </w:p>
        </w:tc>
        <w:tc>
          <w:tcPr>
            <w:tcW w:w="1174" w:type="pct"/>
            <w:tcBorders>
              <w:tl2br w:val="nil"/>
              <w:tr2bl w:val="nil"/>
            </w:tcBorders>
            <w:noWrap/>
            <w:vAlign w:val="center"/>
          </w:tcPr>
          <w:p w14:paraId="5FFFEEFC">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4</w:t>
            </w:r>
          </w:p>
        </w:tc>
        <w:tc>
          <w:tcPr>
            <w:tcW w:w="1235" w:type="pct"/>
            <w:tcBorders>
              <w:tl2br w:val="nil"/>
              <w:tr2bl w:val="nil"/>
            </w:tcBorders>
            <w:noWrap/>
            <w:vAlign w:val="center"/>
          </w:tcPr>
          <w:p w14:paraId="52705B8E">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1FC0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069C365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5</w:t>
            </w:r>
          </w:p>
        </w:tc>
        <w:tc>
          <w:tcPr>
            <w:tcW w:w="1942" w:type="pct"/>
            <w:tcBorders>
              <w:tl2br w:val="nil"/>
              <w:tr2bl w:val="nil"/>
            </w:tcBorders>
            <w:noWrap w:val="0"/>
            <w:vAlign w:val="center"/>
          </w:tcPr>
          <w:p w14:paraId="22DCFE78">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反弧进风窗</w:t>
            </w:r>
          </w:p>
        </w:tc>
        <w:tc>
          <w:tcPr>
            <w:tcW w:w="1174" w:type="pct"/>
            <w:tcBorders>
              <w:tl2br w:val="nil"/>
              <w:tr2bl w:val="nil"/>
            </w:tcBorders>
            <w:noWrap/>
            <w:vAlign w:val="center"/>
          </w:tcPr>
          <w:p w14:paraId="274B4054">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132</w:t>
            </w:r>
          </w:p>
        </w:tc>
        <w:tc>
          <w:tcPr>
            <w:tcW w:w="1235" w:type="pct"/>
            <w:tcBorders>
              <w:tl2br w:val="nil"/>
              <w:tr2bl w:val="nil"/>
            </w:tcBorders>
            <w:noWrap/>
            <w:vAlign w:val="center"/>
          </w:tcPr>
          <w:p w14:paraId="0EA5EDB1">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w:t>
            </w:r>
          </w:p>
        </w:tc>
      </w:tr>
      <w:tr w14:paraId="19F4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1E17E6D2">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6</w:t>
            </w:r>
          </w:p>
        </w:tc>
        <w:tc>
          <w:tcPr>
            <w:tcW w:w="1942" w:type="pct"/>
            <w:tcBorders>
              <w:tl2br w:val="nil"/>
              <w:tr2bl w:val="nil"/>
            </w:tcBorders>
            <w:noWrap w:val="0"/>
            <w:vAlign w:val="center"/>
          </w:tcPr>
          <w:p w14:paraId="39D1A06D">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正弧进风窗</w:t>
            </w:r>
          </w:p>
        </w:tc>
        <w:tc>
          <w:tcPr>
            <w:tcW w:w="1174" w:type="pct"/>
            <w:tcBorders>
              <w:tl2br w:val="nil"/>
              <w:tr2bl w:val="nil"/>
            </w:tcBorders>
            <w:noWrap/>
            <w:vAlign w:val="center"/>
          </w:tcPr>
          <w:p w14:paraId="1A39F042">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132</w:t>
            </w:r>
          </w:p>
        </w:tc>
        <w:tc>
          <w:tcPr>
            <w:tcW w:w="1235" w:type="pct"/>
            <w:tcBorders>
              <w:tl2br w:val="nil"/>
              <w:tr2bl w:val="nil"/>
            </w:tcBorders>
            <w:noWrap/>
            <w:vAlign w:val="center"/>
          </w:tcPr>
          <w:p w14:paraId="26F16B6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5C98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4D0338A1">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8</w:t>
            </w:r>
          </w:p>
        </w:tc>
        <w:tc>
          <w:tcPr>
            <w:tcW w:w="1942" w:type="pct"/>
            <w:tcBorders>
              <w:tl2br w:val="nil"/>
              <w:tr2bl w:val="nil"/>
            </w:tcBorders>
            <w:noWrap w:val="0"/>
            <w:vAlign w:val="center"/>
          </w:tcPr>
          <w:p w14:paraId="1F028A3E">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水泵</w:t>
            </w:r>
          </w:p>
        </w:tc>
        <w:tc>
          <w:tcPr>
            <w:tcW w:w="1174" w:type="pct"/>
            <w:tcBorders>
              <w:tl2br w:val="nil"/>
              <w:tr2bl w:val="nil"/>
            </w:tcBorders>
            <w:noWrap/>
            <w:vAlign w:val="center"/>
          </w:tcPr>
          <w:p w14:paraId="38CA5C10">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4</w:t>
            </w:r>
          </w:p>
        </w:tc>
        <w:tc>
          <w:tcPr>
            <w:tcW w:w="1235" w:type="pct"/>
            <w:tcBorders>
              <w:tl2br w:val="nil"/>
              <w:tr2bl w:val="nil"/>
            </w:tcBorders>
            <w:noWrap/>
            <w:vAlign w:val="center"/>
          </w:tcPr>
          <w:p w14:paraId="4EA428D8">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50D9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5F1E957C">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9</w:t>
            </w:r>
          </w:p>
        </w:tc>
        <w:tc>
          <w:tcPr>
            <w:tcW w:w="1942" w:type="pct"/>
            <w:tcBorders>
              <w:tl2br w:val="nil"/>
              <w:tr2bl w:val="nil"/>
            </w:tcBorders>
            <w:noWrap w:val="0"/>
            <w:vAlign w:val="center"/>
          </w:tcPr>
          <w:p w14:paraId="3D323B8C">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115*16自伸棒</w:t>
            </w:r>
          </w:p>
        </w:tc>
        <w:tc>
          <w:tcPr>
            <w:tcW w:w="1174" w:type="pct"/>
            <w:tcBorders>
              <w:tl2br w:val="nil"/>
              <w:tr2bl w:val="nil"/>
            </w:tcBorders>
            <w:noWrap/>
            <w:vAlign w:val="center"/>
          </w:tcPr>
          <w:p w14:paraId="7BBBC8A4">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360</w:t>
            </w:r>
          </w:p>
        </w:tc>
        <w:tc>
          <w:tcPr>
            <w:tcW w:w="1235" w:type="pct"/>
            <w:tcBorders>
              <w:tl2br w:val="nil"/>
              <w:tr2bl w:val="nil"/>
            </w:tcBorders>
            <w:noWrap/>
            <w:vAlign w:val="center"/>
          </w:tcPr>
          <w:p w14:paraId="7CF1CFB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米</w:t>
            </w:r>
          </w:p>
        </w:tc>
      </w:tr>
      <w:tr w14:paraId="689E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0"/>
            <w:vAlign w:val="center"/>
          </w:tcPr>
          <w:p w14:paraId="0454B7A2">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七、照明系统</w:t>
            </w:r>
          </w:p>
        </w:tc>
      </w:tr>
      <w:tr w14:paraId="5A75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0"/>
            <w:vAlign w:val="center"/>
          </w:tcPr>
          <w:p w14:paraId="4B68CB19">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942" w:type="pct"/>
            <w:tcBorders>
              <w:tl2br w:val="nil"/>
              <w:tr2bl w:val="nil"/>
            </w:tcBorders>
            <w:noWrap/>
            <w:vAlign w:val="center"/>
          </w:tcPr>
          <w:p w14:paraId="4187D5EA">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可调节LED灯</w:t>
            </w:r>
          </w:p>
        </w:tc>
        <w:tc>
          <w:tcPr>
            <w:tcW w:w="1174" w:type="pct"/>
            <w:tcBorders>
              <w:tl2br w:val="nil"/>
              <w:tr2bl w:val="nil"/>
            </w:tcBorders>
            <w:noWrap/>
            <w:vAlign w:val="center"/>
          </w:tcPr>
          <w:p w14:paraId="02D01C94">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797A4E59">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0303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4F5E505A">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八、环控系统</w:t>
            </w:r>
          </w:p>
        </w:tc>
      </w:tr>
      <w:tr w14:paraId="2D45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38A294F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942" w:type="pct"/>
            <w:tcBorders>
              <w:tl2br w:val="nil"/>
              <w:tr2bl w:val="nil"/>
            </w:tcBorders>
            <w:noWrap w:val="0"/>
            <w:vAlign w:val="center"/>
          </w:tcPr>
          <w:p w14:paraId="551D615E">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恒温式环境控制器</w:t>
            </w:r>
          </w:p>
        </w:tc>
        <w:tc>
          <w:tcPr>
            <w:tcW w:w="1174" w:type="pct"/>
            <w:tcBorders>
              <w:tl2br w:val="nil"/>
              <w:tr2bl w:val="nil"/>
            </w:tcBorders>
            <w:noWrap/>
            <w:vAlign w:val="center"/>
          </w:tcPr>
          <w:p w14:paraId="2629C0A9">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6679EBEF">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7122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0CA030EA">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w:t>
            </w:r>
          </w:p>
        </w:tc>
        <w:tc>
          <w:tcPr>
            <w:tcW w:w="1942" w:type="pct"/>
            <w:tcBorders>
              <w:tl2br w:val="nil"/>
              <w:tr2bl w:val="nil"/>
            </w:tcBorders>
            <w:noWrap w:val="0"/>
            <w:vAlign w:val="center"/>
          </w:tcPr>
          <w:p w14:paraId="489DFE1B">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小窗控制模块</w:t>
            </w:r>
          </w:p>
        </w:tc>
        <w:tc>
          <w:tcPr>
            <w:tcW w:w="1174" w:type="pct"/>
            <w:tcBorders>
              <w:tl2br w:val="nil"/>
              <w:tr2bl w:val="nil"/>
            </w:tcBorders>
            <w:noWrap/>
            <w:vAlign w:val="center"/>
          </w:tcPr>
          <w:p w14:paraId="28BB0CF5">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8</w:t>
            </w:r>
          </w:p>
        </w:tc>
        <w:tc>
          <w:tcPr>
            <w:tcW w:w="1235" w:type="pct"/>
            <w:tcBorders>
              <w:tl2br w:val="nil"/>
              <w:tr2bl w:val="nil"/>
            </w:tcBorders>
            <w:noWrap/>
            <w:vAlign w:val="center"/>
          </w:tcPr>
          <w:p w14:paraId="15BCA101">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43AF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7FB0D193">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九、电气系统</w:t>
            </w:r>
          </w:p>
        </w:tc>
      </w:tr>
      <w:tr w14:paraId="450A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133E129B">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942" w:type="pct"/>
            <w:tcBorders>
              <w:tl2br w:val="nil"/>
              <w:tr2bl w:val="nil"/>
            </w:tcBorders>
            <w:noWrap w:val="0"/>
            <w:vAlign w:val="center"/>
          </w:tcPr>
          <w:p w14:paraId="73996628">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电器控制系统</w:t>
            </w:r>
          </w:p>
        </w:tc>
        <w:tc>
          <w:tcPr>
            <w:tcW w:w="1174" w:type="pct"/>
            <w:tcBorders>
              <w:tl2br w:val="nil"/>
              <w:tr2bl w:val="nil"/>
            </w:tcBorders>
            <w:noWrap/>
            <w:vAlign w:val="center"/>
          </w:tcPr>
          <w:p w14:paraId="4C8AC59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533E078E">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29ED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390E6065">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2</w:t>
            </w:r>
          </w:p>
        </w:tc>
        <w:tc>
          <w:tcPr>
            <w:tcW w:w="1942" w:type="pct"/>
            <w:tcBorders>
              <w:tl2br w:val="nil"/>
              <w:tr2bl w:val="nil"/>
            </w:tcBorders>
            <w:noWrap w:val="0"/>
            <w:vAlign w:val="center"/>
          </w:tcPr>
          <w:p w14:paraId="6D36B8A0">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报警信号灯</w:t>
            </w:r>
          </w:p>
        </w:tc>
        <w:tc>
          <w:tcPr>
            <w:tcW w:w="1174" w:type="pct"/>
            <w:tcBorders>
              <w:tl2br w:val="nil"/>
              <w:tr2bl w:val="nil"/>
            </w:tcBorders>
            <w:noWrap/>
            <w:vAlign w:val="center"/>
          </w:tcPr>
          <w:p w14:paraId="16598E4D">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w:t>
            </w:r>
          </w:p>
        </w:tc>
        <w:tc>
          <w:tcPr>
            <w:tcW w:w="1235" w:type="pct"/>
            <w:tcBorders>
              <w:tl2br w:val="nil"/>
              <w:tr2bl w:val="nil"/>
            </w:tcBorders>
            <w:noWrap/>
            <w:vAlign w:val="center"/>
          </w:tcPr>
          <w:p w14:paraId="10FAF298">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套</w:t>
            </w:r>
          </w:p>
        </w:tc>
      </w:tr>
      <w:tr w14:paraId="543C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2BE3581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3</w:t>
            </w:r>
          </w:p>
        </w:tc>
        <w:tc>
          <w:tcPr>
            <w:tcW w:w="1942" w:type="pct"/>
            <w:tcBorders>
              <w:tl2br w:val="nil"/>
              <w:tr2bl w:val="nil"/>
            </w:tcBorders>
            <w:noWrap w:val="0"/>
            <w:vAlign w:val="center"/>
          </w:tcPr>
          <w:p w14:paraId="55F63178">
            <w:pPr>
              <w:widowControl/>
              <w:autoSpaceDE/>
              <w:autoSpaceDN/>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线槽</w:t>
            </w:r>
          </w:p>
        </w:tc>
        <w:tc>
          <w:tcPr>
            <w:tcW w:w="1174" w:type="pct"/>
            <w:tcBorders>
              <w:tl2br w:val="nil"/>
              <w:tr2bl w:val="nil"/>
            </w:tcBorders>
            <w:noWrap/>
            <w:vAlign w:val="center"/>
          </w:tcPr>
          <w:p w14:paraId="5FD4DE6F">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100</w:t>
            </w:r>
          </w:p>
        </w:tc>
        <w:tc>
          <w:tcPr>
            <w:tcW w:w="1235" w:type="pct"/>
            <w:tcBorders>
              <w:tl2br w:val="nil"/>
              <w:tr2bl w:val="nil"/>
            </w:tcBorders>
            <w:noWrap/>
            <w:vAlign w:val="center"/>
          </w:tcPr>
          <w:p w14:paraId="1BFBACFC">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bidi="ar-SA"/>
              </w:rPr>
              <w:t>米</w:t>
            </w:r>
          </w:p>
        </w:tc>
      </w:tr>
      <w:tr w14:paraId="5B16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48E7FCE2">
            <w:pPr>
              <w:widowControl/>
              <w:autoSpaceDE/>
              <w:autoSpaceDN/>
              <w:jc w:val="left"/>
              <w:rPr>
                <w:rFonts w:hint="default" w:ascii="Times New Roman" w:hAnsi="Times New Roman" w:cs="Times New Roman"/>
                <w:color w:val="FF0000"/>
                <w:sz w:val="21"/>
                <w:szCs w:val="21"/>
                <w:lang w:val="en-US" w:bidi="ar-SA"/>
              </w:rPr>
            </w:pPr>
            <w:bookmarkStart w:id="44" w:name="_Toc9990"/>
            <w:bookmarkStart w:id="45" w:name="_Toc9555"/>
            <w:r>
              <w:rPr>
                <w:rFonts w:hint="default" w:ascii="Times New Roman" w:hAnsi="Times New Roman" w:cs="Times New Roman"/>
                <w:color w:val="FF0000"/>
                <w:sz w:val="21"/>
                <w:szCs w:val="21"/>
                <w:lang w:val="en-US" w:eastAsia="zh-CN" w:bidi="ar-SA"/>
              </w:rPr>
              <w:t>十、饲料加工</w:t>
            </w:r>
          </w:p>
        </w:tc>
      </w:tr>
      <w:tr w14:paraId="5827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1DB5BFD9">
            <w:pPr>
              <w:widowControl/>
              <w:autoSpaceDE/>
              <w:autoSpaceDN/>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1</w:t>
            </w:r>
          </w:p>
        </w:tc>
        <w:tc>
          <w:tcPr>
            <w:tcW w:w="1942" w:type="pct"/>
            <w:tcBorders>
              <w:tl2br w:val="nil"/>
              <w:tr2bl w:val="nil"/>
            </w:tcBorders>
            <w:noWrap w:val="0"/>
            <w:vAlign w:val="center"/>
          </w:tcPr>
          <w:p w14:paraId="36A16A45">
            <w:pPr>
              <w:widowControl/>
              <w:autoSpaceDE/>
              <w:autoSpaceDN/>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粉碎机</w:t>
            </w:r>
          </w:p>
        </w:tc>
        <w:tc>
          <w:tcPr>
            <w:tcW w:w="1174" w:type="pct"/>
            <w:tcBorders>
              <w:tl2br w:val="nil"/>
              <w:tr2bl w:val="nil"/>
            </w:tcBorders>
            <w:noWrap/>
            <w:vAlign w:val="center"/>
          </w:tcPr>
          <w:p w14:paraId="24AF7054">
            <w:pPr>
              <w:widowControl/>
              <w:autoSpaceDE/>
              <w:autoSpaceDN/>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4</w:t>
            </w:r>
          </w:p>
        </w:tc>
        <w:tc>
          <w:tcPr>
            <w:tcW w:w="1235" w:type="pct"/>
            <w:tcBorders>
              <w:tl2br w:val="nil"/>
              <w:tr2bl w:val="nil"/>
            </w:tcBorders>
            <w:noWrap/>
            <w:vAlign w:val="center"/>
          </w:tcPr>
          <w:p w14:paraId="01E4D86B">
            <w:pPr>
              <w:widowControl/>
              <w:autoSpaceDE/>
              <w:autoSpaceDN/>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台</w:t>
            </w:r>
          </w:p>
        </w:tc>
      </w:tr>
      <w:tr w14:paraId="7838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23FD95D1">
            <w:pPr>
              <w:widowControl/>
              <w:autoSpaceDE/>
              <w:autoSpaceDN/>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2</w:t>
            </w:r>
          </w:p>
        </w:tc>
        <w:tc>
          <w:tcPr>
            <w:tcW w:w="1942" w:type="pct"/>
            <w:tcBorders>
              <w:tl2br w:val="nil"/>
              <w:tr2bl w:val="nil"/>
            </w:tcBorders>
            <w:noWrap w:val="0"/>
            <w:vAlign w:val="center"/>
          </w:tcPr>
          <w:p w14:paraId="69B11B37">
            <w:pPr>
              <w:widowControl/>
              <w:autoSpaceDE/>
              <w:autoSpaceDN/>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搅拌机</w:t>
            </w:r>
          </w:p>
        </w:tc>
        <w:tc>
          <w:tcPr>
            <w:tcW w:w="1174" w:type="pct"/>
            <w:tcBorders>
              <w:tl2br w:val="nil"/>
              <w:tr2bl w:val="nil"/>
            </w:tcBorders>
            <w:noWrap/>
            <w:vAlign w:val="center"/>
          </w:tcPr>
          <w:p w14:paraId="4A319969">
            <w:pPr>
              <w:widowControl/>
              <w:autoSpaceDE/>
              <w:autoSpaceDN/>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4</w:t>
            </w:r>
          </w:p>
        </w:tc>
        <w:tc>
          <w:tcPr>
            <w:tcW w:w="1235" w:type="pct"/>
            <w:tcBorders>
              <w:tl2br w:val="nil"/>
              <w:tr2bl w:val="nil"/>
            </w:tcBorders>
            <w:noWrap/>
            <w:vAlign w:val="center"/>
          </w:tcPr>
          <w:p w14:paraId="6F7E2603">
            <w:pPr>
              <w:widowControl/>
              <w:autoSpaceDE/>
              <w:autoSpaceDN/>
              <w:jc w:val="center"/>
              <w:rPr>
                <w:rFonts w:hint="default" w:ascii="Times New Roman" w:hAnsi="Times New Roman" w:cs="Times New Roman"/>
                <w:color w:val="FF0000"/>
                <w:sz w:val="21"/>
                <w:szCs w:val="21"/>
                <w:lang w:val="en-US" w:bidi="ar-SA"/>
              </w:rPr>
            </w:pPr>
            <w:r>
              <w:rPr>
                <w:rFonts w:hint="default" w:ascii="Times New Roman" w:hAnsi="Times New Roman" w:cs="Times New Roman"/>
                <w:color w:val="FF0000"/>
                <w:sz w:val="21"/>
                <w:szCs w:val="21"/>
                <w:lang w:val="en-US" w:eastAsia="zh-CN" w:bidi="ar-SA"/>
              </w:rPr>
              <w:t>台</w:t>
            </w:r>
          </w:p>
        </w:tc>
      </w:tr>
      <w:tr w14:paraId="2555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tcBorders>
              <w:tl2br w:val="nil"/>
              <w:tr2bl w:val="nil"/>
            </w:tcBorders>
            <w:noWrap/>
            <w:vAlign w:val="center"/>
          </w:tcPr>
          <w:p w14:paraId="4F5F9856">
            <w:pPr>
              <w:widowControl/>
              <w:autoSpaceDE/>
              <w:autoSpaceDN/>
              <w:jc w:val="both"/>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vertAlign w:val="baseline"/>
                <w:lang w:val="en-US" w:eastAsia="zh-CN"/>
              </w:rPr>
              <w:t>十一</w:t>
            </w:r>
            <w:r>
              <w:rPr>
                <w:rFonts w:hint="default" w:ascii="Times New Roman" w:hAnsi="Times New Roman" w:cs="Times New Roman"/>
                <w:color w:val="FF0000"/>
                <w:vertAlign w:val="baseline"/>
                <w:lang w:eastAsia="zh-CN"/>
              </w:rPr>
              <w:t>鸡粪发酵处理场</w:t>
            </w:r>
          </w:p>
        </w:tc>
      </w:tr>
      <w:tr w14:paraId="54DF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3220FC42">
            <w:pPr>
              <w:widowControl/>
              <w:autoSpaceDE/>
              <w:autoSpaceDN/>
              <w:jc w:val="center"/>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1</w:t>
            </w:r>
          </w:p>
        </w:tc>
        <w:tc>
          <w:tcPr>
            <w:tcW w:w="1942" w:type="pct"/>
            <w:tcBorders>
              <w:tl2br w:val="nil"/>
              <w:tr2bl w:val="nil"/>
            </w:tcBorders>
            <w:noWrap w:val="0"/>
            <w:vAlign w:val="center"/>
          </w:tcPr>
          <w:p w14:paraId="42DE170E">
            <w:pPr>
              <w:widowControl/>
              <w:autoSpaceDE/>
              <w:autoSpaceDN/>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lang w:val="en-US" w:eastAsia="zh-CN" w:bidi="ar-SA"/>
              </w:rPr>
              <w:t>发酵滚筒设备</w:t>
            </w:r>
          </w:p>
        </w:tc>
        <w:tc>
          <w:tcPr>
            <w:tcW w:w="1174" w:type="pct"/>
            <w:tcBorders>
              <w:tl2br w:val="nil"/>
              <w:tr2bl w:val="nil"/>
            </w:tcBorders>
            <w:noWrap/>
            <w:vAlign w:val="center"/>
          </w:tcPr>
          <w:p w14:paraId="35B5D53F">
            <w:pPr>
              <w:widowControl/>
              <w:autoSpaceDE/>
              <w:autoSpaceDN/>
              <w:jc w:val="center"/>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2</w:t>
            </w:r>
          </w:p>
        </w:tc>
        <w:tc>
          <w:tcPr>
            <w:tcW w:w="1235" w:type="pct"/>
            <w:tcBorders>
              <w:tl2br w:val="nil"/>
              <w:tr2bl w:val="nil"/>
            </w:tcBorders>
            <w:noWrap/>
            <w:vAlign w:val="center"/>
          </w:tcPr>
          <w:p w14:paraId="26255069">
            <w:pPr>
              <w:widowControl/>
              <w:autoSpaceDE/>
              <w:autoSpaceDN/>
              <w:jc w:val="center"/>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台</w:t>
            </w:r>
          </w:p>
        </w:tc>
      </w:tr>
      <w:tr w14:paraId="78A4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2A4CDE09">
            <w:pPr>
              <w:widowControl/>
              <w:autoSpaceDE/>
              <w:autoSpaceDN/>
              <w:jc w:val="center"/>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2</w:t>
            </w:r>
          </w:p>
        </w:tc>
        <w:tc>
          <w:tcPr>
            <w:tcW w:w="1942" w:type="pct"/>
            <w:tcBorders>
              <w:tl2br w:val="nil"/>
              <w:tr2bl w:val="nil"/>
            </w:tcBorders>
            <w:noWrap w:val="0"/>
            <w:vAlign w:val="center"/>
          </w:tcPr>
          <w:p w14:paraId="58248331">
            <w:pPr>
              <w:widowControl/>
              <w:autoSpaceDE/>
              <w:autoSpaceDN/>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lang w:val="en-US" w:eastAsia="zh-CN" w:bidi="ar-SA"/>
              </w:rPr>
              <w:t>发酵池</w:t>
            </w:r>
          </w:p>
        </w:tc>
        <w:tc>
          <w:tcPr>
            <w:tcW w:w="1174" w:type="pct"/>
            <w:tcBorders>
              <w:tl2br w:val="nil"/>
              <w:tr2bl w:val="nil"/>
            </w:tcBorders>
            <w:noWrap/>
            <w:vAlign w:val="center"/>
          </w:tcPr>
          <w:p w14:paraId="5AC47687">
            <w:pPr>
              <w:widowControl/>
              <w:autoSpaceDE/>
              <w:autoSpaceDN/>
              <w:jc w:val="center"/>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6000m</w:t>
            </w:r>
            <w:r>
              <w:rPr>
                <w:rFonts w:hint="default" w:ascii="Times New Roman" w:hAnsi="Times New Roman" w:cs="Times New Roman"/>
                <w:color w:val="FF0000"/>
                <w:sz w:val="21"/>
                <w:szCs w:val="21"/>
                <w:vertAlign w:val="superscript"/>
                <w:lang w:val="en-US" w:eastAsia="zh-CN" w:bidi="ar-SA"/>
              </w:rPr>
              <w:t>3</w:t>
            </w:r>
          </w:p>
        </w:tc>
        <w:tc>
          <w:tcPr>
            <w:tcW w:w="1235" w:type="pct"/>
            <w:tcBorders>
              <w:tl2br w:val="nil"/>
              <w:tr2bl w:val="nil"/>
            </w:tcBorders>
            <w:noWrap/>
            <w:vAlign w:val="center"/>
          </w:tcPr>
          <w:p w14:paraId="097A8104">
            <w:pPr>
              <w:widowControl/>
              <w:autoSpaceDE/>
              <w:autoSpaceDN/>
              <w:jc w:val="center"/>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1</w:t>
            </w:r>
          </w:p>
        </w:tc>
      </w:tr>
      <w:tr w14:paraId="3863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trPr>
        <w:tc>
          <w:tcPr>
            <w:tcW w:w="5000" w:type="pct"/>
            <w:gridSpan w:val="4"/>
            <w:tcBorders>
              <w:tl2br w:val="nil"/>
              <w:tr2bl w:val="nil"/>
            </w:tcBorders>
            <w:noWrap/>
            <w:vAlign w:val="center"/>
          </w:tcPr>
          <w:p w14:paraId="50F17F36">
            <w:pPr>
              <w:widowControl/>
              <w:autoSpaceDE/>
              <w:autoSpaceDN/>
              <w:jc w:val="both"/>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十二、其他</w:t>
            </w:r>
          </w:p>
        </w:tc>
      </w:tr>
      <w:tr w14:paraId="599A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7" w:type="pct"/>
            <w:tcBorders>
              <w:tl2br w:val="nil"/>
              <w:tr2bl w:val="nil"/>
            </w:tcBorders>
            <w:noWrap/>
            <w:vAlign w:val="center"/>
          </w:tcPr>
          <w:p w14:paraId="57017684">
            <w:pPr>
              <w:widowControl/>
              <w:autoSpaceDE/>
              <w:autoSpaceDN/>
              <w:jc w:val="center"/>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1</w:t>
            </w:r>
          </w:p>
        </w:tc>
        <w:tc>
          <w:tcPr>
            <w:tcW w:w="1942" w:type="pct"/>
            <w:tcBorders>
              <w:tl2br w:val="nil"/>
              <w:tr2bl w:val="nil"/>
            </w:tcBorders>
            <w:noWrap w:val="0"/>
            <w:vAlign w:val="center"/>
          </w:tcPr>
          <w:p w14:paraId="19892F84">
            <w:pPr>
              <w:widowControl/>
              <w:autoSpaceDE/>
              <w:autoSpaceDN/>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lang w:val="en-US" w:eastAsia="zh-CN" w:bidi="ar-SA"/>
              </w:rPr>
              <w:t>锅炉（2t/h）</w:t>
            </w:r>
          </w:p>
        </w:tc>
        <w:tc>
          <w:tcPr>
            <w:tcW w:w="1174" w:type="pct"/>
            <w:tcBorders>
              <w:tl2br w:val="nil"/>
              <w:tr2bl w:val="nil"/>
            </w:tcBorders>
            <w:noWrap/>
            <w:vAlign w:val="center"/>
          </w:tcPr>
          <w:p w14:paraId="3C13561D">
            <w:pPr>
              <w:widowControl/>
              <w:autoSpaceDE/>
              <w:autoSpaceDN/>
              <w:jc w:val="center"/>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1</w:t>
            </w:r>
          </w:p>
        </w:tc>
        <w:tc>
          <w:tcPr>
            <w:tcW w:w="1235" w:type="pct"/>
            <w:tcBorders>
              <w:tl2br w:val="nil"/>
              <w:tr2bl w:val="nil"/>
            </w:tcBorders>
            <w:noWrap/>
            <w:vAlign w:val="center"/>
          </w:tcPr>
          <w:p w14:paraId="23B84A95">
            <w:pPr>
              <w:widowControl/>
              <w:autoSpaceDE/>
              <w:autoSpaceDN/>
              <w:jc w:val="center"/>
              <w:rPr>
                <w:rFonts w:hint="default" w:ascii="Times New Roman" w:hAnsi="Times New Roman" w:cs="Times New Roman"/>
                <w:color w:val="FF0000"/>
                <w:sz w:val="21"/>
                <w:szCs w:val="21"/>
                <w:lang w:val="en-US" w:eastAsia="zh-CN" w:bidi="ar-SA"/>
              </w:rPr>
            </w:pPr>
            <w:r>
              <w:rPr>
                <w:rFonts w:hint="default" w:ascii="Times New Roman" w:hAnsi="Times New Roman" w:cs="Times New Roman"/>
                <w:color w:val="FF0000"/>
                <w:sz w:val="21"/>
                <w:szCs w:val="21"/>
                <w:lang w:val="en-US" w:eastAsia="zh-CN" w:bidi="ar-SA"/>
              </w:rPr>
              <w:t>台</w:t>
            </w:r>
          </w:p>
        </w:tc>
      </w:tr>
    </w:tbl>
    <w:p w14:paraId="2B7DB9C8">
      <w:pPr>
        <w:pStyle w:val="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能源与物料消耗分析</w:t>
      </w:r>
      <w:bookmarkEnd w:id="44"/>
      <w:bookmarkEnd w:id="45"/>
    </w:p>
    <w:p w14:paraId="4378677C">
      <w:pPr>
        <w:keepNext w:val="0"/>
        <w:keepLines w:val="0"/>
        <w:pageBreakBefore w:val="0"/>
        <w:widowControl w:val="0"/>
        <w:kinsoku w:val="0"/>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bidi="ar-SA"/>
        </w:rPr>
      </w:pPr>
      <w:r>
        <w:rPr>
          <w:rFonts w:hint="default" w:ascii="Times New Roman" w:hAnsi="Times New Roman" w:cs="Times New Roman"/>
          <w:sz w:val="24"/>
          <w:szCs w:val="24"/>
          <w:lang w:val="en-US" w:bidi="ar-SA"/>
        </w:rPr>
        <w:t>本项目主要原辅材料包括饲料、水、电等，具体消耗情况见下表。</w:t>
      </w:r>
    </w:p>
    <w:p w14:paraId="53872761">
      <w:pPr>
        <w:pStyle w:val="14"/>
        <w:tabs>
          <w:tab w:val="left" w:pos="779"/>
        </w:tabs>
        <w:jc w:val="center"/>
        <w:rPr>
          <w:rFonts w:hint="default" w:ascii="Times New Roman" w:hAnsi="Times New Roman" w:cs="Times New Roman"/>
          <w:b/>
          <w:sz w:val="21"/>
          <w:szCs w:val="21"/>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
          <w:sz w:val="21"/>
          <w:szCs w:val="21"/>
        </w:rPr>
        <w:t>本项目主要原辅材料消耗表</w:t>
      </w:r>
    </w:p>
    <w:tbl>
      <w:tblPr>
        <w:tblStyle w:val="33"/>
        <w:tblW w:w="50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92"/>
        <w:gridCol w:w="1579"/>
        <w:gridCol w:w="1692"/>
        <w:gridCol w:w="1930"/>
        <w:gridCol w:w="1700"/>
      </w:tblGrid>
      <w:tr w14:paraId="797532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937" w:type="pct"/>
            <w:tcBorders>
              <w:tl2br w:val="nil"/>
              <w:tr2bl w:val="nil"/>
            </w:tcBorders>
            <w:noWrap w:val="0"/>
            <w:vAlign w:val="center"/>
          </w:tcPr>
          <w:p w14:paraId="17C5CD15">
            <w:pPr>
              <w:pStyle w:val="69"/>
              <w:kinsoku w:val="0"/>
              <w:overflowPunct w:val="0"/>
              <w:rPr>
                <w:rFonts w:hint="default" w:ascii="Times New Roman" w:hAnsi="Times New Roman" w:cs="Times New Roman"/>
                <w:sz w:val="21"/>
                <w:szCs w:val="21"/>
              </w:rPr>
            </w:pPr>
            <w:r>
              <w:rPr>
                <w:rFonts w:hint="default" w:ascii="Times New Roman" w:hAnsi="Times New Roman" w:cs="Times New Roman"/>
                <w:spacing w:val="-1"/>
                <w:sz w:val="21"/>
                <w:szCs w:val="21"/>
              </w:rPr>
              <w:t>原辅材料</w:t>
            </w:r>
          </w:p>
        </w:tc>
        <w:tc>
          <w:tcPr>
            <w:tcW w:w="929" w:type="pct"/>
            <w:tcBorders>
              <w:tl2br w:val="nil"/>
              <w:tr2bl w:val="nil"/>
            </w:tcBorders>
            <w:noWrap w:val="0"/>
            <w:vAlign w:val="center"/>
          </w:tcPr>
          <w:p w14:paraId="64B587C6">
            <w:pPr>
              <w:pStyle w:val="69"/>
              <w:kinsoku w:val="0"/>
              <w:overflowPunct w:val="0"/>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996" w:type="pct"/>
            <w:tcBorders>
              <w:tl2br w:val="nil"/>
              <w:tr2bl w:val="nil"/>
            </w:tcBorders>
            <w:noWrap w:val="0"/>
            <w:vAlign w:val="center"/>
          </w:tcPr>
          <w:p w14:paraId="5F0E739D">
            <w:pPr>
              <w:pStyle w:val="69"/>
              <w:kinsoku w:val="0"/>
              <w:overflowPunct w:val="0"/>
              <w:rPr>
                <w:rFonts w:hint="default" w:ascii="Times New Roman" w:hAnsi="Times New Roman" w:cs="Times New Roman"/>
                <w:sz w:val="21"/>
                <w:szCs w:val="21"/>
              </w:rPr>
            </w:pPr>
            <w:r>
              <w:rPr>
                <w:rFonts w:hint="default" w:ascii="Times New Roman" w:hAnsi="Times New Roman" w:cs="Times New Roman"/>
                <w:spacing w:val="-1"/>
                <w:sz w:val="21"/>
                <w:szCs w:val="21"/>
              </w:rPr>
              <w:t>年消耗量</w:t>
            </w:r>
          </w:p>
        </w:tc>
        <w:tc>
          <w:tcPr>
            <w:tcW w:w="1136" w:type="pct"/>
            <w:tcBorders>
              <w:tl2br w:val="nil"/>
              <w:tr2bl w:val="nil"/>
            </w:tcBorders>
            <w:noWrap w:val="0"/>
            <w:vAlign w:val="center"/>
          </w:tcPr>
          <w:p w14:paraId="32A0C9EB">
            <w:pPr>
              <w:pStyle w:val="69"/>
              <w:kinsoku w:val="0"/>
              <w:overflowPunct w:val="0"/>
              <w:rPr>
                <w:rFonts w:hint="default" w:ascii="Times New Roman" w:hAnsi="Times New Roman" w:cs="Times New Roman"/>
                <w:sz w:val="21"/>
                <w:szCs w:val="21"/>
              </w:rPr>
            </w:pPr>
            <w:r>
              <w:rPr>
                <w:rFonts w:hint="default" w:ascii="Times New Roman" w:hAnsi="Times New Roman" w:cs="Times New Roman"/>
                <w:sz w:val="21"/>
                <w:szCs w:val="21"/>
                <w:lang w:val="en-US"/>
              </w:rPr>
              <w:t>来源</w:t>
            </w:r>
          </w:p>
        </w:tc>
        <w:tc>
          <w:tcPr>
            <w:tcW w:w="1000" w:type="pct"/>
            <w:tcBorders>
              <w:tl2br w:val="nil"/>
              <w:tr2bl w:val="nil"/>
            </w:tcBorders>
            <w:noWrap w:val="0"/>
            <w:vAlign w:val="center"/>
          </w:tcPr>
          <w:p w14:paraId="35FD4D92">
            <w:pPr>
              <w:pStyle w:val="69"/>
              <w:kinsoku w:val="0"/>
              <w:overflowPunct w:val="0"/>
              <w:rPr>
                <w:rFonts w:hint="default" w:ascii="Times New Roman" w:hAnsi="Times New Roman" w:cs="Times New Roman"/>
                <w:sz w:val="21"/>
                <w:szCs w:val="21"/>
                <w:lang w:val="en-US"/>
              </w:rPr>
            </w:pPr>
            <w:r>
              <w:rPr>
                <w:rFonts w:hint="default" w:ascii="Times New Roman" w:hAnsi="Times New Roman" w:cs="Times New Roman"/>
                <w:sz w:val="21"/>
                <w:szCs w:val="21"/>
                <w:lang w:val="en-US"/>
              </w:rPr>
              <w:t>备注</w:t>
            </w:r>
          </w:p>
        </w:tc>
      </w:tr>
      <w:tr w14:paraId="6E3E2B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937" w:type="pct"/>
            <w:tcBorders>
              <w:tl2br w:val="nil"/>
              <w:tr2bl w:val="nil"/>
            </w:tcBorders>
            <w:noWrap w:val="0"/>
            <w:vAlign w:val="center"/>
          </w:tcPr>
          <w:p w14:paraId="6796297A">
            <w:pPr>
              <w:pStyle w:val="69"/>
              <w:kinsoku w:val="0"/>
              <w:overflowPunct w:val="0"/>
              <w:rPr>
                <w:rFonts w:hint="default" w:ascii="Times New Roman" w:hAnsi="Times New Roman" w:cs="Times New Roman"/>
                <w:sz w:val="21"/>
                <w:szCs w:val="21"/>
                <w:lang w:val="en-US"/>
              </w:rPr>
            </w:pPr>
            <w:r>
              <w:rPr>
                <w:rFonts w:hint="default" w:ascii="Times New Roman" w:hAnsi="Times New Roman" w:cs="Times New Roman"/>
                <w:sz w:val="21"/>
                <w:szCs w:val="21"/>
                <w:lang w:val="en-US"/>
              </w:rPr>
              <w:t>蛋鸡</w:t>
            </w:r>
          </w:p>
        </w:tc>
        <w:tc>
          <w:tcPr>
            <w:tcW w:w="929" w:type="pct"/>
            <w:tcBorders>
              <w:tl2br w:val="nil"/>
              <w:tr2bl w:val="nil"/>
            </w:tcBorders>
            <w:noWrap w:val="0"/>
            <w:vAlign w:val="center"/>
          </w:tcPr>
          <w:p w14:paraId="188C9CCE">
            <w:pPr>
              <w:pStyle w:val="69"/>
              <w:kinsoku w:val="0"/>
              <w:overflowPunct w:val="0"/>
              <w:rPr>
                <w:rFonts w:hint="default" w:ascii="Times New Roman" w:hAnsi="Times New Roman" w:cs="Times New Roman"/>
                <w:spacing w:val="-2"/>
                <w:sz w:val="21"/>
                <w:szCs w:val="21"/>
                <w:lang w:val="en-US"/>
              </w:rPr>
            </w:pPr>
            <w:r>
              <w:rPr>
                <w:rFonts w:hint="default" w:ascii="Times New Roman" w:hAnsi="Times New Roman" w:cs="Times New Roman"/>
                <w:spacing w:val="-2"/>
                <w:sz w:val="21"/>
                <w:szCs w:val="21"/>
                <w:lang w:val="en-US"/>
              </w:rPr>
              <w:t>只</w:t>
            </w:r>
          </w:p>
        </w:tc>
        <w:tc>
          <w:tcPr>
            <w:tcW w:w="996" w:type="pct"/>
            <w:tcBorders>
              <w:tl2br w:val="nil"/>
              <w:tr2bl w:val="nil"/>
            </w:tcBorders>
            <w:noWrap w:val="0"/>
            <w:vAlign w:val="center"/>
          </w:tcPr>
          <w:p w14:paraId="0CA5075E">
            <w:pPr>
              <w:pStyle w:val="69"/>
              <w:kinsoku w:val="0"/>
              <w:overflowPunct w:val="0"/>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lang w:val="en-US"/>
              </w:rPr>
              <w:t>00000</w:t>
            </w:r>
          </w:p>
        </w:tc>
        <w:tc>
          <w:tcPr>
            <w:tcW w:w="1136" w:type="pct"/>
            <w:tcBorders>
              <w:tl2br w:val="nil"/>
              <w:tr2bl w:val="nil"/>
            </w:tcBorders>
            <w:noWrap w:val="0"/>
            <w:vAlign w:val="center"/>
          </w:tcPr>
          <w:p w14:paraId="39F51CDB">
            <w:pPr>
              <w:kinsoku w:val="0"/>
              <w:overflowPunct w:val="0"/>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c>
          <w:tcPr>
            <w:tcW w:w="1000" w:type="pct"/>
            <w:tcBorders>
              <w:tl2br w:val="nil"/>
              <w:tr2bl w:val="nil"/>
            </w:tcBorders>
            <w:noWrap w:val="0"/>
            <w:vAlign w:val="center"/>
          </w:tcPr>
          <w:p w14:paraId="68412821">
            <w:pPr>
              <w:pStyle w:val="69"/>
              <w:kinsoku w:val="0"/>
              <w:overflowPunct w:val="0"/>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r>
      <w:tr w14:paraId="46B0AE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937" w:type="pct"/>
            <w:tcBorders>
              <w:tl2br w:val="nil"/>
              <w:tr2bl w:val="nil"/>
            </w:tcBorders>
            <w:noWrap w:val="0"/>
            <w:vAlign w:val="center"/>
          </w:tcPr>
          <w:p w14:paraId="6D5943AA">
            <w:pPr>
              <w:pStyle w:val="69"/>
              <w:kinsoku w:val="0"/>
              <w:overflowPunct w:val="0"/>
              <w:rPr>
                <w:rFonts w:hint="default" w:ascii="Times New Roman" w:hAnsi="Times New Roman" w:cs="Times New Roman"/>
                <w:sz w:val="21"/>
                <w:szCs w:val="21"/>
                <w:lang w:val="en-US"/>
              </w:rPr>
            </w:pPr>
            <w:r>
              <w:rPr>
                <w:rFonts w:hint="default" w:ascii="Times New Roman" w:hAnsi="Times New Roman" w:cs="Times New Roman"/>
                <w:sz w:val="21"/>
                <w:szCs w:val="21"/>
                <w:lang w:val="en-US"/>
              </w:rPr>
              <w:t>育雏鸡</w:t>
            </w:r>
          </w:p>
        </w:tc>
        <w:tc>
          <w:tcPr>
            <w:tcW w:w="929" w:type="pct"/>
            <w:tcBorders>
              <w:tl2br w:val="nil"/>
              <w:tr2bl w:val="nil"/>
            </w:tcBorders>
            <w:noWrap w:val="0"/>
            <w:vAlign w:val="center"/>
          </w:tcPr>
          <w:p w14:paraId="3BF792DE">
            <w:pPr>
              <w:pStyle w:val="69"/>
              <w:kinsoku w:val="0"/>
              <w:overflowPunct w:val="0"/>
              <w:rPr>
                <w:rFonts w:hint="default" w:ascii="Times New Roman" w:hAnsi="Times New Roman" w:cs="Times New Roman"/>
                <w:spacing w:val="-2"/>
                <w:sz w:val="21"/>
                <w:szCs w:val="21"/>
                <w:lang w:val="en-US"/>
              </w:rPr>
            </w:pPr>
            <w:r>
              <w:rPr>
                <w:rFonts w:hint="default" w:ascii="Times New Roman" w:hAnsi="Times New Roman" w:cs="Times New Roman"/>
                <w:spacing w:val="-2"/>
                <w:sz w:val="21"/>
                <w:szCs w:val="21"/>
                <w:lang w:val="en-US"/>
              </w:rPr>
              <w:t>只</w:t>
            </w:r>
          </w:p>
        </w:tc>
        <w:tc>
          <w:tcPr>
            <w:tcW w:w="996" w:type="pct"/>
            <w:tcBorders>
              <w:tl2br w:val="nil"/>
              <w:tr2bl w:val="nil"/>
            </w:tcBorders>
            <w:noWrap w:val="0"/>
            <w:vAlign w:val="center"/>
          </w:tcPr>
          <w:p w14:paraId="299E3D49">
            <w:pPr>
              <w:pStyle w:val="69"/>
              <w:kinsoku w:val="0"/>
              <w:overflowPunct w:val="0"/>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lang w:val="en-US"/>
              </w:rPr>
              <w:t>00000</w:t>
            </w:r>
          </w:p>
        </w:tc>
        <w:tc>
          <w:tcPr>
            <w:tcW w:w="1136" w:type="pct"/>
            <w:tcBorders>
              <w:tl2br w:val="nil"/>
              <w:tr2bl w:val="nil"/>
            </w:tcBorders>
            <w:noWrap w:val="0"/>
            <w:vAlign w:val="center"/>
          </w:tcPr>
          <w:p w14:paraId="6F716635">
            <w:pPr>
              <w:kinsoku w:val="0"/>
              <w:overflowPunct w:val="0"/>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c>
          <w:tcPr>
            <w:tcW w:w="1000" w:type="pct"/>
            <w:tcBorders>
              <w:tl2br w:val="nil"/>
              <w:tr2bl w:val="nil"/>
            </w:tcBorders>
            <w:noWrap w:val="0"/>
            <w:vAlign w:val="center"/>
          </w:tcPr>
          <w:p w14:paraId="5B33CC51">
            <w:pPr>
              <w:pStyle w:val="69"/>
              <w:kinsoku w:val="0"/>
              <w:overflowPunct w:val="0"/>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r>
      <w:tr w14:paraId="4883DD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937" w:type="pct"/>
            <w:tcBorders>
              <w:tl2br w:val="nil"/>
              <w:tr2bl w:val="nil"/>
            </w:tcBorders>
            <w:noWrap w:val="0"/>
            <w:vAlign w:val="center"/>
          </w:tcPr>
          <w:p w14:paraId="3B8AEDFF">
            <w:pPr>
              <w:pStyle w:val="69"/>
              <w:kinsoku w:val="0"/>
              <w:overflowPunct w:val="0"/>
              <w:rPr>
                <w:rFonts w:hint="default" w:ascii="Times New Roman" w:hAnsi="Times New Roman" w:cs="Times New Roman"/>
                <w:sz w:val="21"/>
                <w:szCs w:val="21"/>
              </w:rPr>
            </w:pPr>
            <w:r>
              <w:rPr>
                <w:rFonts w:hint="default" w:ascii="Times New Roman" w:hAnsi="Times New Roman" w:cs="Times New Roman"/>
                <w:sz w:val="21"/>
                <w:szCs w:val="21"/>
              </w:rPr>
              <w:t>饲料</w:t>
            </w:r>
          </w:p>
        </w:tc>
        <w:tc>
          <w:tcPr>
            <w:tcW w:w="929" w:type="pct"/>
            <w:tcBorders>
              <w:tl2br w:val="nil"/>
              <w:tr2bl w:val="nil"/>
            </w:tcBorders>
            <w:noWrap w:val="0"/>
            <w:vAlign w:val="center"/>
          </w:tcPr>
          <w:p w14:paraId="5B733547">
            <w:pPr>
              <w:pStyle w:val="69"/>
              <w:kinsoku w:val="0"/>
              <w:overflowPunct w:val="0"/>
              <w:rPr>
                <w:rFonts w:hint="default" w:ascii="Times New Roman" w:hAnsi="Times New Roman" w:cs="Times New Roman"/>
                <w:sz w:val="21"/>
                <w:szCs w:val="21"/>
              </w:rPr>
            </w:pPr>
            <w:r>
              <w:rPr>
                <w:rFonts w:hint="default" w:ascii="Times New Roman" w:hAnsi="Times New Roman" w:cs="Times New Roman"/>
                <w:spacing w:val="-2"/>
                <w:sz w:val="21"/>
                <w:szCs w:val="21"/>
              </w:rPr>
              <w:t>t/a</w:t>
            </w:r>
          </w:p>
        </w:tc>
        <w:tc>
          <w:tcPr>
            <w:tcW w:w="996" w:type="pct"/>
            <w:tcBorders>
              <w:tl2br w:val="nil"/>
              <w:tr2bl w:val="nil"/>
            </w:tcBorders>
            <w:noWrap w:val="0"/>
            <w:vAlign w:val="center"/>
          </w:tcPr>
          <w:p w14:paraId="1F3708C3">
            <w:pPr>
              <w:pStyle w:val="69"/>
              <w:kinsoku w:val="0"/>
              <w:overflowPunct w:val="0"/>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20</w:t>
            </w:r>
            <w:r>
              <w:rPr>
                <w:rFonts w:hint="default" w:ascii="Times New Roman" w:hAnsi="Times New Roman" w:cs="Times New Roman"/>
                <w:sz w:val="21"/>
                <w:szCs w:val="21"/>
                <w:lang w:val="en-US"/>
              </w:rPr>
              <w:t>000</w:t>
            </w:r>
          </w:p>
        </w:tc>
        <w:tc>
          <w:tcPr>
            <w:tcW w:w="1136" w:type="pct"/>
            <w:tcBorders>
              <w:tl2br w:val="nil"/>
              <w:tr2bl w:val="nil"/>
            </w:tcBorders>
            <w:noWrap w:val="0"/>
            <w:vAlign w:val="center"/>
          </w:tcPr>
          <w:p w14:paraId="61666B1A">
            <w:pPr>
              <w:pStyle w:val="69"/>
              <w:kinsoku w:val="0"/>
              <w:overflowPunct w:val="0"/>
              <w:rPr>
                <w:rFonts w:hint="default" w:ascii="Times New Roman" w:hAnsi="Times New Roman" w:cs="Times New Roman"/>
                <w:sz w:val="21"/>
                <w:szCs w:val="21"/>
              </w:rPr>
            </w:pPr>
            <w:r>
              <w:rPr>
                <w:rFonts w:hint="default" w:ascii="Times New Roman" w:hAnsi="Times New Roman" w:cs="Times New Roman"/>
                <w:sz w:val="21"/>
                <w:szCs w:val="21"/>
              </w:rPr>
              <w:t>外购</w:t>
            </w:r>
          </w:p>
        </w:tc>
        <w:tc>
          <w:tcPr>
            <w:tcW w:w="1000" w:type="pct"/>
            <w:tcBorders>
              <w:tl2br w:val="nil"/>
              <w:tr2bl w:val="nil"/>
            </w:tcBorders>
            <w:noWrap w:val="0"/>
            <w:vAlign w:val="center"/>
          </w:tcPr>
          <w:p w14:paraId="65AFA8BC">
            <w:pPr>
              <w:pStyle w:val="69"/>
              <w:kinsoku w:val="0"/>
              <w:overflowPunct w:val="0"/>
              <w:rPr>
                <w:rFonts w:hint="default" w:ascii="Times New Roman" w:hAnsi="Times New Roman" w:cs="Times New Roman"/>
                <w:sz w:val="21"/>
                <w:szCs w:val="21"/>
                <w:lang w:val="en-US"/>
              </w:rPr>
            </w:pPr>
            <w:r>
              <w:rPr>
                <w:rFonts w:hint="default" w:ascii="Times New Roman" w:hAnsi="Times New Roman" w:cs="Times New Roman"/>
                <w:sz w:val="21"/>
                <w:szCs w:val="21"/>
                <w:lang w:val="en-US"/>
              </w:rPr>
              <w:t>玉米、豆粕等</w:t>
            </w:r>
          </w:p>
        </w:tc>
      </w:tr>
      <w:tr w14:paraId="428289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937" w:type="pct"/>
            <w:tcBorders>
              <w:tl2br w:val="nil"/>
              <w:tr2bl w:val="nil"/>
            </w:tcBorders>
            <w:noWrap w:val="0"/>
            <w:vAlign w:val="center"/>
          </w:tcPr>
          <w:p w14:paraId="0A0CD52A">
            <w:pPr>
              <w:pStyle w:val="69"/>
              <w:kinsoku w:val="0"/>
              <w:overflowPunct w:val="0"/>
              <w:rPr>
                <w:rFonts w:hint="default" w:ascii="Times New Roman" w:hAnsi="Times New Roman" w:cs="Times New Roman"/>
                <w:sz w:val="21"/>
                <w:szCs w:val="21"/>
              </w:rPr>
            </w:pPr>
            <w:r>
              <w:rPr>
                <w:rFonts w:hint="default" w:ascii="Times New Roman" w:hAnsi="Times New Roman" w:cs="Times New Roman"/>
                <w:sz w:val="21"/>
                <w:szCs w:val="21"/>
              </w:rPr>
              <w:t>防疫药品</w:t>
            </w:r>
          </w:p>
        </w:tc>
        <w:tc>
          <w:tcPr>
            <w:tcW w:w="929" w:type="pct"/>
            <w:tcBorders>
              <w:tl2br w:val="nil"/>
              <w:tr2bl w:val="nil"/>
            </w:tcBorders>
            <w:noWrap w:val="0"/>
            <w:vAlign w:val="center"/>
          </w:tcPr>
          <w:p w14:paraId="5D03D8FF">
            <w:pPr>
              <w:kinsoku w:val="0"/>
              <w:overflowPunct w:val="0"/>
              <w:jc w:val="center"/>
              <w:rPr>
                <w:rFonts w:hint="default" w:ascii="Times New Roman" w:hAnsi="Times New Roman" w:cs="Times New Roman"/>
                <w:spacing w:val="-2"/>
                <w:sz w:val="21"/>
                <w:szCs w:val="21"/>
              </w:rPr>
            </w:pPr>
            <w:r>
              <w:rPr>
                <w:rFonts w:hint="default" w:ascii="Times New Roman" w:hAnsi="Times New Roman" w:cs="Times New Roman"/>
                <w:spacing w:val="-2"/>
                <w:sz w:val="21"/>
                <w:szCs w:val="21"/>
              </w:rPr>
              <w:t>t/a</w:t>
            </w:r>
          </w:p>
        </w:tc>
        <w:tc>
          <w:tcPr>
            <w:tcW w:w="996" w:type="pct"/>
            <w:tcBorders>
              <w:tl2br w:val="nil"/>
              <w:tr2bl w:val="nil"/>
            </w:tcBorders>
            <w:noWrap w:val="0"/>
            <w:vAlign w:val="center"/>
          </w:tcPr>
          <w:p w14:paraId="10E94D2D">
            <w:pPr>
              <w:pStyle w:val="69"/>
              <w:kinsoku w:val="0"/>
              <w:overflowPunct w:val="0"/>
              <w:rPr>
                <w:rFonts w:hint="default" w:ascii="Times New Roman" w:hAnsi="Times New Roman" w:cs="Times New Roman"/>
                <w:spacing w:val="-1"/>
                <w:sz w:val="21"/>
                <w:szCs w:val="21"/>
                <w:lang w:val="en-US"/>
              </w:rPr>
            </w:pPr>
            <w:r>
              <w:rPr>
                <w:rFonts w:hint="default" w:ascii="Times New Roman" w:hAnsi="Times New Roman" w:cs="Times New Roman"/>
                <w:spacing w:val="-1"/>
                <w:sz w:val="21"/>
                <w:szCs w:val="21"/>
                <w:lang w:val="en-US"/>
              </w:rPr>
              <w:t>0.5</w:t>
            </w:r>
          </w:p>
        </w:tc>
        <w:tc>
          <w:tcPr>
            <w:tcW w:w="1136" w:type="pct"/>
            <w:tcBorders>
              <w:tl2br w:val="nil"/>
              <w:tr2bl w:val="nil"/>
            </w:tcBorders>
            <w:noWrap w:val="0"/>
            <w:vAlign w:val="center"/>
          </w:tcPr>
          <w:p w14:paraId="7D7CF26A">
            <w:pPr>
              <w:kinsoku w:val="0"/>
              <w:overflowPunct w:val="0"/>
              <w:jc w:val="center"/>
              <w:rPr>
                <w:rFonts w:hint="default" w:ascii="Times New Roman" w:hAnsi="Times New Roman" w:cs="Times New Roman"/>
                <w:spacing w:val="-1"/>
                <w:sz w:val="21"/>
                <w:szCs w:val="21"/>
              </w:rPr>
            </w:pPr>
            <w:r>
              <w:rPr>
                <w:rFonts w:hint="default" w:ascii="Times New Roman" w:hAnsi="Times New Roman" w:cs="Times New Roman"/>
                <w:sz w:val="21"/>
                <w:szCs w:val="21"/>
              </w:rPr>
              <w:t>外购</w:t>
            </w:r>
          </w:p>
        </w:tc>
        <w:tc>
          <w:tcPr>
            <w:tcW w:w="1000" w:type="pct"/>
            <w:tcBorders>
              <w:tl2br w:val="nil"/>
              <w:tr2bl w:val="nil"/>
            </w:tcBorders>
            <w:noWrap w:val="0"/>
            <w:vAlign w:val="center"/>
          </w:tcPr>
          <w:p w14:paraId="594D323F">
            <w:pPr>
              <w:kinsoku w:val="0"/>
              <w:overflowPunct w:val="0"/>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卫生防疫</w:t>
            </w:r>
          </w:p>
        </w:tc>
      </w:tr>
      <w:tr w14:paraId="11CF2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937" w:type="pct"/>
            <w:tcBorders>
              <w:tl2br w:val="nil"/>
              <w:tr2bl w:val="nil"/>
            </w:tcBorders>
            <w:noWrap w:val="0"/>
            <w:vAlign w:val="center"/>
          </w:tcPr>
          <w:p w14:paraId="43CD789A">
            <w:pPr>
              <w:pStyle w:val="69"/>
              <w:kinsoku w:val="0"/>
              <w:overflowPunct w:val="0"/>
              <w:rPr>
                <w:rFonts w:hint="default" w:ascii="Times New Roman" w:hAnsi="Times New Roman" w:cs="Times New Roman"/>
                <w:sz w:val="21"/>
                <w:szCs w:val="21"/>
              </w:rPr>
            </w:pPr>
            <w:r>
              <w:rPr>
                <w:rFonts w:hint="default" w:ascii="Times New Roman" w:hAnsi="Times New Roman" w:cs="Times New Roman"/>
                <w:sz w:val="21"/>
                <w:szCs w:val="21"/>
              </w:rPr>
              <w:t>新鲜水</w:t>
            </w:r>
          </w:p>
        </w:tc>
        <w:tc>
          <w:tcPr>
            <w:tcW w:w="929" w:type="pct"/>
            <w:tcBorders>
              <w:tl2br w:val="nil"/>
              <w:tr2bl w:val="nil"/>
            </w:tcBorders>
            <w:noWrap w:val="0"/>
            <w:vAlign w:val="center"/>
          </w:tcPr>
          <w:p w14:paraId="170040E8">
            <w:pPr>
              <w:pStyle w:val="69"/>
              <w:kinsoku w:val="0"/>
              <w:overflowPunct w:val="0"/>
              <w:rPr>
                <w:rFonts w:hint="default" w:ascii="Times New Roman" w:hAnsi="Times New Roman" w:cs="Times New Roman"/>
                <w:sz w:val="21"/>
                <w:szCs w:val="21"/>
              </w:rPr>
            </w:pPr>
            <w:r>
              <w:rPr>
                <w:rFonts w:hint="default" w:ascii="Times New Roman" w:hAnsi="Times New Roman" w:cs="Times New Roman"/>
                <w:spacing w:val="-2"/>
                <w:sz w:val="21"/>
                <w:szCs w:val="21"/>
                <w:lang w:val="en-US"/>
              </w:rPr>
              <w:t>m</w:t>
            </w:r>
            <w:r>
              <w:rPr>
                <w:rFonts w:hint="default" w:ascii="Times New Roman" w:hAnsi="Times New Roman" w:cs="Times New Roman"/>
                <w:spacing w:val="-2"/>
                <w:sz w:val="21"/>
                <w:szCs w:val="21"/>
                <w:vertAlign w:val="superscript"/>
                <w:lang w:val="en-US"/>
              </w:rPr>
              <w:t>3</w:t>
            </w:r>
            <w:r>
              <w:rPr>
                <w:rFonts w:hint="default" w:ascii="Times New Roman" w:hAnsi="Times New Roman" w:cs="Times New Roman"/>
                <w:spacing w:val="-2"/>
                <w:sz w:val="21"/>
                <w:szCs w:val="21"/>
              </w:rPr>
              <w:t>/a</w:t>
            </w:r>
          </w:p>
        </w:tc>
        <w:tc>
          <w:tcPr>
            <w:tcW w:w="996" w:type="pct"/>
            <w:tcBorders>
              <w:tl2br w:val="nil"/>
              <w:tr2bl w:val="nil"/>
            </w:tcBorders>
            <w:noWrap w:val="0"/>
            <w:vAlign w:val="center"/>
          </w:tcPr>
          <w:p w14:paraId="48037306">
            <w:pPr>
              <w:pStyle w:val="69"/>
              <w:kinsoku w:val="0"/>
              <w:overflowPunct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52801.8</w:t>
            </w:r>
          </w:p>
        </w:tc>
        <w:tc>
          <w:tcPr>
            <w:tcW w:w="1136" w:type="pct"/>
            <w:tcBorders>
              <w:tl2br w:val="nil"/>
              <w:tr2bl w:val="nil"/>
            </w:tcBorders>
            <w:noWrap w:val="0"/>
            <w:vAlign w:val="center"/>
          </w:tcPr>
          <w:p w14:paraId="1217A241">
            <w:pPr>
              <w:pStyle w:val="69"/>
              <w:kinsoku w:val="0"/>
              <w:overflowPunct w:val="0"/>
              <w:rPr>
                <w:rFonts w:hint="default" w:ascii="Times New Roman" w:hAnsi="Times New Roman" w:cs="Times New Roman"/>
                <w:sz w:val="21"/>
                <w:szCs w:val="21"/>
              </w:rPr>
            </w:pPr>
            <w:r>
              <w:rPr>
                <w:rFonts w:hint="default" w:ascii="Times New Roman" w:hAnsi="Times New Roman" w:cs="Times New Roman"/>
                <w:spacing w:val="-1"/>
                <w:sz w:val="21"/>
                <w:szCs w:val="21"/>
                <w:lang w:eastAsia="zh-CN"/>
              </w:rPr>
              <w:t>市政</w:t>
            </w:r>
            <w:r>
              <w:rPr>
                <w:rFonts w:hint="default" w:ascii="Times New Roman" w:hAnsi="Times New Roman" w:cs="Times New Roman"/>
                <w:spacing w:val="-1"/>
                <w:sz w:val="21"/>
                <w:szCs w:val="21"/>
              </w:rPr>
              <w:t>供水管网</w:t>
            </w:r>
          </w:p>
        </w:tc>
        <w:tc>
          <w:tcPr>
            <w:tcW w:w="1000" w:type="pct"/>
            <w:tcBorders>
              <w:tl2br w:val="nil"/>
              <w:tr2bl w:val="nil"/>
            </w:tcBorders>
            <w:noWrap w:val="0"/>
            <w:vAlign w:val="center"/>
          </w:tcPr>
          <w:p w14:paraId="2B9D7C85">
            <w:pPr>
              <w:pStyle w:val="69"/>
              <w:kinsoku w:val="0"/>
              <w:overflowPunct w:val="0"/>
              <w:rPr>
                <w:rFonts w:hint="default" w:ascii="Times New Roman" w:hAnsi="Times New Roman" w:cs="Times New Roman"/>
                <w:spacing w:val="-1"/>
                <w:sz w:val="21"/>
                <w:szCs w:val="21"/>
                <w:lang w:val="en-US"/>
              </w:rPr>
            </w:pPr>
            <w:r>
              <w:rPr>
                <w:rFonts w:hint="default" w:ascii="Times New Roman" w:hAnsi="Times New Roman" w:cs="Times New Roman"/>
                <w:spacing w:val="-1"/>
                <w:sz w:val="21"/>
                <w:szCs w:val="21"/>
                <w:lang w:val="en-US"/>
              </w:rPr>
              <w:t>/</w:t>
            </w:r>
          </w:p>
        </w:tc>
      </w:tr>
      <w:tr w14:paraId="55CD79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937" w:type="pct"/>
            <w:tcBorders>
              <w:tl2br w:val="nil"/>
              <w:tr2bl w:val="nil"/>
            </w:tcBorders>
            <w:noWrap w:val="0"/>
            <w:vAlign w:val="center"/>
          </w:tcPr>
          <w:p w14:paraId="3E748598">
            <w:pPr>
              <w:pStyle w:val="69"/>
              <w:kinsoku w:val="0"/>
              <w:overflowPunct w:val="0"/>
              <w:rPr>
                <w:rFonts w:hint="default" w:ascii="Times New Roman" w:hAnsi="Times New Roman" w:cs="Times New Roman"/>
                <w:sz w:val="21"/>
                <w:szCs w:val="21"/>
              </w:rPr>
            </w:pPr>
            <w:r>
              <w:rPr>
                <w:rFonts w:hint="default" w:ascii="Times New Roman" w:hAnsi="Times New Roman" w:cs="Times New Roman"/>
                <w:sz w:val="21"/>
                <w:szCs w:val="21"/>
              </w:rPr>
              <w:t>电</w:t>
            </w:r>
          </w:p>
        </w:tc>
        <w:tc>
          <w:tcPr>
            <w:tcW w:w="929" w:type="pct"/>
            <w:tcBorders>
              <w:tl2br w:val="nil"/>
              <w:tr2bl w:val="nil"/>
            </w:tcBorders>
            <w:noWrap w:val="0"/>
            <w:vAlign w:val="center"/>
          </w:tcPr>
          <w:p w14:paraId="635EF690">
            <w:pPr>
              <w:pStyle w:val="69"/>
              <w:kinsoku w:val="0"/>
              <w:overflowPunct w:val="0"/>
              <w:rPr>
                <w:rFonts w:hint="default" w:ascii="Times New Roman" w:hAnsi="Times New Roman" w:cs="Times New Roman"/>
                <w:sz w:val="21"/>
                <w:szCs w:val="21"/>
              </w:rPr>
            </w:pPr>
            <w:r>
              <w:rPr>
                <w:rFonts w:hint="default" w:ascii="Times New Roman" w:hAnsi="Times New Roman" w:cs="Times New Roman"/>
                <w:sz w:val="21"/>
                <w:szCs w:val="21"/>
              </w:rPr>
              <w:t>kWh/a</w:t>
            </w:r>
          </w:p>
        </w:tc>
        <w:tc>
          <w:tcPr>
            <w:tcW w:w="996" w:type="pct"/>
            <w:tcBorders>
              <w:tl2br w:val="nil"/>
              <w:tr2bl w:val="nil"/>
            </w:tcBorders>
            <w:noWrap w:val="0"/>
            <w:vAlign w:val="center"/>
          </w:tcPr>
          <w:p w14:paraId="3FAFDFBD">
            <w:pPr>
              <w:pStyle w:val="69"/>
              <w:kinsoku w:val="0"/>
              <w:overflowPunct w:val="0"/>
              <w:rPr>
                <w:rFonts w:hint="default" w:ascii="Times New Roman" w:hAnsi="Times New Roman" w:cs="Times New Roman"/>
                <w:sz w:val="21"/>
                <w:szCs w:val="21"/>
              </w:rPr>
            </w:pPr>
            <w:r>
              <w:rPr>
                <w:rFonts w:hint="default" w:ascii="Times New Roman" w:hAnsi="Times New Roman" w:cs="Times New Roman"/>
                <w:sz w:val="21"/>
                <w:szCs w:val="21"/>
              </w:rPr>
              <w:t>10225</w:t>
            </w:r>
          </w:p>
        </w:tc>
        <w:tc>
          <w:tcPr>
            <w:tcW w:w="1136" w:type="pct"/>
            <w:tcBorders>
              <w:tl2br w:val="nil"/>
              <w:tr2bl w:val="nil"/>
            </w:tcBorders>
            <w:noWrap w:val="0"/>
            <w:vAlign w:val="center"/>
          </w:tcPr>
          <w:p w14:paraId="45F1004E">
            <w:pPr>
              <w:pStyle w:val="69"/>
              <w:kinsoku w:val="0"/>
              <w:overflowPunct w:val="0"/>
              <w:rPr>
                <w:rFonts w:hint="default" w:ascii="Times New Roman" w:hAnsi="Times New Roman" w:cs="Times New Roman"/>
                <w:sz w:val="21"/>
                <w:szCs w:val="21"/>
              </w:rPr>
            </w:pPr>
            <w:r>
              <w:rPr>
                <w:rFonts w:hint="default" w:ascii="Times New Roman" w:hAnsi="Times New Roman" w:cs="Times New Roman"/>
                <w:spacing w:val="-1"/>
                <w:sz w:val="21"/>
                <w:szCs w:val="21"/>
              </w:rPr>
              <w:t>当地电网公司</w:t>
            </w:r>
          </w:p>
        </w:tc>
        <w:tc>
          <w:tcPr>
            <w:tcW w:w="1000" w:type="pct"/>
            <w:tcBorders>
              <w:tl2br w:val="nil"/>
              <w:tr2bl w:val="nil"/>
            </w:tcBorders>
            <w:noWrap w:val="0"/>
            <w:vAlign w:val="center"/>
          </w:tcPr>
          <w:p w14:paraId="5CC23662">
            <w:pPr>
              <w:pStyle w:val="69"/>
              <w:kinsoku w:val="0"/>
              <w:overflowPunct w:val="0"/>
              <w:rPr>
                <w:rFonts w:hint="default" w:ascii="Times New Roman" w:hAnsi="Times New Roman" w:cs="Times New Roman"/>
                <w:spacing w:val="-1"/>
                <w:sz w:val="21"/>
                <w:szCs w:val="21"/>
              </w:rPr>
            </w:pPr>
            <w:r>
              <w:rPr>
                <w:rFonts w:hint="default" w:ascii="Times New Roman" w:hAnsi="Times New Roman" w:cs="Times New Roman"/>
                <w:spacing w:val="-1"/>
                <w:sz w:val="21"/>
                <w:szCs w:val="21"/>
                <w:lang w:val="en-US"/>
              </w:rPr>
              <w:t>/</w:t>
            </w:r>
          </w:p>
        </w:tc>
      </w:tr>
    </w:tbl>
    <w:p w14:paraId="74ACE612">
      <w:pPr>
        <w:pStyle w:val="14"/>
        <w:bidi w:val="0"/>
        <w:rPr>
          <w:rFonts w:hint="default" w:ascii="Times New Roman" w:hAnsi="Times New Roman" w:cs="Times New Roman"/>
          <w:color w:val="FF0000"/>
        </w:rPr>
      </w:pPr>
      <w:bookmarkStart w:id="46" w:name="_Toc809"/>
      <w:bookmarkStart w:id="47" w:name="_Toc28633"/>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3.3</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cs="Times New Roman"/>
          <w:color w:val="FF0000"/>
          <w:lang w:val="en-US"/>
        </w:rPr>
        <w:t>其他</w:t>
      </w:r>
      <w:r>
        <w:rPr>
          <w:rFonts w:hint="default" w:ascii="Times New Roman" w:hAnsi="Times New Roman" w:cs="Times New Roman"/>
          <w:color w:val="FF0000"/>
        </w:rPr>
        <w:t>原辅材料一览表</w:t>
      </w:r>
    </w:p>
    <w:tbl>
      <w:tblPr>
        <w:tblStyle w:val="33"/>
        <w:tblW w:w="50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38"/>
        <w:gridCol w:w="853"/>
        <w:gridCol w:w="819"/>
        <w:gridCol w:w="1915"/>
        <w:gridCol w:w="1074"/>
        <w:gridCol w:w="2021"/>
        <w:gridCol w:w="3"/>
      </w:tblGrid>
      <w:tr w14:paraId="28F0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266" w:hRule="atLeast"/>
          <w:jc w:val="center"/>
        </w:trPr>
        <w:tc>
          <w:tcPr>
            <w:tcW w:w="1031" w:type="pct"/>
            <w:noWrap w:val="0"/>
            <w:vAlign w:val="center"/>
          </w:tcPr>
          <w:p w14:paraId="1612F8FC">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原辅材料名称</w:t>
            </w:r>
          </w:p>
        </w:tc>
        <w:tc>
          <w:tcPr>
            <w:tcW w:w="506" w:type="pct"/>
            <w:noWrap w:val="0"/>
            <w:vAlign w:val="center"/>
          </w:tcPr>
          <w:p w14:paraId="4461F4F8">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用量t/a</w:t>
            </w:r>
          </w:p>
        </w:tc>
        <w:tc>
          <w:tcPr>
            <w:tcW w:w="486" w:type="pct"/>
            <w:noWrap w:val="0"/>
            <w:vAlign w:val="center"/>
          </w:tcPr>
          <w:p w14:paraId="22C78DE7">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性质</w:t>
            </w:r>
          </w:p>
        </w:tc>
        <w:tc>
          <w:tcPr>
            <w:tcW w:w="1136" w:type="pct"/>
            <w:noWrap w:val="0"/>
            <w:vAlign w:val="center"/>
          </w:tcPr>
          <w:p w14:paraId="0A69F2E4">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成分</w:t>
            </w:r>
          </w:p>
        </w:tc>
        <w:tc>
          <w:tcPr>
            <w:tcW w:w="637" w:type="pct"/>
            <w:noWrap w:val="0"/>
            <w:vAlign w:val="center"/>
          </w:tcPr>
          <w:p w14:paraId="095EBAC5">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包装</w:t>
            </w:r>
          </w:p>
        </w:tc>
        <w:tc>
          <w:tcPr>
            <w:tcW w:w="1199" w:type="pct"/>
            <w:noWrap w:val="0"/>
            <w:vAlign w:val="center"/>
          </w:tcPr>
          <w:p w14:paraId="4C9183FE">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规格</w:t>
            </w:r>
          </w:p>
        </w:tc>
      </w:tr>
      <w:tr w14:paraId="6485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031" w:type="pct"/>
            <w:noWrap w:val="0"/>
            <w:vAlign w:val="center"/>
          </w:tcPr>
          <w:p w14:paraId="1684BAD1">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小苏打</w:t>
            </w:r>
          </w:p>
        </w:tc>
        <w:tc>
          <w:tcPr>
            <w:tcW w:w="506" w:type="pct"/>
            <w:noWrap w:val="0"/>
            <w:vAlign w:val="center"/>
          </w:tcPr>
          <w:p w14:paraId="51399E34">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62</w:t>
            </w:r>
          </w:p>
        </w:tc>
        <w:tc>
          <w:tcPr>
            <w:tcW w:w="486" w:type="pct"/>
            <w:noWrap w:val="0"/>
            <w:vAlign w:val="center"/>
          </w:tcPr>
          <w:p w14:paraId="0ED64ABA">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碱性</w:t>
            </w:r>
          </w:p>
        </w:tc>
        <w:tc>
          <w:tcPr>
            <w:tcW w:w="1136" w:type="pct"/>
            <w:noWrap w:val="0"/>
            <w:vAlign w:val="center"/>
          </w:tcPr>
          <w:p w14:paraId="29C12F8E">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无机盐NaHCO₃</w:t>
            </w:r>
          </w:p>
        </w:tc>
        <w:tc>
          <w:tcPr>
            <w:tcW w:w="637" w:type="pct"/>
            <w:noWrap w:val="0"/>
            <w:vAlign w:val="center"/>
          </w:tcPr>
          <w:p w14:paraId="720B0B14">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编织袋</w:t>
            </w:r>
          </w:p>
        </w:tc>
        <w:tc>
          <w:tcPr>
            <w:tcW w:w="1201" w:type="pct"/>
            <w:gridSpan w:val="2"/>
            <w:noWrap w:val="0"/>
            <w:vAlign w:val="center"/>
          </w:tcPr>
          <w:p w14:paraId="26E6B773">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50公斤/袋</w:t>
            </w:r>
          </w:p>
        </w:tc>
      </w:tr>
      <w:tr w14:paraId="22BB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031" w:type="pct"/>
            <w:noWrap w:val="0"/>
            <w:vAlign w:val="center"/>
          </w:tcPr>
          <w:p w14:paraId="568AFB4B">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盐</w:t>
            </w:r>
          </w:p>
        </w:tc>
        <w:tc>
          <w:tcPr>
            <w:tcW w:w="506" w:type="pct"/>
            <w:noWrap w:val="0"/>
            <w:vAlign w:val="center"/>
          </w:tcPr>
          <w:p w14:paraId="595C1E83">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26.25</w:t>
            </w:r>
          </w:p>
        </w:tc>
        <w:tc>
          <w:tcPr>
            <w:tcW w:w="486" w:type="pct"/>
            <w:noWrap w:val="0"/>
            <w:vAlign w:val="center"/>
          </w:tcPr>
          <w:p w14:paraId="070C5687">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中性</w:t>
            </w:r>
          </w:p>
        </w:tc>
        <w:tc>
          <w:tcPr>
            <w:tcW w:w="1136" w:type="pct"/>
            <w:noWrap w:val="0"/>
            <w:vAlign w:val="center"/>
          </w:tcPr>
          <w:p w14:paraId="23B087AA">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食盐NaCl</w:t>
            </w:r>
          </w:p>
        </w:tc>
        <w:tc>
          <w:tcPr>
            <w:tcW w:w="637" w:type="pct"/>
            <w:noWrap w:val="0"/>
            <w:vAlign w:val="center"/>
          </w:tcPr>
          <w:p w14:paraId="6DDB0423">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塑料袋</w:t>
            </w:r>
          </w:p>
        </w:tc>
        <w:tc>
          <w:tcPr>
            <w:tcW w:w="1201" w:type="pct"/>
            <w:gridSpan w:val="2"/>
            <w:noWrap w:val="0"/>
            <w:vAlign w:val="center"/>
          </w:tcPr>
          <w:p w14:paraId="45AD3863">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50公斤/袋</w:t>
            </w:r>
          </w:p>
        </w:tc>
      </w:tr>
      <w:tr w14:paraId="2728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031" w:type="pct"/>
            <w:noWrap w:val="0"/>
            <w:vAlign w:val="center"/>
          </w:tcPr>
          <w:p w14:paraId="5511A394">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头孢噻呋钠</w:t>
            </w:r>
          </w:p>
        </w:tc>
        <w:tc>
          <w:tcPr>
            <w:tcW w:w="506" w:type="pct"/>
            <w:noWrap w:val="0"/>
            <w:vAlign w:val="center"/>
          </w:tcPr>
          <w:p w14:paraId="7701AB49">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0.015</w:t>
            </w:r>
          </w:p>
        </w:tc>
        <w:tc>
          <w:tcPr>
            <w:tcW w:w="486" w:type="pct"/>
            <w:noWrap w:val="0"/>
            <w:vAlign w:val="center"/>
          </w:tcPr>
          <w:p w14:paraId="521D39E1">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碱性</w:t>
            </w:r>
          </w:p>
        </w:tc>
        <w:tc>
          <w:tcPr>
            <w:tcW w:w="1136" w:type="pct"/>
            <w:noWrap w:val="0"/>
            <w:vAlign w:val="center"/>
          </w:tcPr>
          <w:p w14:paraId="6B782D29">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C</w:t>
            </w:r>
            <w:r>
              <w:rPr>
                <w:rFonts w:hint="default" w:ascii="Times New Roman" w:hAnsi="Times New Roman" w:cs="Times New Roman"/>
                <w:color w:val="FF0000"/>
                <w:sz w:val="21"/>
                <w:szCs w:val="21"/>
                <w:highlight w:val="none"/>
                <w:vertAlign w:val="subscript"/>
              </w:rPr>
              <w:t>19</w:t>
            </w:r>
            <w:r>
              <w:rPr>
                <w:rFonts w:hint="default" w:ascii="Times New Roman" w:hAnsi="Times New Roman" w:cs="Times New Roman"/>
                <w:color w:val="FF0000"/>
                <w:sz w:val="21"/>
                <w:szCs w:val="21"/>
                <w:highlight w:val="none"/>
              </w:rPr>
              <w:t>H</w:t>
            </w:r>
            <w:r>
              <w:rPr>
                <w:rFonts w:hint="default" w:ascii="Times New Roman" w:hAnsi="Times New Roman" w:cs="Times New Roman"/>
                <w:color w:val="FF0000"/>
                <w:sz w:val="21"/>
                <w:szCs w:val="21"/>
                <w:highlight w:val="none"/>
                <w:vertAlign w:val="subscript"/>
              </w:rPr>
              <w:t>16</w:t>
            </w:r>
            <w:r>
              <w:rPr>
                <w:rFonts w:hint="default" w:ascii="Times New Roman" w:hAnsi="Times New Roman" w:cs="Times New Roman"/>
                <w:color w:val="FF0000"/>
                <w:sz w:val="21"/>
                <w:szCs w:val="21"/>
                <w:highlight w:val="none"/>
              </w:rPr>
              <w:t>N</w:t>
            </w:r>
            <w:r>
              <w:rPr>
                <w:rFonts w:hint="default" w:ascii="Times New Roman" w:hAnsi="Times New Roman" w:cs="Times New Roman"/>
                <w:color w:val="FF0000"/>
                <w:sz w:val="21"/>
                <w:szCs w:val="21"/>
                <w:highlight w:val="none"/>
                <w:vertAlign w:val="subscript"/>
              </w:rPr>
              <w:t>5</w:t>
            </w:r>
            <w:r>
              <w:rPr>
                <w:rFonts w:hint="default" w:ascii="Times New Roman" w:hAnsi="Times New Roman" w:cs="Times New Roman"/>
                <w:color w:val="FF0000"/>
                <w:sz w:val="21"/>
                <w:szCs w:val="21"/>
                <w:highlight w:val="none"/>
              </w:rPr>
              <w:t>NaO</w:t>
            </w:r>
            <w:r>
              <w:rPr>
                <w:rFonts w:hint="default" w:ascii="Times New Roman" w:hAnsi="Times New Roman" w:cs="Times New Roman"/>
                <w:color w:val="FF0000"/>
                <w:sz w:val="21"/>
                <w:szCs w:val="21"/>
                <w:highlight w:val="none"/>
                <w:vertAlign w:val="subscript"/>
              </w:rPr>
              <w:t>7</w:t>
            </w:r>
            <w:r>
              <w:rPr>
                <w:rFonts w:hint="default" w:ascii="Times New Roman" w:hAnsi="Times New Roman" w:cs="Times New Roman"/>
                <w:color w:val="FF0000"/>
                <w:sz w:val="21"/>
                <w:szCs w:val="21"/>
                <w:highlight w:val="none"/>
              </w:rPr>
              <w:t>S</w:t>
            </w:r>
            <w:r>
              <w:rPr>
                <w:rFonts w:hint="default" w:ascii="Times New Roman" w:hAnsi="Times New Roman" w:cs="Times New Roman"/>
                <w:color w:val="FF0000"/>
                <w:sz w:val="21"/>
                <w:szCs w:val="21"/>
                <w:highlight w:val="none"/>
                <w:vertAlign w:val="subscript"/>
              </w:rPr>
              <w:t>3</w:t>
            </w:r>
          </w:p>
        </w:tc>
        <w:tc>
          <w:tcPr>
            <w:tcW w:w="637" w:type="pct"/>
            <w:noWrap w:val="0"/>
            <w:vAlign w:val="center"/>
          </w:tcPr>
          <w:p w14:paraId="56C81790">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铝桶</w:t>
            </w:r>
          </w:p>
        </w:tc>
        <w:tc>
          <w:tcPr>
            <w:tcW w:w="1201" w:type="pct"/>
            <w:gridSpan w:val="2"/>
            <w:noWrap w:val="0"/>
            <w:vAlign w:val="center"/>
          </w:tcPr>
          <w:p w14:paraId="2728EA8B">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5公斤/桶</w:t>
            </w:r>
          </w:p>
        </w:tc>
      </w:tr>
      <w:tr w14:paraId="6607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031" w:type="pct"/>
            <w:noWrap w:val="0"/>
            <w:vAlign w:val="center"/>
          </w:tcPr>
          <w:p w14:paraId="60F0F23F">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维生素ADE注射液</w:t>
            </w:r>
          </w:p>
        </w:tc>
        <w:tc>
          <w:tcPr>
            <w:tcW w:w="506" w:type="pct"/>
            <w:noWrap w:val="0"/>
            <w:vAlign w:val="center"/>
          </w:tcPr>
          <w:p w14:paraId="0C58B9B2">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0.1</w:t>
            </w:r>
          </w:p>
        </w:tc>
        <w:tc>
          <w:tcPr>
            <w:tcW w:w="486" w:type="pct"/>
            <w:noWrap w:val="0"/>
            <w:vAlign w:val="center"/>
          </w:tcPr>
          <w:p w14:paraId="52230D7A">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7AC6F3E4">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维生素A、维生素D、维生素E</w:t>
            </w:r>
          </w:p>
        </w:tc>
        <w:tc>
          <w:tcPr>
            <w:tcW w:w="637" w:type="pct"/>
            <w:noWrap w:val="0"/>
            <w:vAlign w:val="center"/>
          </w:tcPr>
          <w:p w14:paraId="56747CF2">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安瓶</w:t>
            </w:r>
          </w:p>
        </w:tc>
        <w:tc>
          <w:tcPr>
            <w:tcW w:w="1201" w:type="pct"/>
            <w:gridSpan w:val="2"/>
            <w:noWrap w:val="0"/>
            <w:vAlign w:val="center"/>
          </w:tcPr>
          <w:p w14:paraId="1CEA57F7">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5ml/支×10支/盒</w:t>
            </w:r>
          </w:p>
        </w:tc>
      </w:tr>
      <w:tr w14:paraId="4923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35CBC88F">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双黄连</w:t>
            </w:r>
          </w:p>
        </w:tc>
        <w:tc>
          <w:tcPr>
            <w:tcW w:w="506" w:type="pct"/>
            <w:noWrap w:val="0"/>
            <w:vAlign w:val="center"/>
          </w:tcPr>
          <w:p w14:paraId="50B1C39F">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0.025</w:t>
            </w:r>
          </w:p>
        </w:tc>
        <w:tc>
          <w:tcPr>
            <w:tcW w:w="486" w:type="pct"/>
            <w:noWrap w:val="0"/>
            <w:vAlign w:val="center"/>
          </w:tcPr>
          <w:p w14:paraId="674F4DEC">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46709E9D">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黄连、黄柏、栀子</w:t>
            </w:r>
          </w:p>
        </w:tc>
        <w:tc>
          <w:tcPr>
            <w:tcW w:w="637" w:type="pct"/>
            <w:noWrap w:val="0"/>
            <w:vAlign w:val="center"/>
          </w:tcPr>
          <w:p w14:paraId="78B3417A">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铝塑袋</w:t>
            </w:r>
          </w:p>
        </w:tc>
        <w:tc>
          <w:tcPr>
            <w:tcW w:w="1201" w:type="pct"/>
            <w:gridSpan w:val="2"/>
            <w:noWrap w:val="0"/>
            <w:vAlign w:val="center"/>
          </w:tcPr>
          <w:p w14:paraId="487652F2">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1公斤/袋</w:t>
            </w:r>
          </w:p>
        </w:tc>
      </w:tr>
      <w:tr w14:paraId="2DC8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0C058C1C">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400W青霉素</w:t>
            </w:r>
          </w:p>
        </w:tc>
        <w:tc>
          <w:tcPr>
            <w:tcW w:w="506" w:type="pct"/>
            <w:noWrap w:val="0"/>
            <w:vAlign w:val="center"/>
          </w:tcPr>
          <w:p w14:paraId="39274A2E">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0.018</w:t>
            </w:r>
          </w:p>
        </w:tc>
        <w:tc>
          <w:tcPr>
            <w:tcW w:w="486" w:type="pct"/>
            <w:noWrap w:val="0"/>
            <w:vAlign w:val="center"/>
          </w:tcPr>
          <w:p w14:paraId="195AF04A">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78A00EBE">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4A2FD4A3">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玻璃瓶</w:t>
            </w:r>
          </w:p>
        </w:tc>
        <w:tc>
          <w:tcPr>
            <w:tcW w:w="1201" w:type="pct"/>
            <w:gridSpan w:val="2"/>
            <w:noWrap w:val="0"/>
            <w:vAlign w:val="center"/>
          </w:tcPr>
          <w:p w14:paraId="3688BC91">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2.5g×20瓶/盒</w:t>
            </w:r>
          </w:p>
        </w:tc>
      </w:tr>
      <w:tr w14:paraId="4393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2926D11D">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维生素B1注射液</w:t>
            </w:r>
          </w:p>
        </w:tc>
        <w:tc>
          <w:tcPr>
            <w:tcW w:w="506" w:type="pct"/>
            <w:noWrap w:val="0"/>
            <w:vAlign w:val="center"/>
          </w:tcPr>
          <w:p w14:paraId="5DDA1586">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0.025</w:t>
            </w:r>
          </w:p>
        </w:tc>
        <w:tc>
          <w:tcPr>
            <w:tcW w:w="486" w:type="pct"/>
            <w:noWrap w:val="0"/>
            <w:vAlign w:val="center"/>
          </w:tcPr>
          <w:p w14:paraId="63054D1C">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1854A7AF">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563B73A7">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安瓶</w:t>
            </w:r>
          </w:p>
        </w:tc>
        <w:tc>
          <w:tcPr>
            <w:tcW w:w="1201" w:type="pct"/>
            <w:gridSpan w:val="2"/>
            <w:noWrap w:val="0"/>
            <w:vAlign w:val="center"/>
          </w:tcPr>
          <w:p w14:paraId="5BF63027">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10ml×10支/盒</w:t>
            </w:r>
          </w:p>
        </w:tc>
      </w:tr>
      <w:tr w14:paraId="2176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7E7AEC23">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硼葡萄糖酸钙</w:t>
            </w:r>
          </w:p>
        </w:tc>
        <w:tc>
          <w:tcPr>
            <w:tcW w:w="506" w:type="pct"/>
            <w:noWrap w:val="0"/>
            <w:vAlign w:val="center"/>
          </w:tcPr>
          <w:p w14:paraId="6F43954C">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0.15</w:t>
            </w:r>
          </w:p>
        </w:tc>
        <w:tc>
          <w:tcPr>
            <w:tcW w:w="486" w:type="pct"/>
            <w:noWrap w:val="0"/>
            <w:vAlign w:val="center"/>
          </w:tcPr>
          <w:p w14:paraId="7A170FE6">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6A633DD7">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662ACEF7">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塑料瓶</w:t>
            </w:r>
          </w:p>
        </w:tc>
        <w:tc>
          <w:tcPr>
            <w:tcW w:w="1201" w:type="pct"/>
            <w:gridSpan w:val="2"/>
            <w:noWrap w:val="0"/>
            <w:vAlign w:val="center"/>
          </w:tcPr>
          <w:p w14:paraId="2658AD11">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1000ml/瓶×15瓶/箱</w:t>
            </w:r>
          </w:p>
        </w:tc>
      </w:tr>
      <w:tr w14:paraId="1C3B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3B04B793">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盐酸四环素</w:t>
            </w:r>
          </w:p>
        </w:tc>
        <w:tc>
          <w:tcPr>
            <w:tcW w:w="506" w:type="pct"/>
            <w:noWrap w:val="0"/>
            <w:vAlign w:val="center"/>
          </w:tcPr>
          <w:p w14:paraId="0F9E0785">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0.003</w:t>
            </w:r>
          </w:p>
        </w:tc>
        <w:tc>
          <w:tcPr>
            <w:tcW w:w="486" w:type="pct"/>
            <w:noWrap w:val="0"/>
            <w:vAlign w:val="center"/>
          </w:tcPr>
          <w:p w14:paraId="509BA2D1">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40372130">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658AC423">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铝塑袋</w:t>
            </w:r>
          </w:p>
        </w:tc>
        <w:tc>
          <w:tcPr>
            <w:tcW w:w="1201" w:type="pct"/>
            <w:gridSpan w:val="2"/>
            <w:noWrap w:val="0"/>
            <w:vAlign w:val="center"/>
          </w:tcPr>
          <w:p w14:paraId="1FD884C9">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1公斤/袋</w:t>
            </w:r>
          </w:p>
        </w:tc>
      </w:tr>
      <w:tr w14:paraId="6455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253DBCAF">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聚维酮碘消毒液</w:t>
            </w:r>
          </w:p>
        </w:tc>
        <w:tc>
          <w:tcPr>
            <w:tcW w:w="506" w:type="pct"/>
            <w:noWrap w:val="0"/>
            <w:vAlign w:val="center"/>
          </w:tcPr>
          <w:p w14:paraId="70EC2AB6">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1.5</w:t>
            </w:r>
          </w:p>
        </w:tc>
        <w:tc>
          <w:tcPr>
            <w:tcW w:w="486" w:type="pct"/>
            <w:noWrap w:val="0"/>
            <w:vAlign w:val="center"/>
          </w:tcPr>
          <w:p w14:paraId="2E3EC1B6">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55E0104B">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60104265">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塑料瓶</w:t>
            </w:r>
          </w:p>
        </w:tc>
        <w:tc>
          <w:tcPr>
            <w:tcW w:w="1201" w:type="pct"/>
            <w:gridSpan w:val="2"/>
            <w:noWrap w:val="0"/>
            <w:vAlign w:val="center"/>
          </w:tcPr>
          <w:p w14:paraId="7A9E7CD3">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100ml/瓶</w:t>
            </w:r>
          </w:p>
        </w:tc>
      </w:tr>
      <w:tr w14:paraId="19CD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07CF4489">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复合酚消毒液</w:t>
            </w:r>
          </w:p>
        </w:tc>
        <w:tc>
          <w:tcPr>
            <w:tcW w:w="506" w:type="pct"/>
            <w:noWrap w:val="0"/>
            <w:vAlign w:val="center"/>
          </w:tcPr>
          <w:p w14:paraId="2F7BE556">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1.5</w:t>
            </w:r>
          </w:p>
        </w:tc>
        <w:tc>
          <w:tcPr>
            <w:tcW w:w="486" w:type="pct"/>
            <w:noWrap w:val="0"/>
            <w:vAlign w:val="center"/>
          </w:tcPr>
          <w:p w14:paraId="7AFD9091">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3BAABF10">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3445DC62">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塑料瓶</w:t>
            </w:r>
          </w:p>
        </w:tc>
        <w:tc>
          <w:tcPr>
            <w:tcW w:w="1201" w:type="pct"/>
            <w:gridSpan w:val="2"/>
            <w:noWrap w:val="0"/>
            <w:vAlign w:val="center"/>
          </w:tcPr>
          <w:p w14:paraId="3839DB1F">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100ml/瓶</w:t>
            </w:r>
          </w:p>
        </w:tc>
      </w:tr>
      <w:tr w14:paraId="323A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761D0203">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石灰</w:t>
            </w:r>
          </w:p>
        </w:tc>
        <w:tc>
          <w:tcPr>
            <w:tcW w:w="506" w:type="pct"/>
            <w:noWrap w:val="0"/>
            <w:vAlign w:val="center"/>
          </w:tcPr>
          <w:p w14:paraId="66550D74">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0.625</w:t>
            </w:r>
          </w:p>
        </w:tc>
        <w:tc>
          <w:tcPr>
            <w:tcW w:w="486" w:type="pct"/>
            <w:noWrap w:val="0"/>
            <w:vAlign w:val="center"/>
          </w:tcPr>
          <w:p w14:paraId="7EB22A5A">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37C782A2">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06BBD0D6">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编织袋</w:t>
            </w:r>
          </w:p>
        </w:tc>
        <w:tc>
          <w:tcPr>
            <w:tcW w:w="1201" w:type="pct"/>
            <w:gridSpan w:val="2"/>
            <w:noWrap w:val="0"/>
            <w:vAlign w:val="center"/>
          </w:tcPr>
          <w:p w14:paraId="1E98E3DB">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25公斤/袋</w:t>
            </w:r>
          </w:p>
        </w:tc>
      </w:tr>
      <w:tr w14:paraId="7576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46803DD5">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片剂碱</w:t>
            </w:r>
          </w:p>
        </w:tc>
        <w:tc>
          <w:tcPr>
            <w:tcW w:w="506" w:type="pct"/>
            <w:noWrap w:val="0"/>
            <w:vAlign w:val="center"/>
          </w:tcPr>
          <w:p w14:paraId="16A0A361">
            <w:pPr>
              <w:keepNext w:val="0"/>
              <w:keepLines w:val="0"/>
              <w:widowControl/>
              <w:suppressLineNumbers w:val="0"/>
              <w:jc w:val="center"/>
              <w:textAlignment w:val="center"/>
              <w:rPr>
                <w:rFonts w:hint="default" w:ascii="Times New Roman" w:hAnsi="Times New Roman" w:cs="Times New Roman"/>
                <w:color w:val="FF0000"/>
                <w:sz w:val="21"/>
                <w:szCs w:val="21"/>
                <w:highlight w:val="none"/>
              </w:rPr>
            </w:pPr>
            <w:r>
              <w:rPr>
                <w:rFonts w:hint="default" w:ascii="Times New Roman" w:hAnsi="Times New Roman" w:eastAsia="宋体" w:cs="Times New Roman"/>
                <w:i w:val="0"/>
                <w:iCs w:val="0"/>
                <w:color w:val="FF0000"/>
                <w:kern w:val="0"/>
                <w:sz w:val="21"/>
                <w:szCs w:val="21"/>
                <w:highlight w:val="none"/>
                <w:u w:val="none"/>
                <w:lang w:val="en-US" w:eastAsia="zh-CN" w:bidi="ar"/>
              </w:rPr>
              <w:t>0.625</w:t>
            </w:r>
          </w:p>
        </w:tc>
        <w:tc>
          <w:tcPr>
            <w:tcW w:w="486" w:type="pct"/>
            <w:noWrap w:val="0"/>
            <w:vAlign w:val="center"/>
          </w:tcPr>
          <w:p w14:paraId="5F544525">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7D6DDE82">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5432B5FD">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编织袋</w:t>
            </w:r>
          </w:p>
        </w:tc>
        <w:tc>
          <w:tcPr>
            <w:tcW w:w="1201" w:type="pct"/>
            <w:gridSpan w:val="2"/>
            <w:noWrap w:val="0"/>
            <w:vAlign w:val="center"/>
          </w:tcPr>
          <w:p w14:paraId="73227352">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25公斤/袋</w:t>
            </w:r>
          </w:p>
        </w:tc>
      </w:tr>
      <w:tr w14:paraId="4EAF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201FFA42">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除臭剂</w:t>
            </w:r>
          </w:p>
        </w:tc>
        <w:tc>
          <w:tcPr>
            <w:tcW w:w="506" w:type="pct"/>
            <w:noWrap w:val="0"/>
            <w:vAlign w:val="center"/>
          </w:tcPr>
          <w:p w14:paraId="1E70FA29">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0.75</w:t>
            </w:r>
          </w:p>
        </w:tc>
        <w:tc>
          <w:tcPr>
            <w:tcW w:w="486" w:type="pct"/>
            <w:noWrap w:val="0"/>
            <w:vAlign w:val="center"/>
          </w:tcPr>
          <w:p w14:paraId="2DDA1376">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2BE936EE">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644BE9C1">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塑料桶</w:t>
            </w:r>
          </w:p>
        </w:tc>
        <w:tc>
          <w:tcPr>
            <w:tcW w:w="1201" w:type="pct"/>
            <w:gridSpan w:val="2"/>
            <w:noWrap w:val="0"/>
            <w:vAlign w:val="center"/>
          </w:tcPr>
          <w:p w14:paraId="1663A905">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25公斤/桶</w:t>
            </w:r>
          </w:p>
        </w:tc>
      </w:tr>
      <w:tr w14:paraId="134B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33FB8720">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稀戊二醛</w:t>
            </w:r>
          </w:p>
        </w:tc>
        <w:tc>
          <w:tcPr>
            <w:tcW w:w="506" w:type="pct"/>
            <w:noWrap w:val="0"/>
            <w:vAlign w:val="center"/>
          </w:tcPr>
          <w:p w14:paraId="77FE8BBF">
            <w:pPr>
              <w:keepNext w:val="0"/>
              <w:keepLines w:val="0"/>
              <w:widowControl/>
              <w:suppressLineNumbers w:val="0"/>
              <w:jc w:val="center"/>
              <w:textAlignment w:val="center"/>
              <w:rPr>
                <w:rFonts w:hint="default" w:ascii="Times New Roman" w:hAnsi="Times New Roman" w:cs="Times New Roman"/>
                <w:color w:val="FF0000"/>
                <w:sz w:val="21"/>
                <w:szCs w:val="21"/>
                <w:highlight w:val="none"/>
                <w:lang w:val="en-US"/>
              </w:rPr>
            </w:pPr>
            <w:r>
              <w:rPr>
                <w:rFonts w:hint="default" w:ascii="Times New Roman" w:hAnsi="Times New Roman" w:eastAsia="宋体" w:cs="Times New Roman"/>
                <w:i w:val="0"/>
                <w:iCs w:val="0"/>
                <w:color w:val="FF0000"/>
                <w:kern w:val="0"/>
                <w:sz w:val="21"/>
                <w:szCs w:val="21"/>
                <w:highlight w:val="none"/>
                <w:u w:val="none"/>
                <w:lang w:val="en-US" w:eastAsia="zh-CN" w:bidi="ar"/>
              </w:rPr>
              <w:t>1.5</w:t>
            </w:r>
          </w:p>
        </w:tc>
        <w:tc>
          <w:tcPr>
            <w:tcW w:w="486" w:type="pct"/>
            <w:noWrap w:val="0"/>
            <w:vAlign w:val="center"/>
          </w:tcPr>
          <w:p w14:paraId="0D99EA66">
            <w:pPr>
              <w:pStyle w:val="69"/>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36" w:type="pct"/>
            <w:noWrap w:val="0"/>
            <w:vAlign w:val="center"/>
          </w:tcPr>
          <w:p w14:paraId="697AD823">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37" w:type="pct"/>
            <w:noWrap w:val="0"/>
            <w:vAlign w:val="center"/>
          </w:tcPr>
          <w:p w14:paraId="5243382B">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塑料桶</w:t>
            </w:r>
          </w:p>
        </w:tc>
        <w:tc>
          <w:tcPr>
            <w:tcW w:w="1201" w:type="pct"/>
            <w:gridSpan w:val="2"/>
            <w:noWrap w:val="0"/>
            <w:vAlign w:val="center"/>
          </w:tcPr>
          <w:p w14:paraId="27DEE947">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2公斤/桶</w:t>
            </w:r>
          </w:p>
        </w:tc>
      </w:tr>
      <w:tr w14:paraId="06FE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031" w:type="pct"/>
            <w:noWrap w:val="0"/>
            <w:vAlign w:val="center"/>
          </w:tcPr>
          <w:p w14:paraId="4F3AF083">
            <w:pPr>
              <w:pStyle w:val="69"/>
              <w:spacing w:before="37" w:line="242" w:lineRule="auto"/>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消毒液</w:t>
            </w:r>
          </w:p>
        </w:tc>
        <w:tc>
          <w:tcPr>
            <w:tcW w:w="506" w:type="pct"/>
            <w:noWrap w:val="0"/>
            <w:vAlign w:val="center"/>
          </w:tcPr>
          <w:p w14:paraId="58825A91">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FF0000"/>
                <w:kern w:val="0"/>
                <w:sz w:val="21"/>
                <w:szCs w:val="21"/>
                <w:highlight w:val="none"/>
                <w:u w:val="none"/>
                <w:lang w:val="en-US" w:eastAsia="zh-CN" w:bidi="ar"/>
              </w:rPr>
              <w:t>1</w:t>
            </w:r>
          </w:p>
        </w:tc>
        <w:tc>
          <w:tcPr>
            <w:tcW w:w="486" w:type="pct"/>
            <w:noWrap w:val="0"/>
            <w:vAlign w:val="center"/>
          </w:tcPr>
          <w:p w14:paraId="3E28112A">
            <w:pPr>
              <w:pStyle w:val="69"/>
              <w:spacing w:before="37" w:line="242" w:lineRule="auto"/>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w:t>
            </w:r>
          </w:p>
        </w:tc>
        <w:tc>
          <w:tcPr>
            <w:tcW w:w="1136" w:type="pct"/>
            <w:noWrap w:val="0"/>
            <w:vAlign w:val="center"/>
          </w:tcPr>
          <w:p w14:paraId="2589BAE5">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过氧乙酸</w:t>
            </w:r>
          </w:p>
        </w:tc>
        <w:tc>
          <w:tcPr>
            <w:tcW w:w="1074" w:type="dxa"/>
            <w:noWrap w:val="0"/>
            <w:vAlign w:val="center"/>
          </w:tcPr>
          <w:p w14:paraId="61FF9BA6">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塑料桶</w:t>
            </w:r>
          </w:p>
        </w:tc>
        <w:tc>
          <w:tcPr>
            <w:tcW w:w="2024" w:type="dxa"/>
            <w:gridSpan w:val="2"/>
            <w:noWrap w:val="0"/>
            <w:vAlign w:val="center"/>
          </w:tcPr>
          <w:p w14:paraId="7E1A917A">
            <w:pPr>
              <w:spacing w:before="37" w:line="242"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2公斤/桶</w:t>
            </w:r>
          </w:p>
        </w:tc>
      </w:tr>
    </w:tbl>
    <w:p w14:paraId="20318A5F">
      <w:pPr>
        <w:pStyle w:val="16"/>
        <w:bidi w:val="0"/>
        <w:rPr>
          <w:rFonts w:hint="default" w:ascii="Times New Roman" w:hAnsi="Times New Roman" w:eastAsia="宋体" w:cs="Times New Roman"/>
          <w:color w:val="FF0000"/>
        </w:rPr>
      </w:pPr>
      <w:r>
        <w:rPr>
          <w:rFonts w:hint="default" w:ascii="Times New Roman" w:hAnsi="Times New Roman" w:eastAsia="宋体" w:cs="Times New Roman"/>
          <w:color w:val="FF0000"/>
        </w:rPr>
        <w:t>①本项目</w:t>
      </w:r>
      <w:r>
        <w:rPr>
          <w:rFonts w:hint="default" w:ascii="Times New Roman" w:hAnsi="Times New Roman" w:eastAsia="宋体" w:cs="Times New Roman"/>
          <w:color w:val="FF0000"/>
          <w:lang w:val="en-US" w:eastAsia="zh-CN"/>
        </w:rPr>
        <w:t>在项目区建设</w:t>
      </w:r>
      <w:r>
        <w:rPr>
          <w:rFonts w:hint="default" w:ascii="Times New Roman" w:hAnsi="Times New Roman" w:eastAsia="宋体" w:cs="Times New Roman"/>
          <w:color w:val="FF0000"/>
        </w:rPr>
        <w:t>干草棚、青贮池进行饲料储存，本项目干草饲料均从当地采购成品，形态为方草包，运至干草棚堆放。青贮料在秋季从当地田地将新鲜玉米秸秆收割破碎好拉运至场区青贮池，和其他青饲料置于青贮池内。其办公用房进行消毒剂、生物除臭剂、疫苗和常用药品等的储存。</w:t>
      </w:r>
    </w:p>
    <w:p w14:paraId="508C1EBF">
      <w:pPr>
        <w:pStyle w:val="16"/>
        <w:bidi w:val="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rPr>
        <w:t>②</w:t>
      </w:r>
      <w:r>
        <w:rPr>
          <w:rFonts w:hint="default" w:ascii="Times New Roman" w:hAnsi="Times New Roman" w:eastAsia="宋体" w:cs="Times New Roman"/>
          <w:color w:val="FF0000"/>
          <w:lang w:val="en-US" w:eastAsia="zh-CN"/>
        </w:rPr>
        <w:t>玉米、</w:t>
      </w:r>
      <w:r>
        <w:rPr>
          <w:rFonts w:hint="default" w:ascii="Times New Roman" w:hAnsi="Times New Roman" w:cs="Times New Roman"/>
          <w:color w:val="FF0000"/>
          <w:lang w:val="en-US" w:eastAsia="zh-CN"/>
        </w:rPr>
        <w:t>豆粕</w:t>
      </w:r>
      <w:r>
        <w:rPr>
          <w:rFonts w:hint="default" w:ascii="Times New Roman" w:hAnsi="Times New Roman" w:eastAsia="宋体" w:cs="Times New Roman"/>
          <w:color w:val="FF0000"/>
        </w:rPr>
        <w:t>为外购，</w:t>
      </w:r>
      <w:r>
        <w:rPr>
          <w:rFonts w:hint="default" w:ascii="Times New Roman" w:hAnsi="Times New Roman" w:eastAsia="宋体" w:cs="Times New Roman"/>
          <w:color w:val="FF0000"/>
          <w:lang w:val="en-US" w:eastAsia="zh-CN"/>
        </w:rPr>
        <w:t>在两个料仓（每个容积500t）进行储存，</w:t>
      </w:r>
      <w:r>
        <w:rPr>
          <w:rFonts w:hint="default" w:ascii="Times New Roman" w:hAnsi="Times New Roman" w:eastAsia="宋体" w:cs="Times New Roman"/>
          <w:color w:val="FF0000"/>
        </w:rPr>
        <w:t>场区内进行精饲料的加工。喂养采用TMR加料法喂养，将干草、精料和青贮料在TMR饲喂机内充分混合得到“全价日粮”，运到</w:t>
      </w:r>
      <w:r>
        <w:rPr>
          <w:rFonts w:hint="default" w:ascii="Times New Roman" w:hAnsi="Times New Roman" w:eastAsia="宋体" w:cs="Times New Roman"/>
          <w:color w:val="FF0000"/>
          <w:lang w:val="en-US" w:eastAsia="zh-CN"/>
        </w:rPr>
        <w:t>鸡</w:t>
      </w:r>
      <w:r>
        <w:rPr>
          <w:rFonts w:hint="default" w:ascii="Times New Roman" w:hAnsi="Times New Roman" w:eastAsia="宋体" w:cs="Times New Roman"/>
          <w:color w:val="FF0000"/>
        </w:rPr>
        <w:t>圈分发。当地农户较多，且周边农田集中，运营期所需的饲草料均可从当地采购能够满足项目需求。</w:t>
      </w:r>
    </w:p>
    <w:p w14:paraId="753BEB35">
      <w:pPr>
        <w:pStyle w:val="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生产工艺流程及产物环节分析</w:t>
      </w:r>
      <w:bookmarkEnd w:id="46"/>
      <w:bookmarkEnd w:id="47"/>
    </w:p>
    <w:p w14:paraId="71A41ABE">
      <w:pPr>
        <w:pStyle w:val="4"/>
        <w:bidi w:val="0"/>
        <w:rPr>
          <w:rFonts w:hint="default" w:ascii="Times New Roman" w:hAnsi="Times New Roman" w:cs="Times New Roman"/>
          <w:color w:val="auto"/>
          <w:lang w:val="en-US" w:eastAsia="zh-CN"/>
        </w:rPr>
      </w:pPr>
      <w:bookmarkStart w:id="48" w:name="_Toc9850"/>
      <w:bookmarkStart w:id="49" w:name="_Toc29499"/>
      <w:r>
        <w:rPr>
          <w:rFonts w:hint="default" w:ascii="Times New Roman" w:hAnsi="Times New Roman" w:cs="Times New Roman"/>
          <w:color w:val="auto"/>
          <w:lang w:val="en-US" w:eastAsia="zh-CN"/>
        </w:rPr>
        <w:t>施工期工艺流程及产污环节分析</w:t>
      </w:r>
      <w:bookmarkEnd w:id="48"/>
      <w:bookmarkEnd w:id="49"/>
    </w:p>
    <w:p w14:paraId="1F8225C3">
      <w:pPr>
        <w:pStyle w:val="16"/>
        <w:bidi w:val="0"/>
        <w:rPr>
          <w:rFonts w:hint="default" w:ascii="Times New Roman" w:hAnsi="Times New Roman" w:cs="Times New Roman"/>
          <w:color w:val="auto"/>
        </w:rPr>
      </w:pPr>
      <w:r>
        <w:rPr>
          <w:rFonts w:hint="default" w:ascii="Times New Roman" w:hAnsi="Times New Roman" w:cs="Times New Roman"/>
          <w:color w:val="auto"/>
        </w:rPr>
        <w:t>施工期分场地平整地基开挖、建筑施工、设备安装三个部分，其基本工艺及污染工序见</w:t>
      </w:r>
      <w:r>
        <w:rPr>
          <w:rFonts w:hint="default" w:ascii="Times New Roman" w:hAnsi="Times New Roman" w:cs="Times New Roman"/>
          <w:color w:val="auto"/>
          <w:lang w:val="en-US" w:eastAsia="zh-CN"/>
        </w:rPr>
        <w:t>下图</w:t>
      </w:r>
      <w:r>
        <w:rPr>
          <w:rFonts w:hint="default" w:ascii="Times New Roman" w:hAnsi="Times New Roman" w:cs="Times New Roman"/>
          <w:color w:val="auto"/>
        </w:rPr>
        <w:t>。</w:t>
      </w:r>
    </w:p>
    <w:p w14:paraId="48B49257">
      <w:pPr>
        <w:bidi w:val="0"/>
        <w:jc w:val="center"/>
        <w:rPr>
          <w:rFonts w:hint="default" w:ascii="Times New Roman" w:hAnsi="Times New Roman" w:cs="Times New Roman"/>
          <w:color w:val="auto"/>
        </w:rPr>
      </w:pPr>
      <w:bookmarkStart w:id="50" w:name="_Toc2594"/>
      <w:r>
        <w:rPr>
          <w:rFonts w:hint="default" w:ascii="Times New Roman" w:hAnsi="Times New Roman" w:cs="Times New Roman"/>
          <w:color w:val="auto"/>
        </w:rPr>
        <w:drawing>
          <wp:inline distT="0" distB="0" distL="114300" distR="114300">
            <wp:extent cx="3998595" cy="1465580"/>
            <wp:effectExtent l="0" t="0" r="1905" b="1270"/>
            <wp:docPr id="54" name="图片 345" descr="`6HNSK3(68}_B~22SEW8S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5" descr="`6HNSK3(68}_B~22SEW8SM7"/>
                    <pic:cNvPicPr>
                      <a:picLocks noChangeAspect="1"/>
                    </pic:cNvPicPr>
                  </pic:nvPicPr>
                  <pic:blipFill>
                    <a:blip r:embed="rId16"/>
                    <a:stretch>
                      <a:fillRect/>
                    </a:stretch>
                  </pic:blipFill>
                  <pic:spPr>
                    <a:xfrm>
                      <a:off x="0" y="0"/>
                      <a:ext cx="3998595" cy="1465580"/>
                    </a:xfrm>
                    <a:prstGeom prst="rect">
                      <a:avLst/>
                    </a:prstGeom>
                    <a:noFill/>
                    <a:ln>
                      <a:noFill/>
                    </a:ln>
                  </pic:spPr>
                </pic:pic>
              </a:graphicData>
            </a:graphic>
          </wp:inline>
        </w:drawing>
      </w:r>
      <w:bookmarkEnd w:id="50"/>
    </w:p>
    <w:p w14:paraId="508C724D">
      <w:pPr>
        <w:pStyle w:val="16"/>
        <w:bidi w:val="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rPr>
        <w:t>3</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ab/>
      </w:r>
      <w:r>
        <w:rPr>
          <w:rFonts w:hint="default" w:ascii="Times New Roman" w:hAnsi="Times New Roman" w:cs="Times New Roman"/>
          <w:b/>
          <w:bCs/>
          <w:color w:val="auto"/>
        </w:rPr>
        <w:t>施工期工艺流程及产污节点图</w:t>
      </w:r>
    </w:p>
    <w:p w14:paraId="170F10ED">
      <w:pPr>
        <w:pStyle w:val="4"/>
        <w:bidi w:val="0"/>
        <w:rPr>
          <w:rFonts w:hint="default" w:ascii="Times New Roman" w:hAnsi="Times New Roman" w:cs="Times New Roman"/>
          <w:color w:val="auto"/>
          <w:lang w:val="en-US" w:eastAsia="zh-CN"/>
        </w:rPr>
      </w:pPr>
      <w:bookmarkStart w:id="51" w:name="_Toc20103"/>
      <w:r>
        <w:rPr>
          <w:rFonts w:hint="default" w:ascii="Times New Roman" w:hAnsi="Times New Roman" w:cs="Times New Roman"/>
          <w:color w:val="auto"/>
          <w:lang w:val="en-US" w:eastAsia="zh-CN"/>
        </w:rPr>
        <w:t>养殖工艺流程及产污环节分析</w:t>
      </w:r>
      <w:bookmarkEnd w:id="51"/>
    </w:p>
    <w:p w14:paraId="6D7534A4">
      <w:pPr>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color w:val="auto"/>
          <w:sz w:val="24"/>
          <w:lang w:val="en-US" w:eastAsia="zh-CN"/>
        </w:rPr>
        <w:t>本项目生产流程主要有育雏、育成、产蛋期、强制换羽、重新产蛋等5个阶段，育雏-育成-强制换羽-产蛋期都采用笼养，鸡舍采用开放式饲养模式，自动饮水，自动上料，自动清粪，自动捡蛋。育雏、育成期间按免疫程序对主要疫病进行防疫，并定期做好消毒工作，控制好温度、湿度；蛋鸡开产后，加强疫病的免疫防疫消毒工作，加强对重大疫病的防控和免疫抗体的监测，严格控制鸡舍环境，保证蛋鸡饲养营养的平衡。</w:t>
      </w:r>
      <w:r>
        <w:rPr>
          <w:rFonts w:hint="default" w:ascii="Times New Roman" w:hAnsi="Times New Roman" w:cs="Times New Roman"/>
          <w:color w:val="FF0000"/>
          <w:sz w:val="24"/>
        </w:rPr>
        <w:drawing>
          <wp:inline distT="0" distB="0" distL="114300" distR="114300">
            <wp:extent cx="5276850" cy="4269105"/>
            <wp:effectExtent l="0" t="0" r="0" b="0"/>
            <wp:docPr id="8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CB019B1-382A-4266-B25C-5B523AA43C14-1" descr="wps"/>
                    <pic:cNvPicPr>
                      <a:picLocks noChangeAspect="1"/>
                    </pic:cNvPicPr>
                  </pic:nvPicPr>
                  <pic:blipFill>
                    <a:blip r:embed="rId17"/>
                    <a:stretch>
                      <a:fillRect/>
                    </a:stretch>
                  </pic:blipFill>
                  <pic:spPr>
                    <a:xfrm>
                      <a:off x="0" y="0"/>
                      <a:ext cx="5276850" cy="4269105"/>
                    </a:xfrm>
                    <a:prstGeom prst="rect">
                      <a:avLst/>
                    </a:prstGeom>
                    <a:noFill/>
                    <a:ln>
                      <a:noFill/>
                    </a:ln>
                  </pic:spPr>
                </pic:pic>
              </a:graphicData>
            </a:graphic>
          </wp:inline>
        </w:drawing>
      </w:r>
    </w:p>
    <w:p w14:paraId="2A473728">
      <w:pPr>
        <w:spacing w:line="360" w:lineRule="auto"/>
        <w:jc w:val="center"/>
        <w:rPr>
          <w:rFonts w:hint="default" w:ascii="Times New Roman" w:hAnsi="Times New Roman" w:cs="Times New Roman"/>
          <w:b/>
          <w:bCs/>
          <w:color w:val="FF0000"/>
          <w:sz w:val="24"/>
          <w:lang w:val="en-US" w:eastAsia="zh-CN"/>
        </w:rPr>
      </w:pPr>
      <w:r>
        <w:rPr>
          <w:rFonts w:hint="default" w:ascii="Times New Roman" w:hAnsi="Times New Roman" w:cs="Times New Roman"/>
          <w:b/>
          <w:color w:val="FF0000"/>
          <w:sz w:val="24"/>
        </w:rPr>
        <w:t>图3</w:t>
      </w:r>
      <w:r>
        <w:rPr>
          <w:rFonts w:hint="default" w:ascii="Times New Roman" w:hAnsi="Times New Roman" w:cs="Times New Roman"/>
          <w:b/>
          <w:color w:val="FF0000"/>
          <w:sz w:val="24"/>
          <w:lang w:val="en-US" w:eastAsia="zh-CN"/>
        </w:rPr>
        <w:t>-5蛋鸡养殖</w:t>
      </w:r>
      <w:r>
        <w:rPr>
          <w:rFonts w:hint="default" w:ascii="Times New Roman" w:hAnsi="Times New Roman" w:cs="Times New Roman"/>
          <w:b/>
          <w:color w:val="FF0000"/>
          <w:sz w:val="24"/>
        </w:rPr>
        <w:t>工艺流程</w:t>
      </w:r>
      <w:r>
        <w:rPr>
          <w:rFonts w:hint="default" w:ascii="Times New Roman" w:hAnsi="Times New Roman" w:cs="Times New Roman"/>
          <w:b/>
          <w:bCs/>
          <w:color w:val="FF0000"/>
          <w:sz w:val="24"/>
          <w:lang w:val="en-US" w:eastAsia="zh-CN"/>
        </w:rPr>
        <w:t>及产污环节图</w:t>
      </w:r>
    </w:p>
    <w:p w14:paraId="3548C0EE">
      <w:pPr>
        <w:pStyle w:val="120"/>
        <w:rPr>
          <w:rFonts w:hint="default" w:ascii="Times New Roman" w:hAnsi="Times New Roman" w:cs="Times New Roman"/>
          <w:b/>
          <w:bCs/>
          <w:color w:val="FF0000"/>
          <w:sz w:val="24"/>
          <w:lang w:val="en-US" w:eastAsia="zh-CN"/>
        </w:rPr>
      </w:pPr>
      <w:r>
        <w:rPr>
          <w:rFonts w:hint="default" w:ascii="Times New Roman" w:hAnsi="Times New Roman" w:cs="Times New Roman"/>
          <w:b/>
          <w:bCs/>
          <w:color w:val="FF0000"/>
          <w:sz w:val="24"/>
          <w:lang w:val="en-US" w:eastAsia="zh-CN"/>
        </w:rPr>
        <w:t>工艺流程简述：</w:t>
      </w:r>
    </w:p>
    <w:p w14:paraId="79F1F983">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（1）养殖工艺说明</w:t>
      </w:r>
    </w:p>
    <w:p w14:paraId="506D9A69">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项目采用干清粪工艺养殖，从雏鸡到蛋鸡淘汰总计约526天为一个饲养周期，分为两阶段饲养，包括育成鸡（1~120天）和产蛋鸡（121~526天）。首先外购雏鸡，进入雏鸡舍饲养120天，育成后转入蛋鸡舍饲养进行产蛋406天，接着淘汰蛋鸡作为肉鸡外售消毒，空置鸡舍和进出鸡共需15天。</w:t>
      </w:r>
    </w:p>
    <w:p w14:paraId="5BFD94AE">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①蛋鸡喂养与淘汰</w:t>
      </w:r>
    </w:p>
    <w:p w14:paraId="1253BE8F">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产蛋鸡舍共有6栋，每栋鸡舍采取全进全出的饲养管理模式。蛋鸡转产蛋舍开始产蛋，每天收集所产的鸡蛋送往蛋库。蛋鸡在场内产蛋约1年后产蛋率逐渐降低，饲养效率降低，蛋鸡则被淘汰出售。空舍后立即进行消毒工作，采用消毒液喷洒，威碘进行喷雾消毒。项目饲养过程中会产生恶臭及粪便收集设施冲洗废水。</w:t>
      </w:r>
    </w:p>
    <w:p w14:paraId="6C1953CA">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②强制换羽</w:t>
      </w:r>
    </w:p>
    <w:p w14:paraId="7CBD75C8">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强制换羽，就是人为地给鸡施加一些应激因素，在应激因素作用下，蛋鸡的器官和系统发生特有的形态和机能的变化，使鸡群在短期内停止产蛋，体重下降、羽毛脱落从而更换新羽，然后恢复产蛋，整个过程一般为8-10周。强制换羽的目的，是使整个鸡群在短期内停产、换羽、恢复体质，然后恢复产蛋，提高蛋的质量，达到延长鸡的经济利用期。本项目采用蛋鸡饥饿法强制换羽方法。确定强制换羽的时间后，清除料槽中饲料开始停水停料，一般停水3天（夏季2天），停料8~15天。冬季气温低，体重下降快，停料8～10天，</w:t>
      </w:r>
      <w:r>
        <w:rPr>
          <w:rFonts w:hint="eastAsia" w:ascii="Times New Roman" w:hAnsi="Times New Roman" w:cs="Times New Roman"/>
          <w:b w:val="0"/>
          <w:bCs w:val="0"/>
          <w:color w:val="FF0000"/>
          <w:sz w:val="24"/>
          <w:lang w:val="en-US" w:eastAsia="zh-CN"/>
        </w:rPr>
        <w:t>其他</w:t>
      </w:r>
      <w:r>
        <w:rPr>
          <w:rFonts w:hint="default" w:ascii="Times New Roman" w:hAnsi="Times New Roman" w:cs="Times New Roman"/>
          <w:b w:val="0"/>
          <w:bCs w:val="0"/>
          <w:color w:val="FF0000"/>
          <w:sz w:val="24"/>
          <w:lang w:val="en-US" w:eastAsia="zh-CN"/>
        </w:rPr>
        <w:t>季节10~15天。当有85%的鸡只（以固定样本为依据）体重下降为25%～30%左右时，即开始恢复喂料。</w:t>
      </w:r>
      <w:r>
        <w:rPr>
          <w:rFonts w:hint="default" w:ascii="Times New Roman" w:hAnsi="Times New Roman" w:eastAsia="宋体" w:cs="Times New Roman"/>
          <w:b w:val="0"/>
          <w:bCs w:val="0"/>
          <w:color w:val="FF0000"/>
          <w:sz w:val="24"/>
          <w:lang w:val="en-US" w:eastAsia="zh-CN"/>
        </w:rPr>
        <w:t>换下来的羽毛氮含量较高，和</w:t>
      </w:r>
      <w:r>
        <w:rPr>
          <w:rFonts w:hint="default" w:ascii="Times New Roman" w:hAnsi="Times New Roman" w:eastAsia="宋体" w:cs="Times New Roman"/>
          <w:color w:val="FF0000"/>
          <w:sz w:val="24"/>
          <w:szCs w:val="24"/>
        </w:rPr>
        <w:t>鸡粪一起清理后送入</w:t>
      </w:r>
      <w:r>
        <w:rPr>
          <w:rFonts w:hint="default" w:ascii="Times New Roman" w:hAnsi="Times New Roman" w:cs="Times New Roman"/>
          <w:color w:val="FF0000"/>
          <w:sz w:val="24"/>
          <w:lang w:eastAsia="zh-CN"/>
        </w:rPr>
        <w:t>鸡粪发酵处理场</w:t>
      </w:r>
      <w:r>
        <w:rPr>
          <w:rFonts w:hint="default" w:ascii="Times New Roman" w:hAnsi="Times New Roman" w:cs="Times New Roman"/>
          <w:color w:val="FF0000"/>
          <w:sz w:val="24"/>
          <w:lang w:val="en-US" w:eastAsia="zh-CN"/>
        </w:rPr>
        <w:t>发酵</w:t>
      </w:r>
      <w:r>
        <w:rPr>
          <w:rFonts w:hint="default" w:ascii="Times New Roman" w:hAnsi="Times New Roman" w:eastAsia="宋体" w:cs="Times New Roman"/>
          <w:color w:val="FF0000"/>
          <w:sz w:val="24"/>
          <w:szCs w:val="24"/>
        </w:rPr>
        <w:t>处理</w:t>
      </w:r>
      <w:r>
        <w:rPr>
          <w:rFonts w:hint="default" w:ascii="Times New Roman" w:hAnsi="Times New Roman" w:cs="Times New Roman"/>
          <w:b w:val="0"/>
          <w:bCs w:val="0"/>
          <w:color w:val="FF0000"/>
          <w:sz w:val="24"/>
          <w:lang w:val="en-US" w:eastAsia="zh-CN"/>
        </w:rPr>
        <w:t>。</w:t>
      </w:r>
    </w:p>
    <w:p w14:paraId="6DB2728C">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③喂料设备</w:t>
      </w:r>
    </w:p>
    <w:p w14:paraId="1CF8876B">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鸡喂料采用自动喂料行车，保证料槽内一直有饲料。鸡饮水采用乳头式饮水器，既保持一直供水，又不使水受到污染和撒泼。</w:t>
      </w:r>
    </w:p>
    <w:p w14:paraId="750309E5">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④自动集蛋和输送系统</w:t>
      </w:r>
    </w:p>
    <w:p w14:paraId="493B2FC6">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项目采用自动集蛋，自动化鸡蛋分级设备代替传统人工捡蛋，降低员工劳动强度，提高工作效率；集蛋系统设置软破蛋去除装置，有效提高整场养殖效益；集蛋机在鸡蛋出口与中央输蛋线连接处设置拨蛋器，拔蛋器将鸡蛋运送到各蛋鸡舍出口的分级设备装入蛋箱，最后由蛋箱运输车输送至蛋库。</w:t>
      </w:r>
    </w:p>
    <w:p w14:paraId="1B7E52A7">
      <w:pPr>
        <w:pStyle w:val="120"/>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FF0000"/>
          <w:sz w:val="24"/>
          <w:lang w:val="en-US" w:eastAsia="zh-CN"/>
        </w:rPr>
        <w:t>本项目鸡蛋包装根据商户需求采用蛋框或纸盒的方式包装，其中蛋框采取自动包装方式，纸盒为人工包装方式。厂内蛋库不设冷藏工艺，新鲜的合格鸡蛋3天内外运至商户售卖。</w:t>
      </w:r>
    </w:p>
    <w:p w14:paraId="3E1853C0">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其他工艺说明</w:t>
      </w:r>
    </w:p>
    <w:p w14:paraId="227E0C84">
      <w:pPr>
        <w:widowControl/>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鸡舍通风降温设备</w:t>
      </w:r>
    </w:p>
    <w:p w14:paraId="5DD2325B">
      <w:pPr>
        <w:widowControl/>
        <w:spacing w:line="360" w:lineRule="auto"/>
        <w:ind w:firstLine="482"/>
        <w:rPr>
          <w:rFonts w:hint="default" w:ascii="Times New Roman" w:hAnsi="Times New Roman" w:cs="Times New Roman"/>
          <w:color w:val="auto"/>
          <w:kern w:val="0"/>
          <w:sz w:val="24"/>
        </w:rPr>
      </w:pPr>
      <w:r>
        <w:rPr>
          <w:rFonts w:hint="default" w:ascii="Times New Roman" w:hAnsi="Times New Roman" w:cs="Times New Roman"/>
          <w:color w:val="auto"/>
          <w:sz w:val="24"/>
          <w:lang w:val="en-US" w:eastAsia="zh-CN"/>
        </w:rPr>
        <w:t>本项目鸡舍内强制通风，同时环评要求在鸡舍出入口设计拦挡网，防止通风设施将鸡舍内散落的羽毛进入外环境。同时鸡舍通风处设计封闭式水帘鸡舍的模式，通风设施将鸡舍内的热气抽出，在通风散热除尘的同时，室内外造成气压差，促使外界的空气经由降温水帘片所形成的水膜蒸发吸热瞬间降温，控制鸡舍室内温度，同时也可以吸收部分鸡舍内的恶臭气体。水帘处理工艺如下：</w:t>
      </w:r>
    </w:p>
    <w:p w14:paraId="50989E7A">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781550" cy="2019300"/>
            <wp:effectExtent l="0" t="0" r="0" b="0"/>
            <wp:docPr id="55"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9"/>
                    <pic:cNvPicPr>
                      <a:picLocks noChangeAspect="1"/>
                    </pic:cNvPicPr>
                  </pic:nvPicPr>
                  <pic:blipFill>
                    <a:blip r:embed="rId18"/>
                    <a:stretch>
                      <a:fillRect/>
                    </a:stretch>
                  </pic:blipFill>
                  <pic:spPr>
                    <a:xfrm>
                      <a:off x="0" y="0"/>
                      <a:ext cx="4781550" cy="2019300"/>
                    </a:xfrm>
                    <a:prstGeom prst="rect">
                      <a:avLst/>
                    </a:prstGeom>
                    <a:noFill/>
                    <a:ln>
                      <a:noFill/>
                    </a:ln>
                  </pic:spPr>
                </pic:pic>
              </a:graphicData>
            </a:graphic>
          </wp:inline>
        </w:drawing>
      </w:r>
    </w:p>
    <w:p w14:paraId="230BCEF4">
      <w:pPr>
        <w:widowControl/>
        <w:spacing w:line="360" w:lineRule="auto"/>
        <w:ind w:firstLine="482"/>
        <w:jc w:val="center"/>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rPr>
        <w:t>图3-</w:t>
      </w:r>
      <w:r>
        <w:rPr>
          <w:rFonts w:hint="default" w:ascii="Times New Roman" w:hAnsi="Times New Roman" w:cs="Times New Roman"/>
          <w:b/>
          <w:color w:val="auto"/>
          <w:sz w:val="24"/>
          <w:lang w:val="en-US" w:eastAsia="zh-CN"/>
        </w:rPr>
        <w:t>6水帘处理工艺示意图</w:t>
      </w:r>
    </w:p>
    <w:p w14:paraId="6F9759C5">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水帘墙通风系统的过程是在其核心——水帘纸内完成的。在波纹状的纤维纸表面有层薄的水膜，当室外的干热空气被风机抽吸穿过水帘纸时，水膜中的水会吸收空气中的热量后蒸发，带走大量潜热，使经过水帘的空气温度的降低，经过处理后的凉爽湿润空气进入室内，与室内的热浊空气混合后，通过风机排出室外。</w:t>
      </w:r>
    </w:p>
    <w:p w14:paraId="4308D987">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本项目育雏鸡舍采用电锅炉进行保温。</w:t>
      </w:r>
    </w:p>
    <w:p w14:paraId="5338E0BC">
      <w:pPr>
        <w:numPr>
          <w:ilvl w:val="0"/>
          <w:numId w:val="5"/>
        </w:numPr>
        <w:spacing w:line="360" w:lineRule="auto"/>
        <w:ind w:left="-40" w:leftChars="0" w:firstLine="480" w:firstLineChars="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清粪工艺及堆粪设施</w:t>
      </w:r>
    </w:p>
    <w:p w14:paraId="4A5A44B3">
      <w:pPr>
        <w:pStyle w:val="14"/>
        <w:bidi w:val="0"/>
        <w:rPr>
          <w:rFonts w:hint="default" w:ascii="Times New Roman" w:hAnsi="Times New Roman" w:cs="Times New Roman"/>
          <w:color w:val="FF0000"/>
          <w:lang w:val="en-US" w:eastAsia="zh-CN"/>
        </w:rPr>
      </w:pPr>
      <w:r>
        <w:rPr>
          <w:rFonts w:hint="default" w:ascii="Times New Roman" w:hAnsi="Times New Roman" w:cs="Times New Roman"/>
          <w:color w:val="FF0000"/>
        </w:rPr>
        <w:t xml:space="preserve">表 </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3.4</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w:t>
      </w:r>
      <w:r>
        <w:rPr>
          <w:rFonts w:hint="default" w:ascii="Times New Roman" w:hAnsi="Times New Roman" w:cs="Times New Roman"/>
          <w:color w:val="FF0000"/>
        </w:rPr>
        <w:fldChar w:fldCharType="end"/>
      </w:r>
      <w:r>
        <w:rPr>
          <w:rFonts w:hint="default" w:ascii="Times New Roman" w:hAnsi="Times New Roman" w:cs="Times New Roman"/>
          <w:color w:val="FF0000"/>
          <w:lang w:val="en-US" w:eastAsia="zh-CN"/>
        </w:rPr>
        <w:t>清粪工艺必须</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3964"/>
        <w:gridCol w:w="2841"/>
      </w:tblGrid>
      <w:tr w14:paraId="7961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vAlign w:val="center"/>
          </w:tcPr>
          <w:p w14:paraId="2163B67B">
            <w:pPr>
              <w:jc w:val="center"/>
              <w:rPr>
                <w:rFonts w:hint="default" w:ascii="Times New Roman" w:hAnsi="Times New Roman" w:cs="Times New Roman" w:eastAsiaTheme="minorEastAsia"/>
                <w:b w:val="0"/>
                <w:bCs w:val="0"/>
                <w:color w:val="FF0000"/>
                <w:sz w:val="21"/>
                <w:szCs w:val="21"/>
                <w:vertAlign w:val="baseline"/>
                <w:lang w:val="en-US" w:eastAsia="zh-CN"/>
              </w:rPr>
            </w:pPr>
            <w:r>
              <w:rPr>
                <w:rFonts w:hint="default" w:ascii="Times New Roman" w:hAnsi="Times New Roman" w:cs="Times New Roman"/>
                <w:b w:val="0"/>
                <w:bCs w:val="0"/>
                <w:color w:val="FF0000"/>
                <w:sz w:val="21"/>
                <w:szCs w:val="21"/>
                <w:vertAlign w:val="baseline"/>
                <w:lang w:val="en-US" w:eastAsia="zh-CN"/>
              </w:rPr>
              <w:t>分类</w:t>
            </w:r>
          </w:p>
        </w:tc>
        <w:tc>
          <w:tcPr>
            <w:tcW w:w="3964" w:type="dxa"/>
            <w:vAlign w:val="center"/>
          </w:tcPr>
          <w:p w14:paraId="5CCCEF79">
            <w:pPr>
              <w:jc w:val="center"/>
              <w:rPr>
                <w:rFonts w:hint="default" w:ascii="Times New Roman" w:hAnsi="Times New Roman" w:cs="Times New Roman"/>
                <w:b w:val="0"/>
                <w:bCs w:val="0"/>
                <w:color w:val="FF0000"/>
                <w:sz w:val="21"/>
                <w:szCs w:val="21"/>
                <w:vertAlign w:val="baseline"/>
              </w:rPr>
            </w:pPr>
            <w:r>
              <w:rPr>
                <w:rStyle w:val="36"/>
                <w:rFonts w:hint="default" w:ascii="Times New Roman" w:hAnsi="Times New Roman" w:eastAsia="Segoe UI" w:cs="Times New Roman"/>
                <w:b w:val="0"/>
                <w:bCs w:val="0"/>
                <w:i w:val="0"/>
                <w:iCs w:val="0"/>
                <w:caps w:val="0"/>
                <w:color w:val="FF0000"/>
                <w:spacing w:val="0"/>
                <w:sz w:val="21"/>
                <w:szCs w:val="21"/>
                <w:shd w:val="clear" w:fill="FFFFFF"/>
                <w:vertAlign w:val="baseline"/>
              </w:rPr>
              <w:t>优点</w:t>
            </w:r>
          </w:p>
        </w:tc>
        <w:tc>
          <w:tcPr>
            <w:tcW w:w="2841" w:type="dxa"/>
            <w:vAlign w:val="center"/>
          </w:tcPr>
          <w:p w14:paraId="204CC770">
            <w:pPr>
              <w:jc w:val="center"/>
              <w:rPr>
                <w:rFonts w:hint="default" w:ascii="Times New Roman" w:hAnsi="Times New Roman" w:cs="Times New Roman"/>
                <w:b w:val="0"/>
                <w:bCs w:val="0"/>
                <w:color w:val="FF0000"/>
                <w:sz w:val="21"/>
                <w:szCs w:val="21"/>
                <w:vertAlign w:val="baseline"/>
              </w:rPr>
            </w:pPr>
            <w:r>
              <w:rPr>
                <w:rStyle w:val="36"/>
                <w:rFonts w:hint="default" w:ascii="Times New Roman" w:hAnsi="Times New Roman" w:eastAsia="Segoe UI" w:cs="Times New Roman"/>
                <w:b w:val="0"/>
                <w:bCs w:val="0"/>
                <w:i w:val="0"/>
                <w:iCs w:val="0"/>
                <w:caps w:val="0"/>
                <w:color w:val="FF0000"/>
                <w:spacing w:val="0"/>
                <w:sz w:val="21"/>
                <w:szCs w:val="21"/>
                <w:shd w:val="clear" w:fill="FFFFFF"/>
                <w:vertAlign w:val="baseline"/>
              </w:rPr>
              <w:t>缺点</w:t>
            </w:r>
          </w:p>
        </w:tc>
      </w:tr>
      <w:tr w14:paraId="2B9E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vAlign w:val="center"/>
          </w:tcPr>
          <w:p w14:paraId="2997B9F7">
            <w:pPr>
              <w:jc w:val="center"/>
              <w:rPr>
                <w:rFonts w:hint="default" w:ascii="Times New Roman" w:hAnsi="Times New Roman" w:cs="Times New Roman"/>
                <w:b w:val="0"/>
                <w:bCs w:val="0"/>
                <w:color w:val="FF0000"/>
                <w:sz w:val="21"/>
                <w:szCs w:val="21"/>
                <w:vertAlign w:val="baseline"/>
              </w:rPr>
            </w:pPr>
            <w:r>
              <w:rPr>
                <w:rFonts w:hint="default" w:ascii="Times New Roman" w:hAnsi="Times New Roman" w:cs="Times New Roman"/>
                <w:b w:val="0"/>
                <w:bCs w:val="0"/>
                <w:color w:val="FF0000"/>
                <w:sz w:val="21"/>
                <w:szCs w:val="21"/>
                <w:vertAlign w:val="baseline"/>
              </w:rPr>
              <w:t>人工干清粪</w:t>
            </w:r>
          </w:p>
        </w:tc>
        <w:tc>
          <w:tcPr>
            <w:tcW w:w="3964" w:type="dxa"/>
            <w:vAlign w:val="center"/>
          </w:tcPr>
          <w:p w14:paraId="058CF0BC">
            <w:pPr>
              <w:jc w:val="center"/>
              <w:rPr>
                <w:rFonts w:hint="default" w:ascii="Times New Roman" w:hAnsi="Times New Roman" w:cs="Times New Roman"/>
                <w:b w:val="0"/>
                <w:bCs w:val="0"/>
                <w:color w:val="FF0000"/>
                <w:sz w:val="21"/>
                <w:szCs w:val="21"/>
                <w:vertAlign w:val="baseline"/>
              </w:rPr>
            </w:pPr>
            <w:r>
              <w:rPr>
                <w:rFonts w:hint="default" w:ascii="Times New Roman" w:hAnsi="Times New Roman" w:cs="Times New Roman"/>
                <w:b w:val="0"/>
                <w:bCs w:val="0"/>
                <w:color w:val="FF0000"/>
                <w:sz w:val="21"/>
                <w:szCs w:val="21"/>
                <w:vertAlign w:val="baseline"/>
                <w:lang w:val="en-US" w:eastAsia="zh-CN"/>
              </w:rPr>
              <w:t>1、</w:t>
            </w:r>
            <w:r>
              <w:rPr>
                <w:rFonts w:hint="default" w:ascii="Times New Roman" w:hAnsi="Times New Roman" w:cs="Times New Roman"/>
                <w:b w:val="0"/>
                <w:bCs w:val="0"/>
                <w:color w:val="FF0000"/>
                <w:sz w:val="21"/>
                <w:szCs w:val="21"/>
                <w:vertAlign w:val="baseline"/>
              </w:rPr>
              <w:t>设备简单，投资少，成本低</w:t>
            </w:r>
            <w:r>
              <w:rPr>
                <w:rFonts w:hint="default" w:ascii="Times New Roman" w:hAnsi="Times New Roman" w:cs="Times New Roman"/>
                <w:b w:val="0"/>
                <w:bCs w:val="0"/>
                <w:color w:val="FF0000"/>
                <w:sz w:val="21"/>
                <w:szCs w:val="21"/>
                <w:vertAlign w:val="baseline"/>
                <w:lang w:val="en-US" w:eastAsia="zh-CN"/>
              </w:rPr>
              <w:t>；2、</w:t>
            </w:r>
            <w:r>
              <w:rPr>
                <w:rFonts w:hint="default" w:ascii="Times New Roman" w:hAnsi="Times New Roman" w:cs="Times New Roman"/>
                <w:b w:val="0"/>
                <w:bCs w:val="0"/>
                <w:color w:val="FF0000"/>
                <w:sz w:val="21"/>
                <w:szCs w:val="21"/>
                <w:vertAlign w:val="baseline"/>
              </w:rPr>
              <w:t>可以实现粪尿分离，便于后续处理。</w:t>
            </w:r>
            <w:r>
              <w:rPr>
                <w:rFonts w:hint="default" w:ascii="Times New Roman" w:hAnsi="Times New Roman" w:cs="Times New Roman"/>
                <w:b w:val="0"/>
                <w:bCs w:val="0"/>
                <w:color w:val="FF0000"/>
                <w:sz w:val="21"/>
                <w:szCs w:val="21"/>
                <w:vertAlign w:val="baseline"/>
                <w:lang w:val="en-US" w:eastAsia="zh-CN"/>
              </w:rPr>
              <w:t>3、</w:t>
            </w:r>
            <w:r>
              <w:rPr>
                <w:rFonts w:hint="default" w:ascii="Times New Roman" w:hAnsi="Times New Roman" w:cs="Times New Roman"/>
                <w:b w:val="0"/>
                <w:bCs w:val="0"/>
                <w:color w:val="FF0000"/>
                <w:sz w:val="21"/>
                <w:szCs w:val="21"/>
                <w:vertAlign w:val="baseline"/>
              </w:rPr>
              <w:t>符合环保政策要求</w:t>
            </w:r>
          </w:p>
        </w:tc>
        <w:tc>
          <w:tcPr>
            <w:tcW w:w="2841" w:type="dxa"/>
            <w:vAlign w:val="center"/>
          </w:tcPr>
          <w:p w14:paraId="7149C926">
            <w:pPr>
              <w:jc w:val="center"/>
              <w:rPr>
                <w:rFonts w:hint="default" w:ascii="Times New Roman" w:hAnsi="Times New Roman" w:cs="Times New Roman"/>
                <w:b w:val="0"/>
                <w:bCs w:val="0"/>
                <w:color w:val="FF0000"/>
                <w:sz w:val="21"/>
                <w:szCs w:val="21"/>
                <w:vertAlign w:val="baseline"/>
              </w:rPr>
            </w:pPr>
            <w:r>
              <w:rPr>
                <w:rFonts w:hint="default" w:ascii="Times New Roman" w:hAnsi="Times New Roman" w:cs="Times New Roman"/>
                <w:b w:val="0"/>
                <w:bCs w:val="0"/>
                <w:color w:val="FF0000"/>
                <w:sz w:val="21"/>
                <w:szCs w:val="21"/>
                <w:vertAlign w:val="baseline"/>
                <w:lang w:val="en-US" w:eastAsia="zh-CN"/>
              </w:rPr>
              <w:t>1、</w:t>
            </w:r>
            <w:r>
              <w:rPr>
                <w:rFonts w:hint="default" w:ascii="Times New Roman" w:hAnsi="Times New Roman" w:cs="Times New Roman"/>
                <w:b w:val="0"/>
                <w:bCs w:val="0"/>
                <w:color w:val="FF0000"/>
                <w:sz w:val="21"/>
                <w:szCs w:val="21"/>
                <w:vertAlign w:val="baseline"/>
              </w:rPr>
              <w:t>劳动强度大，生产效率低。适合小型养殖场，不适用于大规模养殖场</w:t>
            </w:r>
          </w:p>
        </w:tc>
      </w:tr>
      <w:tr w14:paraId="4850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vAlign w:val="center"/>
          </w:tcPr>
          <w:p w14:paraId="7668326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firstLine="0"/>
              <w:jc w:val="center"/>
              <w:textAlignment w:val="baseline"/>
              <w:rPr>
                <w:rFonts w:hint="default" w:ascii="Times New Roman" w:hAnsi="Times New Roman" w:eastAsia="宋体" w:cs="Times New Roman"/>
                <w:b w:val="0"/>
                <w:bCs w:val="0"/>
                <w:color w:val="FF0000"/>
                <w:sz w:val="21"/>
                <w:szCs w:val="21"/>
                <w:vertAlign w:val="baseline"/>
                <w:lang w:eastAsia="zh-CN"/>
              </w:rPr>
            </w:pPr>
            <w:r>
              <w:rPr>
                <w:rStyle w:val="36"/>
                <w:rFonts w:hint="default" w:ascii="Times New Roman" w:hAnsi="Times New Roman" w:eastAsia="Segoe UI" w:cs="Times New Roman"/>
                <w:b w:val="0"/>
                <w:bCs w:val="0"/>
                <w:i w:val="0"/>
                <w:iCs w:val="0"/>
                <w:caps w:val="0"/>
                <w:color w:val="FF0000"/>
                <w:spacing w:val="0"/>
                <w:sz w:val="21"/>
                <w:szCs w:val="21"/>
                <w:shd w:val="clear" w:fill="FFFFFF"/>
                <w:vertAlign w:val="baseline"/>
              </w:rPr>
              <w:t>机械干清粪</w:t>
            </w:r>
          </w:p>
        </w:tc>
        <w:tc>
          <w:tcPr>
            <w:tcW w:w="3964" w:type="dxa"/>
            <w:vAlign w:val="center"/>
          </w:tcPr>
          <w:p w14:paraId="4681A6D3">
            <w:pPr>
              <w:jc w:val="both"/>
              <w:rPr>
                <w:rFonts w:hint="default" w:ascii="Times New Roman" w:hAnsi="Times New Roman" w:cs="Times New Roman"/>
                <w:b w:val="0"/>
                <w:bCs w:val="0"/>
                <w:color w:val="FF0000"/>
                <w:sz w:val="21"/>
                <w:szCs w:val="21"/>
                <w:vertAlign w:val="baseline"/>
              </w:rPr>
            </w:pPr>
            <w:r>
              <w:rPr>
                <w:rFonts w:hint="default" w:ascii="Times New Roman" w:hAnsi="Times New Roman" w:cs="Times New Roman"/>
                <w:b w:val="0"/>
                <w:bCs w:val="0"/>
                <w:color w:val="FF0000"/>
                <w:sz w:val="21"/>
                <w:szCs w:val="21"/>
                <w:vertAlign w:val="baseline"/>
                <w:lang w:val="en-US" w:eastAsia="zh-CN"/>
              </w:rPr>
              <w:t>1、</w:t>
            </w:r>
            <w:r>
              <w:rPr>
                <w:rFonts w:hint="default" w:ascii="Times New Roman" w:hAnsi="Times New Roman" w:cs="Times New Roman"/>
                <w:b w:val="0"/>
                <w:bCs w:val="0"/>
                <w:color w:val="FF0000"/>
                <w:sz w:val="21"/>
                <w:szCs w:val="21"/>
                <w:vertAlign w:val="baseline"/>
              </w:rPr>
              <w:t>劳动效率高，节省人工。</w:t>
            </w:r>
            <w:r>
              <w:rPr>
                <w:rFonts w:hint="default" w:ascii="Times New Roman" w:hAnsi="Times New Roman" w:cs="Times New Roman"/>
                <w:b w:val="0"/>
                <w:bCs w:val="0"/>
                <w:color w:val="FF0000"/>
                <w:sz w:val="21"/>
                <w:szCs w:val="21"/>
                <w:vertAlign w:val="baseline"/>
                <w:lang w:val="en-US" w:eastAsia="zh-CN"/>
              </w:rPr>
              <w:t>2、</w:t>
            </w:r>
            <w:r>
              <w:rPr>
                <w:rFonts w:hint="default" w:ascii="Times New Roman" w:hAnsi="Times New Roman" w:cs="Times New Roman"/>
                <w:b w:val="0"/>
                <w:bCs w:val="0"/>
                <w:color w:val="FF0000"/>
                <w:sz w:val="21"/>
                <w:szCs w:val="21"/>
                <w:vertAlign w:val="baseline"/>
              </w:rPr>
              <w:t>粪便水分少，营养成分损耗小，肥料价值高</w:t>
            </w:r>
            <w:r>
              <w:rPr>
                <w:rFonts w:hint="default" w:ascii="Times New Roman" w:hAnsi="Times New Roman" w:cs="Times New Roman"/>
                <w:b w:val="0"/>
                <w:bCs w:val="0"/>
                <w:color w:val="FF0000"/>
                <w:sz w:val="21"/>
                <w:szCs w:val="21"/>
                <w:vertAlign w:val="baseline"/>
                <w:lang w:val="en-US" w:eastAsia="zh-CN"/>
              </w:rPr>
              <w:t>。3、</w:t>
            </w:r>
            <w:r>
              <w:rPr>
                <w:rFonts w:hint="default" w:ascii="Times New Roman" w:hAnsi="Times New Roman" w:cs="Times New Roman"/>
                <w:b w:val="0"/>
                <w:bCs w:val="0"/>
                <w:color w:val="FF0000"/>
                <w:sz w:val="21"/>
                <w:szCs w:val="21"/>
                <w:vertAlign w:val="baseline"/>
              </w:rPr>
              <w:t>可实现粪尿分离，便于后续处理</w:t>
            </w:r>
          </w:p>
        </w:tc>
        <w:tc>
          <w:tcPr>
            <w:tcW w:w="2841" w:type="dxa"/>
            <w:vAlign w:val="center"/>
          </w:tcPr>
          <w:p w14:paraId="138821A6">
            <w:pPr>
              <w:jc w:val="center"/>
              <w:rPr>
                <w:rFonts w:hint="default" w:ascii="Times New Roman" w:hAnsi="Times New Roman" w:cs="Times New Roman"/>
                <w:b w:val="0"/>
                <w:bCs w:val="0"/>
                <w:color w:val="FF0000"/>
                <w:sz w:val="21"/>
                <w:szCs w:val="21"/>
                <w:vertAlign w:val="baseline"/>
              </w:rPr>
            </w:pPr>
            <w:r>
              <w:rPr>
                <w:rFonts w:hint="default" w:ascii="Times New Roman" w:hAnsi="Times New Roman" w:cs="Times New Roman"/>
                <w:b w:val="0"/>
                <w:bCs w:val="0"/>
                <w:color w:val="FF0000"/>
                <w:sz w:val="21"/>
                <w:szCs w:val="21"/>
                <w:vertAlign w:val="baseline"/>
              </w:rPr>
              <w:t>一次性投资较大，运行维护费用高。清粪机工作时噪音较大，可能影响畜禽生长</w:t>
            </w:r>
          </w:p>
        </w:tc>
      </w:tr>
      <w:tr w14:paraId="4B22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vAlign w:val="center"/>
          </w:tcPr>
          <w:p w14:paraId="68427420">
            <w:pPr>
              <w:jc w:val="center"/>
              <w:rPr>
                <w:rFonts w:hint="default" w:ascii="Times New Roman" w:hAnsi="Times New Roman" w:cs="Times New Roman" w:eastAsiaTheme="minorEastAsia"/>
                <w:b w:val="0"/>
                <w:bCs w:val="0"/>
                <w:color w:val="FF0000"/>
                <w:sz w:val="21"/>
                <w:szCs w:val="21"/>
                <w:vertAlign w:val="baseline"/>
                <w:lang w:eastAsia="zh-CN"/>
              </w:rPr>
            </w:pPr>
            <w:r>
              <w:rPr>
                <w:rFonts w:hint="default" w:ascii="Times New Roman" w:hAnsi="Times New Roman" w:cs="Times New Roman"/>
                <w:b w:val="0"/>
                <w:bCs w:val="0"/>
                <w:color w:val="FF0000"/>
                <w:sz w:val="21"/>
                <w:szCs w:val="21"/>
                <w:vertAlign w:val="baseline"/>
              </w:rPr>
              <w:t>水冲粪</w:t>
            </w:r>
          </w:p>
        </w:tc>
        <w:tc>
          <w:tcPr>
            <w:tcW w:w="3964" w:type="dxa"/>
            <w:vAlign w:val="center"/>
          </w:tcPr>
          <w:p w14:paraId="23F75BE0">
            <w:pPr>
              <w:jc w:val="center"/>
              <w:rPr>
                <w:rFonts w:hint="default" w:ascii="Times New Roman" w:hAnsi="Times New Roman" w:cs="Times New Roman" w:eastAsiaTheme="minorEastAsia"/>
                <w:b w:val="0"/>
                <w:bCs w:val="0"/>
                <w:color w:val="FF0000"/>
                <w:sz w:val="21"/>
                <w:szCs w:val="21"/>
                <w:vertAlign w:val="baseline"/>
                <w:lang w:eastAsia="zh-CN"/>
              </w:rPr>
            </w:pPr>
            <w:r>
              <w:rPr>
                <w:rFonts w:hint="default" w:ascii="Times New Roman" w:hAnsi="Times New Roman" w:cs="Times New Roman"/>
                <w:b w:val="0"/>
                <w:bCs w:val="0"/>
                <w:color w:val="FF0000"/>
                <w:sz w:val="21"/>
                <w:szCs w:val="21"/>
                <w:vertAlign w:val="baseline"/>
                <w:lang w:val="en-US" w:eastAsia="zh-CN"/>
              </w:rPr>
              <w:t>1、清理彻底，保持养殖舍清洁，有利于动物健康。2、劳动强度低，操作简便</w:t>
            </w:r>
          </w:p>
        </w:tc>
        <w:tc>
          <w:tcPr>
            <w:tcW w:w="2841" w:type="dxa"/>
            <w:vAlign w:val="center"/>
          </w:tcPr>
          <w:p w14:paraId="62B0E9AB">
            <w:pPr>
              <w:jc w:val="both"/>
              <w:rPr>
                <w:rFonts w:hint="default" w:ascii="Times New Roman" w:hAnsi="Times New Roman" w:cs="Times New Roman"/>
                <w:b w:val="0"/>
                <w:bCs w:val="0"/>
                <w:color w:val="FF0000"/>
                <w:sz w:val="21"/>
                <w:szCs w:val="21"/>
                <w:vertAlign w:val="baseline"/>
                <w:lang w:val="en-US" w:eastAsia="zh-CN"/>
              </w:rPr>
            </w:pPr>
            <w:r>
              <w:rPr>
                <w:rFonts w:hint="default" w:ascii="Times New Roman" w:hAnsi="Times New Roman" w:cs="Times New Roman"/>
                <w:b w:val="0"/>
                <w:bCs w:val="0"/>
                <w:color w:val="FF0000"/>
                <w:sz w:val="21"/>
                <w:szCs w:val="21"/>
                <w:vertAlign w:val="baseline"/>
                <w:lang w:val="en-US" w:eastAsia="zh-CN"/>
              </w:rPr>
              <w:t>1、耗水量大，增加养殖成本。污染物浓度高，后续处理难度大。</w:t>
            </w:r>
          </w:p>
          <w:p w14:paraId="405F9BAE">
            <w:pPr>
              <w:jc w:val="both"/>
              <w:rPr>
                <w:rFonts w:hint="default" w:ascii="Times New Roman" w:hAnsi="Times New Roman" w:cs="Times New Roman" w:eastAsiaTheme="minorEastAsia"/>
                <w:b w:val="0"/>
                <w:bCs w:val="0"/>
                <w:color w:val="FF0000"/>
                <w:sz w:val="21"/>
                <w:szCs w:val="21"/>
                <w:vertAlign w:val="baseline"/>
                <w:lang w:eastAsia="zh-CN"/>
              </w:rPr>
            </w:pPr>
            <w:r>
              <w:rPr>
                <w:rFonts w:hint="default" w:ascii="Times New Roman" w:hAnsi="Times New Roman" w:cs="Times New Roman"/>
                <w:b w:val="0"/>
                <w:bCs w:val="0"/>
                <w:color w:val="FF0000"/>
                <w:sz w:val="21"/>
                <w:szCs w:val="21"/>
                <w:vertAlign w:val="baseline"/>
                <w:lang w:val="en-US" w:eastAsia="zh-CN"/>
              </w:rPr>
              <w:t>2、不符合环保政策要求，已很少采用</w:t>
            </w:r>
          </w:p>
        </w:tc>
      </w:tr>
    </w:tbl>
    <w:p w14:paraId="414ADF41">
      <w:pPr>
        <w:spacing w:line="360" w:lineRule="auto"/>
        <w:ind w:firstLine="480" w:firstLineChars="200"/>
        <w:rPr>
          <w:rFonts w:hint="default" w:ascii="Times New Roman" w:hAnsi="Times New Roman" w:eastAsia="宋体" w:cs="Times New Roman"/>
          <w:color w:val="FF0000"/>
          <w:kern w:val="0"/>
          <w:sz w:val="24"/>
          <w:lang w:val="en-US" w:eastAsia="zh-CN"/>
        </w:rPr>
      </w:pPr>
      <w:r>
        <w:rPr>
          <w:rFonts w:hint="default" w:ascii="Times New Roman" w:hAnsi="Times New Roman" w:eastAsia="宋体" w:cs="Times New Roman"/>
          <w:color w:val="FF0000"/>
          <w:kern w:val="0"/>
          <w:sz w:val="24"/>
          <w:lang w:val="en-US" w:eastAsia="zh-CN"/>
        </w:rPr>
        <w:t>根据上表必选，选</w:t>
      </w:r>
      <w:r>
        <w:rPr>
          <w:rFonts w:hint="default" w:ascii="Times New Roman" w:hAnsi="Times New Roman" w:cs="Times New Roman"/>
          <w:color w:val="FF0000"/>
          <w:kern w:val="0"/>
          <w:sz w:val="24"/>
          <w:lang w:val="en-US" w:eastAsia="zh-CN"/>
        </w:rPr>
        <w:t>择</w:t>
      </w:r>
      <w:r>
        <w:rPr>
          <w:rFonts w:hint="default" w:ascii="Times New Roman" w:hAnsi="Times New Roman" w:eastAsia="宋体" w:cs="Times New Roman"/>
          <w:color w:val="FF0000"/>
          <w:kern w:val="0"/>
          <w:sz w:val="24"/>
          <w:lang w:val="en-US" w:eastAsia="zh-CN"/>
        </w:rPr>
        <w:t>干清粪工艺。</w:t>
      </w:r>
    </w:p>
    <w:p w14:paraId="1F26FDFC">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清粪系统结构独特，在每层鸡笼的下面都设置一条纵向封闭清</w:t>
      </w:r>
      <w:r>
        <w:rPr>
          <w:rFonts w:hint="eastAsia" w:ascii="Times New Roman" w:hAnsi="Times New Roman" w:cs="Times New Roman"/>
          <w:color w:val="auto"/>
          <w:kern w:val="0"/>
          <w:sz w:val="24"/>
          <w:lang w:val="en-US" w:eastAsia="zh-CN"/>
        </w:rPr>
        <w:t>粪便传送带</w:t>
      </w:r>
      <w:r>
        <w:rPr>
          <w:rFonts w:hint="default" w:ascii="Times New Roman" w:hAnsi="Times New Roman" w:eastAsia="宋体" w:cs="Times New Roman"/>
          <w:color w:val="auto"/>
          <w:kern w:val="0"/>
          <w:sz w:val="24"/>
          <w:lang w:val="en-US" w:eastAsia="zh-CN"/>
        </w:rPr>
        <w:t>，每层鸡群的鸡粪零散地落在清</w:t>
      </w:r>
      <w:r>
        <w:rPr>
          <w:rFonts w:hint="eastAsia" w:ascii="Times New Roman" w:hAnsi="Times New Roman" w:cs="Times New Roman"/>
          <w:color w:val="auto"/>
          <w:kern w:val="0"/>
          <w:sz w:val="24"/>
          <w:lang w:val="en-US" w:eastAsia="zh-CN"/>
        </w:rPr>
        <w:t>粪便传送带</w:t>
      </w:r>
      <w:r>
        <w:rPr>
          <w:rFonts w:hint="default" w:ascii="Times New Roman" w:hAnsi="Times New Roman" w:eastAsia="宋体" w:cs="Times New Roman"/>
          <w:color w:val="auto"/>
          <w:kern w:val="0"/>
          <w:sz w:val="24"/>
          <w:lang w:val="en-US" w:eastAsia="zh-CN"/>
        </w:rPr>
        <w:t>上。在粪便清理时，由横向刮板将鸡粪刮至位于鸡舍尾端的主输送带，主输送带采用全封闭式设计，防止鸡粪散落至地面，输送设施防晒、防雨、防渗设计，各鸡舍内的鸡粪均由主输送带直接运至鸡粪发酵</w:t>
      </w:r>
      <w:r>
        <w:rPr>
          <w:rFonts w:hint="eastAsia" w:ascii="Times New Roman" w:hAnsi="Times New Roman" w:cs="Times New Roman"/>
          <w:color w:val="auto"/>
          <w:kern w:val="0"/>
          <w:sz w:val="24"/>
          <w:lang w:val="en-US" w:eastAsia="zh-CN"/>
        </w:rPr>
        <w:t>处理厂</w:t>
      </w:r>
      <w:r>
        <w:rPr>
          <w:rFonts w:hint="default" w:ascii="Times New Roman" w:hAnsi="Times New Roman" w:eastAsia="宋体" w:cs="Times New Roman"/>
          <w:color w:val="auto"/>
          <w:kern w:val="0"/>
          <w:sz w:val="24"/>
          <w:lang w:val="en-US" w:eastAsia="zh-CN"/>
        </w:rPr>
        <w:t>。全厂鸡粪输送系统采用全自动化设计，鸡粪实行日产日清。</w:t>
      </w:r>
    </w:p>
    <w:p w14:paraId="2654BA93">
      <w:pPr>
        <w:numPr>
          <w:ilvl w:val="0"/>
          <w:numId w:val="0"/>
        </w:numPr>
        <w:autoSpaceDE w:val="0"/>
        <w:autoSpaceDN w:val="0"/>
        <w:spacing w:line="360" w:lineRule="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396865" cy="1329690"/>
            <wp:effectExtent l="0" t="0" r="13335" b="3810"/>
            <wp:docPr id="56"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00"/>
                    <pic:cNvPicPr>
                      <a:picLocks noChangeAspect="1"/>
                    </pic:cNvPicPr>
                  </pic:nvPicPr>
                  <pic:blipFill>
                    <a:blip r:embed="rId19"/>
                    <a:srcRect t="5591"/>
                    <a:stretch>
                      <a:fillRect/>
                    </a:stretch>
                  </pic:blipFill>
                  <pic:spPr>
                    <a:xfrm>
                      <a:off x="0" y="0"/>
                      <a:ext cx="5396865" cy="1329690"/>
                    </a:xfrm>
                    <a:prstGeom prst="rect">
                      <a:avLst/>
                    </a:prstGeom>
                    <a:noFill/>
                    <a:ln>
                      <a:noFill/>
                    </a:ln>
                  </pic:spPr>
                </pic:pic>
              </a:graphicData>
            </a:graphic>
          </wp:inline>
        </w:drawing>
      </w:r>
    </w:p>
    <w:p w14:paraId="1400F3C8">
      <w:pPr>
        <w:numPr>
          <w:ilvl w:val="0"/>
          <w:numId w:val="0"/>
        </w:numPr>
        <w:autoSpaceDE w:val="0"/>
        <w:autoSpaceDN w:val="0"/>
        <w:spacing w:line="360" w:lineRule="auto"/>
        <w:ind w:firstLine="482" w:firstLineChars="200"/>
        <w:jc w:val="center"/>
        <w:rPr>
          <w:rFonts w:hint="default" w:ascii="Times New Roman" w:hAnsi="Times New Roman" w:cs="Times New Roman"/>
          <w:b/>
          <w:color w:val="auto"/>
          <w:sz w:val="24"/>
          <w:lang w:val="en-US" w:eastAsia="zh-CN"/>
        </w:rPr>
      </w:pPr>
      <w:r>
        <w:rPr>
          <w:rFonts w:hint="default" w:ascii="Times New Roman" w:hAnsi="Times New Roman" w:cs="Times New Roman"/>
          <w:b/>
          <w:color w:val="auto"/>
          <w:sz w:val="24"/>
        </w:rPr>
        <w:t>图3-</w:t>
      </w:r>
      <w:r>
        <w:rPr>
          <w:rFonts w:hint="default" w:ascii="Times New Roman" w:hAnsi="Times New Roman" w:cs="Times New Roman"/>
          <w:b/>
          <w:color w:val="auto"/>
          <w:sz w:val="24"/>
          <w:lang w:val="en-US" w:eastAsia="zh-CN"/>
        </w:rPr>
        <w:t>7清粪工艺示意图</w:t>
      </w:r>
    </w:p>
    <w:p w14:paraId="248AE799">
      <w:pPr>
        <w:spacing w:line="360" w:lineRule="auto"/>
        <w:ind w:firstLine="480" w:firstLineChars="200"/>
        <w:rPr>
          <w:rFonts w:hint="default" w:ascii="Times New Roman" w:hAnsi="Times New Roman" w:eastAsia="宋体" w:cs="Times New Roman"/>
          <w:color w:val="FF0000"/>
          <w:kern w:val="0"/>
          <w:sz w:val="24"/>
          <w:lang w:val="en-US" w:eastAsia="zh-CN"/>
        </w:rPr>
      </w:pPr>
      <w:r>
        <w:rPr>
          <w:rFonts w:hint="default" w:ascii="Times New Roman" w:hAnsi="Times New Roman" w:eastAsia="宋体" w:cs="Times New Roman"/>
          <w:color w:val="FF0000"/>
          <w:kern w:val="0"/>
          <w:sz w:val="24"/>
          <w:lang w:val="en-US" w:eastAsia="zh-CN"/>
        </w:rPr>
        <w:t>（3）发酵工艺</w:t>
      </w:r>
    </w:p>
    <w:p w14:paraId="0C89A06B">
      <w:pPr>
        <w:pStyle w:val="119"/>
        <w:rPr>
          <w:rFonts w:hint="default" w:ascii="Times New Roman" w:hAnsi="Times New Roman" w:cs="Times New Roman"/>
          <w:color w:val="FF0000"/>
          <w:lang w:val="en-US" w:eastAsia="zh-CN"/>
        </w:rPr>
      </w:pPr>
    </w:p>
    <w:p w14:paraId="43497AEF">
      <w:pPr>
        <w:pStyle w:val="16"/>
        <w:bidi w:val="0"/>
        <w:jc w:val="center"/>
        <w:rPr>
          <w:rFonts w:hint="default" w:ascii="Times New Roman" w:hAnsi="Times New Roman" w:eastAsia="宋体" w:cs="Times New Roman"/>
          <w:b/>
          <w:bCs/>
          <w:color w:val="FF0000"/>
          <w:lang w:eastAsia="zh-CN"/>
        </w:rPr>
      </w:pPr>
      <w:r>
        <w:rPr>
          <w:rFonts w:hint="default" w:ascii="Times New Roman" w:hAnsi="Times New Roman" w:eastAsia="宋体" w:cs="Times New Roman"/>
          <w:b/>
          <w:bCs/>
          <w:color w:val="FF0000"/>
          <w:lang w:eastAsia="zh-CN"/>
        </w:rPr>
        <w:drawing>
          <wp:inline distT="0" distB="0" distL="114300" distR="114300">
            <wp:extent cx="2771775" cy="3448050"/>
            <wp:effectExtent l="0" t="0" r="9525" b="0"/>
            <wp:docPr id="80" name="图片 418" descr="175161688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18" descr="1751616887825"/>
                    <pic:cNvPicPr>
                      <a:picLocks noChangeAspect="1"/>
                    </pic:cNvPicPr>
                  </pic:nvPicPr>
                  <pic:blipFill>
                    <a:blip r:embed="rId20"/>
                    <a:stretch>
                      <a:fillRect/>
                    </a:stretch>
                  </pic:blipFill>
                  <pic:spPr>
                    <a:xfrm>
                      <a:off x="0" y="0"/>
                      <a:ext cx="2771775" cy="3448050"/>
                    </a:xfrm>
                    <a:prstGeom prst="rect">
                      <a:avLst/>
                    </a:prstGeom>
                    <a:noFill/>
                    <a:ln>
                      <a:noFill/>
                    </a:ln>
                  </pic:spPr>
                </pic:pic>
              </a:graphicData>
            </a:graphic>
          </wp:inline>
        </w:drawing>
      </w:r>
    </w:p>
    <w:p w14:paraId="65843805">
      <w:pPr>
        <w:pStyle w:val="16"/>
        <w:bidi w:val="0"/>
        <w:jc w:val="center"/>
        <w:rPr>
          <w:rFonts w:hint="default" w:ascii="Times New Roman" w:hAnsi="Times New Roman" w:cs="Times New Roman"/>
          <w:b/>
          <w:bCs/>
          <w:color w:val="FF0000"/>
          <w:lang w:val="en-US" w:eastAsia="zh-CN"/>
        </w:rPr>
      </w:pPr>
      <w:r>
        <w:rPr>
          <w:rFonts w:hint="default" w:ascii="Times New Roman" w:hAnsi="Times New Roman" w:cs="Times New Roman"/>
          <w:b/>
          <w:bCs/>
          <w:color w:val="FF0000"/>
        </w:rPr>
        <w:t>图</w:t>
      </w:r>
      <w:r>
        <w:rPr>
          <w:rFonts w:hint="default" w:ascii="Times New Roman" w:hAnsi="Times New Roman" w:cs="Times New Roman"/>
          <w:b/>
          <w:bCs/>
          <w:color w:val="FF0000"/>
          <w:lang w:val="en-US" w:eastAsia="zh-CN"/>
        </w:rPr>
        <w:t>3.4-5粪污处理工艺流程及产污环节</w:t>
      </w:r>
    </w:p>
    <w:p w14:paraId="09289B19">
      <w:pPr>
        <w:numPr>
          <w:ilvl w:val="0"/>
          <w:numId w:val="0"/>
        </w:numPr>
        <w:autoSpaceDE w:val="0"/>
        <w:autoSpaceDN w:val="0"/>
        <w:spacing w:line="360" w:lineRule="auto"/>
        <w:ind w:firstLine="480" w:firstLineChars="20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发酵工艺说明：</w:t>
      </w:r>
    </w:p>
    <w:p w14:paraId="3EB4B409">
      <w:pPr>
        <w:numPr>
          <w:ilvl w:val="0"/>
          <w:numId w:val="0"/>
        </w:numPr>
        <w:autoSpaceDE w:val="0"/>
        <w:autoSpaceDN w:val="0"/>
        <w:spacing w:line="360" w:lineRule="auto"/>
        <w:ind w:firstLine="480" w:firstLineChars="200"/>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i w:val="0"/>
          <w:iCs w:val="0"/>
          <w:caps w:val="0"/>
          <w:spacing w:val="0"/>
          <w:sz w:val="24"/>
          <w:szCs w:val="24"/>
          <w:shd w:val="clear" w:fill="FFFFFF"/>
          <w:lang w:val="en-US" w:eastAsia="zh-CN"/>
        </w:rPr>
        <w:t>本项目采用</w:t>
      </w:r>
      <w:r>
        <w:rPr>
          <w:rFonts w:hint="default" w:ascii="Times New Roman" w:hAnsi="Times New Roman" w:eastAsia="Segoe UI" w:cs="Times New Roman"/>
          <w:i w:val="0"/>
          <w:iCs w:val="0"/>
          <w:caps w:val="0"/>
          <w:spacing w:val="0"/>
          <w:sz w:val="24"/>
          <w:szCs w:val="24"/>
          <w:shd w:val="clear" w:fill="FFFFFF"/>
        </w:rPr>
        <w:t>好氧发酵</w:t>
      </w:r>
      <w:r>
        <w:rPr>
          <w:rFonts w:hint="default" w:ascii="Times New Roman" w:hAnsi="Times New Roman" w:eastAsia="宋体" w:cs="Times New Roman"/>
          <w:i w:val="0"/>
          <w:iCs w:val="0"/>
          <w:caps w:val="0"/>
          <w:spacing w:val="0"/>
          <w:sz w:val="24"/>
          <w:szCs w:val="24"/>
          <w:shd w:val="clear" w:fill="FFFFFF"/>
          <w:lang w:eastAsia="zh-CN"/>
        </w:rPr>
        <w:t>。</w:t>
      </w:r>
    </w:p>
    <w:p w14:paraId="40DF6E11">
      <w:pPr>
        <w:numPr>
          <w:ilvl w:val="0"/>
          <w:numId w:val="0"/>
        </w:numPr>
        <w:autoSpaceDE w:val="0"/>
        <w:autoSpaceDN w:val="0"/>
        <w:spacing w:line="360" w:lineRule="auto"/>
        <w:ind w:firstLine="480" w:firstLineChars="20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掺混比例：鸡粪与辅料的比例为 1:1 至 1:2，碳氮比为 20:1 至 30:1。</w:t>
      </w:r>
    </w:p>
    <w:p w14:paraId="19826494">
      <w:pPr>
        <w:numPr>
          <w:ilvl w:val="0"/>
          <w:numId w:val="0"/>
        </w:numPr>
        <w:autoSpaceDE w:val="0"/>
        <w:autoSpaceDN w:val="0"/>
        <w:spacing w:line="360" w:lineRule="auto"/>
        <w:ind w:firstLine="480" w:firstLineChars="20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含水率：初始含水率控制在 55% 至 65%。</w:t>
      </w:r>
    </w:p>
    <w:p w14:paraId="57207E14">
      <w:pPr>
        <w:numPr>
          <w:ilvl w:val="0"/>
          <w:numId w:val="0"/>
        </w:numPr>
        <w:autoSpaceDE w:val="0"/>
        <w:autoSpaceDN w:val="0"/>
        <w:spacing w:line="360" w:lineRule="auto"/>
        <w:ind w:firstLine="480" w:firstLineChars="20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温度变化规律：快速升温至 50℃ 至 65℃，高温阶段维持 5 至 7天，随后降温。</w:t>
      </w:r>
    </w:p>
    <w:p w14:paraId="148A13EA">
      <w:pPr>
        <w:numPr>
          <w:ilvl w:val="0"/>
          <w:numId w:val="0"/>
        </w:numPr>
        <w:autoSpaceDE w:val="0"/>
        <w:autoSpaceDN w:val="0"/>
        <w:spacing w:line="360" w:lineRule="auto"/>
        <w:ind w:firstLine="480" w:firstLineChars="20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发酵时长：整个发酵过程持续 7 至 15天。</w:t>
      </w:r>
    </w:p>
    <w:p w14:paraId="7C1BDDFD">
      <w:pPr>
        <w:numPr>
          <w:ilvl w:val="0"/>
          <w:numId w:val="0"/>
        </w:numPr>
        <w:autoSpaceDE w:val="0"/>
        <w:autoSpaceDN w:val="0"/>
        <w:spacing w:line="360" w:lineRule="auto"/>
        <w:ind w:firstLine="480" w:firstLineChars="20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翻堆操作：发酵过程中需要定期翻堆，以确保物料均匀混合和氧气供应。</w:t>
      </w:r>
    </w:p>
    <w:p w14:paraId="3E7A604B">
      <w:pPr>
        <w:numPr>
          <w:ilvl w:val="0"/>
          <w:numId w:val="0"/>
        </w:numPr>
        <w:autoSpaceDE w:val="0"/>
        <w:autoSpaceDN w:val="0"/>
        <w:spacing w:line="360" w:lineRule="auto"/>
        <w:ind w:firstLine="480" w:firstLineChars="200"/>
        <w:rPr>
          <w:rFonts w:hint="default" w:ascii="Times New Roman" w:hAnsi="Times New Roman" w:eastAsia="宋体" w:cs="Times New Roman"/>
          <w:color w:val="FF0000"/>
          <w:kern w:val="0"/>
          <w:sz w:val="24"/>
          <w:lang w:val="en-US" w:eastAsia="zh-CN"/>
        </w:rPr>
      </w:pPr>
      <w:r>
        <w:rPr>
          <w:rFonts w:hint="default" w:ascii="Times New Roman" w:hAnsi="Times New Roman" w:cs="Times New Roman"/>
          <w:color w:val="FF0000"/>
          <w:sz w:val="24"/>
          <w:lang w:val="en-US" w:eastAsia="zh-CN"/>
        </w:rPr>
        <w:t>本项目设计建设鸡粪发酵处理场一座，主要用于堆存收集的鸡粪，发酵后外售。鸡粪发酵处理场的设计按照《畜禽粪便贮存设施设计要求》（GB/T27622-2011）中相关要求进行设计：采用地上封闭式的“n”型槽式堆粪池。地面要求：地面为混凝土结构。地面向“n”型槽的开口方向倾斜，坡度为1%，坡底设排污沟；地面应能满足承受粪便运输车以及所存放粪便荷载的要求；地面应进行防水处理，地面防渗性能要求满足GB18598相关规定。墙体：</w:t>
      </w:r>
      <w:r>
        <w:rPr>
          <w:rFonts w:hint="default" w:ascii="Times New Roman" w:hAnsi="Times New Roman" w:cs="Times New Roman"/>
          <w:color w:val="FF0000"/>
          <w:sz w:val="24"/>
          <w:highlight w:val="none"/>
          <w:lang w:val="en-US" w:eastAsia="zh-CN"/>
        </w:rPr>
        <w:t>采用砖混或混凝土结构、水泥抹面；墙体厚度不少于240mm，墙体防渗按GB50069相关规定执行。</w:t>
      </w:r>
      <w:r>
        <w:rPr>
          <w:rFonts w:hint="default" w:ascii="Times New Roman" w:hAnsi="Times New Roman" w:cs="Times New Roman"/>
          <w:color w:val="FF0000"/>
          <w:sz w:val="24"/>
          <w:lang w:val="en-US" w:eastAsia="zh-CN"/>
        </w:rPr>
        <w:t>设施周围应设置明显的标志以及围栏等防护设施；宜设专门通道直接与外界相通，避免粪便运输经过生活及生产区；设施周围进行适当绿化按NY/T1169中相关要求执行。</w:t>
      </w:r>
    </w:p>
    <w:p w14:paraId="2CAB8CBB">
      <w:pPr>
        <w:pStyle w:val="16"/>
        <w:bidi w:val="0"/>
        <w:rPr>
          <w:rFonts w:hint="default" w:ascii="Times New Roman" w:hAnsi="Times New Roman" w:cs="Times New Roman"/>
          <w:color w:val="FF0000"/>
          <w:lang w:val="en-US"/>
        </w:rPr>
      </w:pPr>
      <w:r>
        <w:rPr>
          <w:rFonts w:hint="default" w:ascii="Times New Roman" w:hAnsi="Times New Roman" w:cs="Times New Roman"/>
          <w:color w:val="FF0000"/>
          <w:lang w:val="en-US" w:eastAsia="zh-CN"/>
        </w:rPr>
        <w:t>项目堆肥发酵过程会产生少量恶臭废气，恶臭气体主要成分为H</w:t>
      </w:r>
      <w:r>
        <w:rPr>
          <w:rFonts w:hint="default" w:ascii="Times New Roman" w:hAnsi="Times New Roman" w:cs="Times New Roman"/>
          <w:color w:val="FF0000"/>
          <w:vertAlign w:val="subscript"/>
          <w:lang w:val="en-US" w:eastAsia="zh-CN"/>
        </w:rPr>
        <w:t>2</w:t>
      </w:r>
      <w:r>
        <w:rPr>
          <w:rFonts w:hint="default" w:ascii="Times New Roman" w:hAnsi="Times New Roman" w:cs="Times New Roman"/>
          <w:color w:val="FF0000"/>
          <w:lang w:val="en-US" w:eastAsia="zh-CN"/>
        </w:rPr>
        <w:t>S、NH</w:t>
      </w:r>
      <w:r>
        <w:rPr>
          <w:rFonts w:hint="default" w:ascii="Times New Roman" w:hAnsi="Times New Roman" w:cs="Times New Roman"/>
          <w:color w:val="FF0000"/>
          <w:vertAlign w:val="subscript"/>
          <w:lang w:val="en-US" w:eastAsia="zh-CN"/>
        </w:rPr>
        <w:t>3</w:t>
      </w:r>
      <w:r>
        <w:rPr>
          <w:rFonts w:hint="default" w:ascii="Times New Roman" w:hAnsi="Times New Roman" w:cs="Times New Roman"/>
          <w:color w:val="FF0000"/>
          <w:lang w:val="en-US" w:eastAsia="zh-CN"/>
        </w:rPr>
        <w:t>等。</w:t>
      </w:r>
    </w:p>
    <w:p w14:paraId="1ACC66AA">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（4）消毒工艺</w:t>
      </w:r>
    </w:p>
    <w:p w14:paraId="6A03E7C6">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项目实施严格的兽医卫生消毒、免疫程序，保证鸡群健康。所有与外界接触进出口均设有消毒设施，人员进入前要更衣室洗手、更换外套、戴上防护帽及口罩并套上一次性鞋套。各鸡舍养殖设备均采用消毒液进行喷雾消毒或消毒剂喷洒。</w:t>
      </w:r>
    </w:p>
    <w:p w14:paraId="6A993993">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病死鸡尸体处理</w:t>
      </w:r>
    </w:p>
    <w:p w14:paraId="7E5DE55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本项目产生的病死鸡采用安全填埋井填埋处理，本项目设置安全填埋井1座，位于场区东南角，采用混凝土结构，井底及四周做重点防渗层，防渗要求：等效黏土防渗层Mb≥6.0m，k≤1.0×10～</w:t>
      </w:r>
      <w:r>
        <w:rPr>
          <w:rFonts w:hint="default" w:ascii="Times New Roman" w:hAnsi="Times New Roman" w:cs="Times New Roman"/>
          <w:color w:val="auto"/>
          <w:sz w:val="24"/>
          <w:vertAlign w:val="superscript"/>
          <w:lang w:val="en-US" w:eastAsia="zh-CN"/>
        </w:rPr>
        <w:t>7</w:t>
      </w:r>
      <w:r>
        <w:rPr>
          <w:rFonts w:hint="default" w:ascii="Times New Roman" w:hAnsi="Times New Roman" w:cs="Times New Roman"/>
          <w:color w:val="auto"/>
          <w:sz w:val="24"/>
          <w:lang w:val="en-US" w:eastAsia="zh-CN"/>
        </w:rPr>
        <w:t>cm/s；或参照GB18598执行。安全填埋井尺寸为：</w:t>
      </w:r>
      <w:r>
        <w:rPr>
          <w:rFonts w:hint="default" w:ascii="Times New Roman" w:hAnsi="Times New Roman" w:cs="Times New Roman"/>
          <w:color w:val="auto"/>
          <w:sz w:val="24"/>
          <w:highlight w:val="none"/>
          <w:lang w:val="en-US" w:eastAsia="zh-CN"/>
        </w:rPr>
        <w:t>长3m×宽3m×深2m，</w:t>
      </w:r>
      <w:r>
        <w:rPr>
          <w:rFonts w:hint="default" w:ascii="Times New Roman" w:hAnsi="Times New Roman" w:cs="Times New Roman"/>
          <w:color w:val="auto"/>
          <w:sz w:val="24"/>
          <w:lang w:val="en-US" w:eastAsia="zh-CN"/>
        </w:rPr>
        <w:t>井口加盖密封。</w:t>
      </w:r>
    </w:p>
    <w:p w14:paraId="40D187A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具体做法：进行填埋时，在每次投入病死鸡后，应覆盖一层厚度大于10cm的熟石灰，井填满后，需用黏土填埋压实并封口。</w:t>
      </w:r>
    </w:p>
    <w:p w14:paraId="50ED271B">
      <w:pPr>
        <w:widowControl w:val="0"/>
        <w:spacing w:before="0" w:beforeLines="0" w:after="0" w:afterLines="0" w:line="360" w:lineRule="auto"/>
        <w:ind w:firstLine="480" w:firstLineChars="200"/>
        <w:jc w:val="both"/>
        <w:outlineLvl w:val="9"/>
        <w:rPr>
          <w:rFonts w:hint="default" w:ascii="Times New Roman" w:hAnsi="Times New Roman" w:eastAsia="宋体" w:cs="Times New Roman"/>
          <w:b w:val="0"/>
          <w:kern w:val="2"/>
          <w:sz w:val="24"/>
          <w:szCs w:val="22"/>
          <w:lang w:val="en-US" w:eastAsia="zh-CN" w:bidi="ar-SA"/>
        </w:rPr>
      </w:pPr>
      <w:r>
        <w:rPr>
          <w:rFonts w:hint="default" w:ascii="Times New Roman" w:hAnsi="Times New Roman" w:eastAsia="宋体" w:cs="Times New Roman"/>
          <w:b w:val="0"/>
          <w:kern w:val="2"/>
          <w:sz w:val="24"/>
          <w:szCs w:val="22"/>
          <w:lang w:val="en-US" w:eastAsia="zh-CN" w:bidi="ar-SA"/>
        </w:rPr>
        <w:t>（6）饲料加工</w:t>
      </w:r>
    </w:p>
    <w:p w14:paraId="75C74C41">
      <w:pPr>
        <w:widowControl w:val="0"/>
        <w:spacing w:before="0" w:beforeLines="0" w:after="0" w:afterLines="0" w:line="360" w:lineRule="auto"/>
        <w:ind w:firstLine="480" w:firstLineChars="200"/>
        <w:jc w:val="both"/>
        <w:outlineLvl w:val="9"/>
        <w:rPr>
          <w:rFonts w:hint="default" w:ascii="Times New Roman" w:hAnsi="Times New Roman" w:eastAsia="宋体" w:cs="Times New Roman"/>
          <w:b w:val="0"/>
          <w:kern w:val="2"/>
          <w:sz w:val="24"/>
          <w:szCs w:val="22"/>
          <w:lang w:val="en-US" w:eastAsia="zh-CN" w:bidi="ar-SA"/>
        </w:rPr>
      </w:pPr>
      <w:r>
        <w:rPr>
          <w:rFonts w:hint="default" w:ascii="Times New Roman" w:hAnsi="Times New Roman" w:eastAsia="宋体" w:cs="Times New Roman"/>
          <w:b w:val="0"/>
          <w:kern w:val="2"/>
          <w:sz w:val="24"/>
          <w:szCs w:val="22"/>
          <w:lang w:val="en-US" w:eastAsia="zh-CN" w:bidi="ar-SA"/>
        </w:rPr>
        <w:t>项目所用精饲料主要包括玉米、麸皮、饼粕以及矿物质饲料（预混料）等，其中麸皮、饼粕在备料时可直接进行搅拌，无需加工，矿物质饲料（预混料）包括食盐、小苏打、微量元素、维生素添加剂等，均为外购袋装成品，亦可直接加入饲料搅拌车混料，玉米需经粉碎机粉碎成粉料，其生产工艺如下：</w:t>
      </w:r>
    </w:p>
    <w:p w14:paraId="367F8170">
      <w:pPr>
        <w:widowControl w:val="0"/>
        <w:spacing w:before="0" w:beforeLines="0" w:after="0" w:afterLines="0" w:line="360" w:lineRule="auto"/>
        <w:ind w:firstLine="480" w:firstLineChars="200"/>
        <w:jc w:val="both"/>
        <w:outlineLvl w:val="9"/>
        <w:rPr>
          <w:rFonts w:hint="default" w:ascii="Times New Roman" w:hAnsi="Times New Roman" w:eastAsia="宋体" w:cs="Times New Roman"/>
          <w:b w:val="0"/>
          <w:kern w:val="2"/>
          <w:sz w:val="24"/>
          <w:szCs w:val="22"/>
          <w:lang w:val="en-US" w:eastAsia="zh-CN" w:bidi="ar-SA"/>
        </w:rPr>
      </w:pPr>
      <w:r>
        <w:rPr>
          <w:rFonts w:hint="default" w:ascii="Times New Roman" w:hAnsi="Times New Roman" w:eastAsia="宋体" w:cs="Times New Roman"/>
          <w:b w:val="0"/>
          <w:kern w:val="2"/>
          <w:sz w:val="24"/>
          <w:szCs w:val="22"/>
          <w:lang w:val="en-US" w:eastAsia="zh-CN" w:bidi="ar-SA"/>
        </w:rPr>
        <w:t>原料玉米进场后首先运至饲料间内，再通过输送机输送至去石机去除小石子，将玉米颗粒送入高效制渣机破碎后进入磨粉机制粉，再经管道风运提粉至双仓筛进行筛分，满足饲喂要求粒径的玉米粉进入成品仓待用，筛上物料返回磨粉机再次加工。</w:t>
      </w:r>
      <w:r>
        <w:rPr>
          <w:rFonts w:hint="default" w:ascii="Times New Roman" w:hAnsi="Times New Roman" w:eastAsia="宋体" w:cs="Times New Roman"/>
          <w:color w:val="0000FF"/>
          <w:sz w:val="24"/>
          <w:szCs w:val="24"/>
          <w:highlight w:val="none"/>
        </w:rPr>
        <w:t>粉碎、搅拌设备运行时保持</w:t>
      </w:r>
      <w:r>
        <w:rPr>
          <w:rFonts w:hint="default" w:ascii="Times New Roman" w:hAnsi="Times New Roman" w:eastAsia="宋体" w:cs="Times New Roman"/>
          <w:color w:val="0000FF"/>
          <w:sz w:val="24"/>
          <w:szCs w:val="24"/>
          <w:highlight w:val="none"/>
          <w:lang w:eastAsia="zh-CN"/>
        </w:rPr>
        <w:t>封闭</w:t>
      </w:r>
      <w:r>
        <w:rPr>
          <w:rFonts w:hint="default" w:ascii="Times New Roman" w:hAnsi="Times New Roman" w:eastAsia="宋体" w:cs="Times New Roman"/>
          <w:color w:val="0000FF"/>
          <w:sz w:val="24"/>
          <w:szCs w:val="24"/>
          <w:highlight w:val="none"/>
        </w:rPr>
        <w:t>，并通过负压吸风收集粉尘，保证粉尘100%被收集。但粉碎机及配料仓粉尘沉降室上设置有换气口，主要作用是为了使沉降室中的气压平衡，换气口设备自带设置脉冲布袋除尘器</w:t>
      </w:r>
      <w:r>
        <w:rPr>
          <w:rFonts w:hint="default" w:ascii="Times New Roman" w:hAnsi="Times New Roman" w:eastAsia="宋体" w:cs="Times New Roman"/>
          <w:color w:val="0000FF"/>
          <w:sz w:val="24"/>
          <w:szCs w:val="24"/>
          <w:highlight w:val="none"/>
          <w:lang w:val="en-US" w:eastAsia="zh-CN"/>
        </w:rPr>
        <w:t>处理后经1根15米排气筒（DA001）排放</w:t>
      </w:r>
      <w:r>
        <w:rPr>
          <w:rFonts w:hint="default" w:ascii="Times New Roman" w:hAnsi="Times New Roman" w:eastAsia="宋体" w:cs="Times New Roman"/>
          <w:b w:val="0"/>
          <w:color w:val="0000FF"/>
          <w:kern w:val="2"/>
          <w:sz w:val="24"/>
          <w:szCs w:val="24"/>
          <w:lang w:val="en-US" w:eastAsia="zh-CN" w:bidi="ar-SA"/>
        </w:rPr>
        <w:t>，除尘器收集的</w:t>
      </w:r>
      <w:r>
        <w:rPr>
          <w:rFonts w:hint="default" w:ascii="Times New Roman" w:hAnsi="Times New Roman" w:eastAsia="宋体" w:cs="Times New Roman"/>
          <w:b w:val="0"/>
          <w:color w:val="0000FF"/>
          <w:kern w:val="2"/>
          <w:sz w:val="24"/>
          <w:szCs w:val="22"/>
          <w:lang w:val="en-US" w:eastAsia="zh-CN" w:bidi="ar-SA"/>
        </w:rPr>
        <w:t>粉尘最终用于饲料拌和，综合利用</w:t>
      </w:r>
      <w:r>
        <w:rPr>
          <w:rFonts w:hint="default" w:ascii="Times New Roman" w:hAnsi="Times New Roman" w:eastAsia="宋体" w:cs="Times New Roman"/>
          <w:b w:val="0"/>
          <w:kern w:val="2"/>
          <w:sz w:val="24"/>
          <w:szCs w:val="22"/>
          <w:lang w:val="en-US" w:eastAsia="zh-CN" w:bidi="ar-SA"/>
        </w:rPr>
        <w:t>。饲料加工位于封闭的车间内，产生的粉尘经布袋除尘器处理后对外环境影响不大。</w:t>
      </w:r>
    </w:p>
    <w:p w14:paraId="32CDF58A">
      <w:pPr>
        <w:widowControl w:val="0"/>
        <w:spacing w:before="0" w:beforeLines="0" w:after="0" w:afterLines="0" w:line="360" w:lineRule="auto"/>
        <w:ind w:firstLine="482" w:firstLineChars="200"/>
        <w:jc w:val="both"/>
        <w:outlineLvl w:val="9"/>
        <w:rPr>
          <w:rFonts w:hint="default" w:ascii="Times New Roman" w:hAnsi="Times New Roman" w:eastAsia="宋体" w:cs="Times New Roman"/>
          <w:b w:val="0"/>
          <w:kern w:val="2"/>
          <w:sz w:val="24"/>
          <w:szCs w:val="22"/>
          <w:lang w:val="en-US" w:eastAsia="zh-CN" w:bidi="ar-SA"/>
        </w:rPr>
      </w:pPr>
      <w:r>
        <w:rPr>
          <w:rFonts w:hint="default" w:ascii="Times New Roman" w:hAnsi="Times New Roman" w:eastAsia="宋体" w:cs="Times New Roman"/>
          <w:b/>
          <w:bCs/>
          <w:kern w:val="2"/>
          <w:sz w:val="24"/>
          <w:szCs w:val="22"/>
          <w:lang w:val="en-US" w:eastAsia="zh-CN" w:bidi="ar-SA"/>
        </w:rPr>
        <w:t>该工序的主要污染源为：</w:t>
      </w:r>
      <w:r>
        <w:rPr>
          <w:rFonts w:hint="default" w:ascii="Times New Roman" w:hAnsi="Times New Roman" w:eastAsia="宋体" w:cs="Times New Roman"/>
          <w:b w:val="0"/>
          <w:kern w:val="2"/>
          <w:sz w:val="24"/>
          <w:szCs w:val="22"/>
          <w:lang w:val="en-US" w:eastAsia="zh-CN" w:bidi="ar-SA"/>
        </w:rPr>
        <w:t>原料加工破碎及搅拌过程产生的粉尘；废包装材料及饲料，收集后外售。</w:t>
      </w:r>
    </w:p>
    <w:p w14:paraId="15CC0B29">
      <w:pPr>
        <w:widowControl w:val="0"/>
        <w:spacing w:before="156" w:beforeLines="50" w:after="0" w:afterLines="0" w:line="240" w:lineRule="auto"/>
        <w:ind w:firstLine="0" w:firstLineChars="0"/>
        <w:jc w:val="center"/>
        <w:outlineLvl w:val="9"/>
        <w:rPr>
          <w:rFonts w:hint="default" w:ascii="Times New Roman" w:hAnsi="Times New Roman" w:eastAsia="黑体" w:cs="Times New Roman"/>
          <w:b/>
          <w:kern w:val="2"/>
          <w:sz w:val="21"/>
          <w:szCs w:val="22"/>
          <w:lang w:val="en-US" w:eastAsia="zh-CN" w:bidi="ar-SA"/>
        </w:rPr>
      </w:pPr>
      <w:r>
        <w:rPr>
          <w:rFonts w:hint="default" w:ascii="Times New Roman" w:hAnsi="Times New Roman" w:cs="Times New Roman"/>
        </w:rPr>
        <w:drawing>
          <wp:inline distT="0" distB="0" distL="114300" distR="114300">
            <wp:extent cx="4724400" cy="1647825"/>
            <wp:effectExtent l="0" t="0" r="0" b="9525"/>
            <wp:docPr id="57"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5"/>
                    <pic:cNvPicPr>
                      <a:picLocks noChangeAspect="1"/>
                    </pic:cNvPicPr>
                  </pic:nvPicPr>
                  <pic:blipFill>
                    <a:blip r:embed="rId21"/>
                    <a:stretch>
                      <a:fillRect/>
                    </a:stretch>
                  </pic:blipFill>
                  <pic:spPr>
                    <a:xfrm>
                      <a:off x="0" y="0"/>
                      <a:ext cx="4724400" cy="1647825"/>
                    </a:xfrm>
                    <a:prstGeom prst="rect">
                      <a:avLst/>
                    </a:prstGeom>
                    <a:noFill/>
                    <a:ln>
                      <a:noFill/>
                    </a:ln>
                  </pic:spPr>
                </pic:pic>
              </a:graphicData>
            </a:graphic>
          </wp:inline>
        </w:drawing>
      </w:r>
    </w:p>
    <w:p w14:paraId="0B742E11">
      <w:pPr>
        <w:widowControl w:val="0"/>
        <w:spacing w:before="156" w:beforeLines="50" w:after="0" w:afterLines="0" w:line="240" w:lineRule="auto"/>
        <w:ind w:firstLine="0" w:firstLineChars="0"/>
        <w:jc w:val="center"/>
        <w:outlineLvl w:val="9"/>
        <w:rPr>
          <w:rFonts w:hint="default" w:ascii="Times New Roman" w:hAnsi="Times New Roman" w:cs="Times New Roman"/>
          <w:color w:val="auto"/>
          <w:sz w:val="24"/>
          <w:lang w:val="en-US" w:eastAsia="zh-CN"/>
        </w:rPr>
      </w:pPr>
      <w:r>
        <w:rPr>
          <w:rFonts w:hint="default" w:ascii="Times New Roman" w:hAnsi="Times New Roman" w:eastAsia="黑体" w:cs="Times New Roman"/>
          <w:b/>
          <w:kern w:val="2"/>
          <w:sz w:val="24"/>
          <w:szCs w:val="28"/>
          <w:lang w:val="en-US" w:eastAsia="zh-CN" w:bidi="ar-SA"/>
        </w:rPr>
        <w:t>图3-8饲料加工生产工艺流程及产污节点图</w:t>
      </w:r>
    </w:p>
    <w:p w14:paraId="488051B0">
      <w:pPr>
        <w:pStyle w:val="4"/>
        <w:bidi w:val="0"/>
        <w:rPr>
          <w:rFonts w:hint="default" w:ascii="Times New Roman" w:hAnsi="Times New Roman" w:cs="Times New Roman"/>
          <w:color w:val="auto"/>
          <w:lang w:val="en-US" w:eastAsia="zh-CN"/>
        </w:rPr>
      </w:pPr>
      <w:bookmarkStart w:id="52" w:name="_Toc10056"/>
      <w:r>
        <w:rPr>
          <w:rFonts w:hint="default" w:ascii="Times New Roman" w:hAnsi="Times New Roman" w:cs="Times New Roman"/>
          <w:color w:val="auto"/>
          <w:lang w:val="en-US" w:eastAsia="zh-CN"/>
        </w:rPr>
        <w:t>影响因素分析</w:t>
      </w:r>
      <w:bookmarkEnd w:id="52"/>
    </w:p>
    <w:p w14:paraId="4B4397A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项目施工期及</w:t>
      </w:r>
      <w:r>
        <w:rPr>
          <w:rFonts w:hint="default" w:ascii="Times New Roman" w:hAnsi="Times New Roman" w:cs="Times New Roman"/>
          <w:color w:val="auto"/>
          <w:lang w:eastAsia="zh-CN"/>
        </w:rPr>
        <w:t>运营</w:t>
      </w:r>
      <w:r>
        <w:rPr>
          <w:rFonts w:hint="default" w:ascii="Times New Roman" w:hAnsi="Times New Roman" w:cs="Times New Roman"/>
          <w:color w:val="auto"/>
        </w:rPr>
        <w:t>期的主要环境影响因素详见表3.</w:t>
      </w:r>
      <w:r>
        <w:rPr>
          <w:rFonts w:hint="default" w:ascii="Times New Roman" w:hAnsi="Times New Roman" w:cs="Times New Roman"/>
          <w:color w:val="auto"/>
          <w:lang w:val="en-US" w:eastAsia="zh-CN"/>
        </w:rPr>
        <w:t>4</w:t>
      </w:r>
      <w:r>
        <w:rPr>
          <w:rFonts w:hint="default" w:ascii="Times New Roman" w:hAnsi="Times New Roman" w:cs="Times New Roman"/>
          <w:color w:val="auto"/>
        </w:rPr>
        <w:t>-1。</w:t>
      </w:r>
    </w:p>
    <w:p w14:paraId="0AC3C93D">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项目主要环境影响因素一览表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01"/>
        <w:gridCol w:w="1485"/>
        <w:gridCol w:w="1560"/>
        <w:gridCol w:w="4323"/>
      </w:tblGrid>
      <w:tr w14:paraId="3F06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598" w:type="pct"/>
            <w:tcBorders>
              <w:tl2br w:val="nil"/>
              <w:tr2bl w:val="nil"/>
            </w:tcBorders>
            <w:noWrap/>
            <w:vAlign w:val="center"/>
          </w:tcPr>
          <w:p w14:paraId="6A400504">
            <w:pPr>
              <w:widowControl/>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污染类型</w:t>
            </w:r>
          </w:p>
        </w:tc>
        <w:tc>
          <w:tcPr>
            <w:tcW w:w="887" w:type="pct"/>
            <w:tcBorders>
              <w:tl2br w:val="nil"/>
              <w:tr2bl w:val="nil"/>
            </w:tcBorders>
            <w:noWrap/>
            <w:vAlign w:val="center"/>
          </w:tcPr>
          <w:p w14:paraId="7E60A29D">
            <w:pPr>
              <w:widowControl/>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产污环节</w:t>
            </w:r>
          </w:p>
        </w:tc>
        <w:tc>
          <w:tcPr>
            <w:tcW w:w="932" w:type="pct"/>
            <w:tcBorders>
              <w:tl2br w:val="nil"/>
              <w:tr2bl w:val="nil"/>
            </w:tcBorders>
            <w:noWrap/>
            <w:vAlign w:val="center"/>
          </w:tcPr>
          <w:p w14:paraId="74877D81">
            <w:pPr>
              <w:widowControl/>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主要污染物</w:t>
            </w:r>
          </w:p>
        </w:tc>
        <w:tc>
          <w:tcPr>
            <w:tcW w:w="2582" w:type="pct"/>
            <w:tcBorders>
              <w:tl2br w:val="nil"/>
              <w:tr2bl w:val="nil"/>
            </w:tcBorders>
            <w:noWrap/>
            <w:vAlign w:val="center"/>
          </w:tcPr>
          <w:p w14:paraId="5F52AA9F">
            <w:pPr>
              <w:widowControl/>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处理措施</w:t>
            </w:r>
          </w:p>
        </w:tc>
      </w:tr>
      <w:tr w14:paraId="4744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98" w:type="pct"/>
            <w:vMerge w:val="restart"/>
            <w:tcBorders>
              <w:tl2br w:val="nil"/>
              <w:tr2bl w:val="nil"/>
            </w:tcBorders>
            <w:noWrap/>
            <w:vAlign w:val="center"/>
          </w:tcPr>
          <w:p w14:paraId="5740E75A">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废气</w:t>
            </w:r>
          </w:p>
        </w:tc>
        <w:tc>
          <w:tcPr>
            <w:tcW w:w="887" w:type="pct"/>
            <w:tcBorders>
              <w:tl2br w:val="nil"/>
              <w:tr2bl w:val="nil"/>
            </w:tcBorders>
            <w:noWrap/>
            <w:vAlign w:val="center"/>
          </w:tcPr>
          <w:p w14:paraId="50572871">
            <w:pPr>
              <w:widowControl/>
              <w:spacing w:line="240" w:lineRule="auto"/>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饲料加工</w:t>
            </w:r>
          </w:p>
        </w:tc>
        <w:tc>
          <w:tcPr>
            <w:tcW w:w="932" w:type="pct"/>
            <w:tcBorders>
              <w:tl2br w:val="nil"/>
              <w:tr2bl w:val="nil"/>
            </w:tcBorders>
            <w:noWrap/>
            <w:vAlign w:val="center"/>
          </w:tcPr>
          <w:p w14:paraId="0AEBEEE5">
            <w:pPr>
              <w:widowControl/>
              <w:spacing w:line="240" w:lineRule="auto"/>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颗粒物</w:t>
            </w:r>
          </w:p>
        </w:tc>
        <w:tc>
          <w:tcPr>
            <w:tcW w:w="2582" w:type="pct"/>
            <w:tcBorders>
              <w:tl2br w:val="nil"/>
              <w:tr2bl w:val="nil"/>
            </w:tcBorders>
            <w:noWrap/>
            <w:vAlign w:val="center"/>
          </w:tcPr>
          <w:p w14:paraId="1FEA8BA9">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粉碎、搅拌产生的粉尘经集气罩收集通过布袋除尘器处理后，由一根不低于15m高的排气筒排放</w:t>
            </w:r>
          </w:p>
        </w:tc>
      </w:tr>
      <w:tr w14:paraId="7666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98" w:type="pct"/>
            <w:vMerge w:val="continue"/>
            <w:tcBorders>
              <w:tl2br w:val="nil"/>
              <w:tr2bl w:val="nil"/>
            </w:tcBorders>
            <w:noWrap/>
            <w:vAlign w:val="center"/>
          </w:tcPr>
          <w:p w14:paraId="1E1DF6D9">
            <w:pPr>
              <w:widowControl/>
              <w:spacing w:line="240" w:lineRule="auto"/>
              <w:jc w:val="center"/>
              <w:rPr>
                <w:rFonts w:hint="default" w:ascii="Times New Roman" w:hAnsi="Times New Roman" w:cs="Times New Roman"/>
                <w:color w:val="auto"/>
                <w:kern w:val="0"/>
                <w:sz w:val="21"/>
                <w:szCs w:val="21"/>
              </w:rPr>
            </w:pPr>
          </w:p>
        </w:tc>
        <w:tc>
          <w:tcPr>
            <w:tcW w:w="887" w:type="pct"/>
            <w:tcBorders>
              <w:tl2br w:val="nil"/>
              <w:tr2bl w:val="nil"/>
            </w:tcBorders>
            <w:noWrap/>
            <w:vAlign w:val="center"/>
          </w:tcPr>
          <w:p w14:paraId="57B136A2">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鸡舍</w:t>
            </w:r>
          </w:p>
        </w:tc>
        <w:tc>
          <w:tcPr>
            <w:tcW w:w="932" w:type="pct"/>
            <w:tcBorders>
              <w:tl2br w:val="nil"/>
              <w:tr2bl w:val="nil"/>
            </w:tcBorders>
            <w:noWrap/>
            <w:vAlign w:val="center"/>
          </w:tcPr>
          <w:p w14:paraId="1D20B323">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H</w:t>
            </w:r>
            <w:r>
              <w:rPr>
                <w:rFonts w:hint="default" w:ascii="Times New Roman" w:hAnsi="Times New Roman" w:cs="Times New Roman"/>
                <w:color w:val="auto"/>
                <w:kern w:val="0"/>
                <w:sz w:val="21"/>
                <w:szCs w:val="21"/>
                <w:vertAlign w:val="subscript"/>
                <w:lang w:val="en-US" w:eastAsia="zh-CN"/>
              </w:rPr>
              <w:t>2</w:t>
            </w:r>
            <w:r>
              <w:rPr>
                <w:rFonts w:hint="default" w:ascii="Times New Roman" w:hAnsi="Times New Roman" w:cs="Times New Roman"/>
                <w:color w:val="auto"/>
                <w:kern w:val="0"/>
                <w:sz w:val="21"/>
                <w:szCs w:val="21"/>
                <w:lang w:val="en-US" w:eastAsia="zh-CN"/>
              </w:rPr>
              <w:t>S、NH</w:t>
            </w:r>
            <w:r>
              <w:rPr>
                <w:rFonts w:hint="default" w:ascii="Times New Roman" w:hAnsi="Times New Roman" w:cs="Times New Roman"/>
                <w:color w:val="auto"/>
                <w:kern w:val="0"/>
                <w:sz w:val="21"/>
                <w:szCs w:val="21"/>
                <w:vertAlign w:val="subscript"/>
                <w:lang w:val="en-US" w:eastAsia="zh-CN"/>
              </w:rPr>
              <w:t>3</w:t>
            </w:r>
            <w:r>
              <w:rPr>
                <w:rFonts w:hint="default" w:ascii="Times New Roman" w:hAnsi="Times New Roman" w:cs="Times New Roman"/>
                <w:color w:val="auto"/>
                <w:kern w:val="0"/>
                <w:sz w:val="21"/>
                <w:szCs w:val="21"/>
                <w:lang w:val="en-US" w:eastAsia="zh-CN"/>
              </w:rPr>
              <w:t>、臭气浓度</w:t>
            </w:r>
          </w:p>
        </w:tc>
        <w:tc>
          <w:tcPr>
            <w:tcW w:w="2582" w:type="pct"/>
            <w:tcBorders>
              <w:tl2br w:val="nil"/>
              <w:tr2bl w:val="nil"/>
            </w:tcBorders>
            <w:noWrap/>
            <w:vAlign w:val="center"/>
          </w:tcPr>
          <w:p w14:paraId="697E2138">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采用干清粪的养殖方式，鸡舍设置自动化清粪设施</w:t>
            </w:r>
          </w:p>
        </w:tc>
      </w:tr>
      <w:tr w14:paraId="750B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98" w:type="pct"/>
            <w:vMerge w:val="continue"/>
            <w:tcBorders>
              <w:tl2br w:val="nil"/>
              <w:tr2bl w:val="nil"/>
            </w:tcBorders>
            <w:noWrap/>
            <w:vAlign w:val="center"/>
          </w:tcPr>
          <w:p w14:paraId="415E77BE">
            <w:pPr>
              <w:widowControl/>
              <w:spacing w:line="240" w:lineRule="auto"/>
              <w:jc w:val="center"/>
              <w:rPr>
                <w:rFonts w:hint="default" w:ascii="Times New Roman" w:hAnsi="Times New Roman" w:eastAsia="宋体" w:cs="Times New Roman"/>
                <w:color w:val="auto"/>
                <w:kern w:val="0"/>
                <w:sz w:val="21"/>
                <w:szCs w:val="21"/>
                <w:lang w:val="en-US" w:eastAsia="zh-CN"/>
              </w:rPr>
            </w:pPr>
          </w:p>
        </w:tc>
        <w:tc>
          <w:tcPr>
            <w:tcW w:w="887" w:type="pct"/>
            <w:tcBorders>
              <w:tl2br w:val="nil"/>
              <w:tr2bl w:val="nil"/>
            </w:tcBorders>
            <w:noWrap/>
            <w:vAlign w:val="center"/>
          </w:tcPr>
          <w:p w14:paraId="4259B04D">
            <w:pPr>
              <w:widowControl/>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cs="Times New Roman"/>
                <w:color w:val="FF0000"/>
                <w:kern w:val="0"/>
                <w:sz w:val="21"/>
                <w:szCs w:val="21"/>
                <w:lang w:val="en-US" w:eastAsia="zh-CN"/>
              </w:rPr>
              <w:t>鸡粪发酵处理场</w:t>
            </w:r>
          </w:p>
        </w:tc>
        <w:tc>
          <w:tcPr>
            <w:tcW w:w="932" w:type="pct"/>
            <w:tcBorders>
              <w:tl2br w:val="nil"/>
              <w:tr2bl w:val="nil"/>
            </w:tcBorders>
            <w:noWrap/>
            <w:vAlign w:val="center"/>
          </w:tcPr>
          <w:p w14:paraId="36F10491">
            <w:pPr>
              <w:widowControl/>
              <w:spacing w:line="240" w:lineRule="auto"/>
              <w:jc w:val="center"/>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lang w:val="en-US" w:eastAsia="zh-CN"/>
              </w:rPr>
              <w:t>H</w:t>
            </w:r>
            <w:r>
              <w:rPr>
                <w:rFonts w:hint="default" w:ascii="Times New Roman" w:hAnsi="Times New Roman" w:cs="Times New Roman"/>
                <w:color w:val="FF0000"/>
                <w:kern w:val="0"/>
                <w:sz w:val="21"/>
                <w:szCs w:val="21"/>
                <w:vertAlign w:val="subscript"/>
                <w:lang w:val="en-US" w:eastAsia="zh-CN"/>
              </w:rPr>
              <w:t>2</w:t>
            </w:r>
            <w:r>
              <w:rPr>
                <w:rFonts w:hint="default" w:ascii="Times New Roman" w:hAnsi="Times New Roman" w:cs="Times New Roman"/>
                <w:color w:val="FF0000"/>
                <w:kern w:val="0"/>
                <w:sz w:val="21"/>
                <w:szCs w:val="21"/>
                <w:lang w:val="en-US" w:eastAsia="zh-CN"/>
              </w:rPr>
              <w:t>S、NH</w:t>
            </w:r>
            <w:r>
              <w:rPr>
                <w:rFonts w:hint="default" w:ascii="Times New Roman" w:hAnsi="Times New Roman" w:cs="Times New Roman"/>
                <w:color w:val="FF0000"/>
                <w:kern w:val="0"/>
                <w:sz w:val="21"/>
                <w:szCs w:val="21"/>
                <w:vertAlign w:val="subscript"/>
                <w:lang w:val="en-US" w:eastAsia="zh-CN"/>
              </w:rPr>
              <w:t>3</w:t>
            </w:r>
            <w:r>
              <w:rPr>
                <w:rFonts w:hint="default" w:ascii="Times New Roman" w:hAnsi="Times New Roman" w:cs="Times New Roman"/>
                <w:color w:val="FF0000"/>
                <w:kern w:val="0"/>
                <w:sz w:val="21"/>
                <w:szCs w:val="21"/>
                <w:lang w:val="en-US" w:eastAsia="zh-CN"/>
              </w:rPr>
              <w:t>、臭气浓度</w:t>
            </w:r>
          </w:p>
        </w:tc>
        <w:tc>
          <w:tcPr>
            <w:tcW w:w="2582" w:type="pct"/>
            <w:tcBorders>
              <w:tl2br w:val="nil"/>
              <w:tr2bl w:val="nil"/>
            </w:tcBorders>
            <w:noWrap/>
            <w:vAlign w:val="center"/>
          </w:tcPr>
          <w:p w14:paraId="1E07EE45">
            <w:pPr>
              <w:widowControl/>
              <w:spacing w:line="240" w:lineRule="auto"/>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rPr>
              <w:t>采用喷洒生物除臭剂，及时清粪，加强厂区绿化。</w:t>
            </w:r>
          </w:p>
        </w:tc>
      </w:tr>
      <w:tr w14:paraId="6FD2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598" w:type="pct"/>
            <w:vMerge w:val="restart"/>
            <w:tcBorders>
              <w:tl2br w:val="nil"/>
              <w:tr2bl w:val="nil"/>
            </w:tcBorders>
            <w:noWrap/>
            <w:vAlign w:val="center"/>
          </w:tcPr>
          <w:p w14:paraId="44073E8C">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废水</w:t>
            </w:r>
          </w:p>
        </w:tc>
        <w:tc>
          <w:tcPr>
            <w:tcW w:w="887" w:type="pct"/>
            <w:tcBorders>
              <w:tl2br w:val="nil"/>
              <w:tr2bl w:val="nil"/>
            </w:tcBorders>
            <w:noWrap/>
            <w:vAlign w:val="center"/>
          </w:tcPr>
          <w:p w14:paraId="4EA5BBC1">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生活污水</w:t>
            </w:r>
          </w:p>
        </w:tc>
        <w:tc>
          <w:tcPr>
            <w:tcW w:w="932" w:type="pct"/>
            <w:tcBorders>
              <w:tl2br w:val="nil"/>
              <w:tr2bl w:val="nil"/>
            </w:tcBorders>
            <w:noWrap/>
            <w:vAlign w:val="center"/>
          </w:tcPr>
          <w:p w14:paraId="18D55329">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COD、BOD</w:t>
            </w:r>
            <w:r>
              <w:rPr>
                <w:rFonts w:hint="default" w:ascii="Times New Roman" w:hAnsi="Times New Roman" w:cs="Times New Roman"/>
                <w:color w:val="auto"/>
                <w:kern w:val="0"/>
                <w:sz w:val="21"/>
                <w:szCs w:val="21"/>
                <w:vertAlign w:val="subscript"/>
                <w:lang w:val="en-US" w:eastAsia="zh-CN"/>
              </w:rPr>
              <w:t>5</w:t>
            </w:r>
            <w:r>
              <w:rPr>
                <w:rFonts w:hint="default" w:ascii="Times New Roman" w:hAnsi="Times New Roman" w:cs="Times New Roman"/>
                <w:color w:val="auto"/>
                <w:kern w:val="0"/>
                <w:sz w:val="21"/>
                <w:szCs w:val="21"/>
                <w:lang w:val="en-US" w:eastAsia="zh-CN"/>
              </w:rPr>
              <w:t>、SS、NH</w:t>
            </w:r>
            <w:r>
              <w:rPr>
                <w:rFonts w:hint="default" w:ascii="Times New Roman" w:hAnsi="Times New Roman" w:cs="Times New Roman"/>
                <w:color w:val="auto"/>
                <w:kern w:val="0"/>
                <w:sz w:val="21"/>
                <w:szCs w:val="21"/>
                <w:vertAlign w:val="subscript"/>
                <w:lang w:val="en-US" w:eastAsia="zh-CN"/>
              </w:rPr>
              <w:t>3</w:t>
            </w:r>
            <w:r>
              <w:rPr>
                <w:rFonts w:hint="default" w:ascii="Times New Roman" w:hAnsi="Times New Roman" w:cs="Times New Roman"/>
                <w:color w:val="auto"/>
                <w:kern w:val="0"/>
                <w:sz w:val="21"/>
                <w:szCs w:val="21"/>
                <w:lang w:val="en-US" w:eastAsia="zh-CN"/>
              </w:rPr>
              <w:t>-N</w:t>
            </w:r>
          </w:p>
        </w:tc>
        <w:tc>
          <w:tcPr>
            <w:tcW w:w="2582" w:type="pct"/>
            <w:tcBorders>
              <w:tl2br w:val="nil"/>
              <w:tr2bl w:val="nil"/>
            </w:tcBorders>
            <w:noWrap/>
            <w:vAlign w:val="center"/>
          </w:tcPr>
          <w:p w14:paraId="25F132FF">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生活污水经废水收集池收集后用于粪便堆肥，增加有机肥湿度。</w:t>
            </w:r>
          </w:p>
        </w:tc>
      </w:tr>
      <w:tr w14:paraId="3814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598" w:type="pct"/>
            <w:vMerge w:val="continue"/>
            <w:tcBorders>
              <w:tl2br w:val="nil"/>
              <w:tr2bl w:val="nil"/>
            </w:tcBorders>
            <w:noWrap/>
            <w:vAlign w:val="center"/>
          </w:tcPr>
          <w:p w14:paraId="06E87C24">
            <w:pPr>
              <w:widowControl/>
              <w:spacing w:line="240" w:lineRule="auto"/>
              <w:jc w:val="center"/>
              <w:rPr>
                <w:rFonts w:hint="default" w:ascii="Times New Roman" w:hAnsi="Times New Roman" w:cs="Times New Roman"/>
                <w:color w:val="auto"/>
                <w:kern w:val="0"/>
                <w:sz w:val="21"/>
                <w:szCs w:val="21"/>
                <w:lang w:val="en-US" w:eastAsia="zh-CN"/>
              </w:rPr>
            </w:pPr>
          </w:p>
        </w:tc>
        <w:tc>
          <w:tcPr>
            <w:tcW w:w="887" w:type="pct"/>
            <w:tcBorders>
              <w:tl2br w:val="nil"/>
              <w:tr2bl w:val="nil"/>
            </w:tcBorders>
            <w:noWrap/>
            <w:vAlign w:val="center"/>
          </w:tcPr>
          <w:p w14:paraId="18038E8C">
            <w:pPr>
              <w:widowControl/>
              <w:spacing w:line="240" w:lineRule="auto"/>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粪便收集设施冲洗废水</w:t>
            </w:r>
          </w:p>
        </w:tc>
        <w:tc>
          <w:tcPr>
            <w:tcW w:w="932" w:type="pct"/>
            <w:tcBorders>
              <w:tl2br w:val="nil"/>
              <w:tr2bl w:val="nil"/>
            </w:tcBorders>
            <w:noWrap/>
            <w:vAlign w:val="center"/>
          </w:tcPr>
          <w:p w14:paraId="64562A13">
            <w:pPr>
              <w:widowControl/>
              <w:spacing w:line="240" w:lineRule="auto"/>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COD、BOD</w:t>
            </w:r>
            <w:r>
              <w:rPr>
                <w:rFonts w:hint="default" w:ascii="Times New Roman" w:hAnsi="Times New Roman" w:cs="Times New Roman"/>
                <w:color w:val="auto"/>
                <w:kern w:val="0"/>
                <w:sz w:val="21"/>
                <w:szCs w:val="21"/>
                <w:vertAlign w:val="subscript"/>
                <w:lang w:val="en-US" w:eastAsia="zh-CN"/>
              </w:rPr>
              <w:t>5</w:t>
            </w:r>
            <w:r>
              <w:rPr>
                <w:rFonts w:hint="default" w:ascii="Times New Roman" w:hAnsi="Times New Roman" w:cs="Times New Roman"/>
                <w:color w:val="auto"/>
                <w:kern w:val="0"/>
                <w:sz w:val="21"/>
                <w:szCs w:val="21"/>
                <w:lang w:val="en-US" w:eastAsia="zh-CN"/>
              </w:rPr>
              <w:t>、SS、NH</w:t>
            </w:r>
            <w:r>
              <w:rPr>
                <w:rFonts w:hint="default" w:ascii="Times New Roman" w:hAnsi="Times New Roman" w:cs="Times New Roman"/>
                <w:color w:val="auto"/>
                <w:kern w:val="0"/>
                <w:sz w:val="21"/>
                <w:szCs w:val="21"/>
                <w:vertAlign w:val="subscript"/>
                <w:lang w:val="en-US" w:eastAsia="zh-CN"/>
              </w:rPr>
              <w:t>3</w:t>
            </w:r>
            <w:r>
              <w:rPr>
                <w:rFonts w:hint="default" w:ascii="Times New Roman" w:hAnsi="Times New Roman" w:cs="Times New Roman"/>
                <w:color w:val="auto"/>
                <w:kern w:val="0"/>
                <w:sz w:val="21"/>
                <w:szCs w:val="21"/>
                <w:lang w:val="en-US" w:eastAsia="zh-CN"/>
              </w:rPr>
              <w:t>-N</w:t>
            </w:r>
          </w:p>
        </w:tc>
        <w:tc>
          <w:tcPr>
            <w:tcW w:w="2582" w:type="pct"/>
            <w:tcBorders>
              <w:tl2br w:val="nil"/>
              <w:tr2bl w:val="nil"/>
            </w:tcBorders>
            <w:noWrap/>
            <w:vAlign w:val="center"/>
          </w:tcPr>
          <w:p w14:paraId="48A2DD25">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bCs/>
                <w:color w:val="auto"/>
                <w:szCs w:val="21"/>
                <w:lang w:val="en-US" w:eastAsia="zh-CN"/>
              </w:rPr>
              <w:t>冲洗废水</w:t>
            </w:r>
            <w:r>
              <w:rPr>
                <w:rFonts w:hint="default" w:ascii="Times New Roman" w:hAnsi="Times New Roman" w:eastAsia="宋体" w:cs="Times New Roman"/>
                <w:color w:val="auto"/>
                <w:kern w:val="0"/>
                <w:sz w:val="21"/>
                <w:szCs w:val="21"/>
                <w:highlight w:val="none"/>
                <w:lang w:val="en-US" w:eastAsia="zh-CN"/>
              </w:rPr>
              <w:t>经废水收集池收集后用于粪便堆肥，增加有机肥湿度。</w:t>
            </w:r>
          </w:p>
        </w:tc>
      </w:tr>
      <w:tr w14:paraId="748D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98" w:type="pct"/>
            <w:tcBorders>
              <w:tl2br w:val="nil"/>
              <w:tr2bl w:val="nil"/>
            </w:tcBorders>
            <w:noWrap/>
            <w:vAlign w:val="center"/>
          </w:tcPr>
          <w:p w14:paraId="19B2FF49">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噪声</w:t>
            </w:r>
          </w:p>
        </w:tc>
        <w:tc>
          <w:tcPr>
            <w:tcW w:w="887" w:type="pct"/>
            <w:tcBorders>
              <w:tl2br w:val="nil"/>
              <w:tr2bl w:val="nil"/>
            </w:tcBorders>
            <w:noWrap/>
            <w:vAlign w:val="center"/>
          </w:tcPr>
          <w:p w14:paraId="60FE3941">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设备噪声</w:t>
            </w:r>
          </w:p>
        </w:tc>
        <w:tc>
          <w:tcPr>
            <w:tcW w:w="932" w:type="pct"/>
            <w:tcBorders>
              <w:tl2br w:val="nil"/>
              <w:tr2bl w:val="nil"/>
            </w:tcBorders>
            <w:noWrap/>
            <w:vAlign w:val="center"/>
          </w:tcPr>
          <w:p w14:paraId="0D70F16C">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等效连续A声级</w:t>
            </w:r>
          </w:p>
        </w:tc>
        <w:tc>
          <w:tcPr>
            <w:tcW w:w="2582" w:type="pct"/>
            <w:tcBorders>
              <w:tl2br w:val="nil"/>
              <w:tr2bl w:val="nil"/>
            </w:tcBorders>
            <w:noWrap/>
            <w:vAlign w:val="center"/>
          </w:tcPr>
          <w:p w14:paraId="3FACC464">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采用低噪声设备，减振、隔声</w:t>
            </w:r>
          </w:p>
        </w:tc>
      </w:tr>
      <w:tr w14:paraId="7ABB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98" w:type="pct"/>
            <w:vMerge w:val="restart"/>
            <w:tcBorders>
              <w:tl2br w:val="nil"/>
              <w:tr2bl w:val="nil"/>
            </w:tcBorders>
            <w:noWrap/>
            <w:vAlign w:val="center"/>
          </w:tcPr>
          <w:p w14:paraId="5CA1982D">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固废</w:t>
            </w:r>
          </w:p>
        </w:tc>
        <w:tc>
          <w:tcPr>
            <w:tcW w:w="887" w:type="pct"/>
            <w:tcBorders>
              <w:tl2br w:val="nil"/>
              <w:tr2bl w:val="nil"/>
            </w:tcBorders>
            <w:noWrap/>
            <w:vAlign w:val="center"/>
          </w:tcPr>
          <w:p w14:paraId="0A9A551B">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鸡舍</w:t>
            </w:r>
          </w:p>
        </w:tc>
        <w:tc>
          <w:tcPr>
            <w:tcW w:w="932" w:type="pct"/>
            <w:tcBorders>
              <w:tl2br w:val="nil"/>
              <w:tr2bl w:val="nil"/>
            </w:tcBorders>
            <w:noWrap/>
            <w:vAlign w:val="center"/>
          </w:tcPr>
          <w:p w14:paraId="230D1FBA">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鸡粪</w:t>
            </w:r>
          </w:p>
        </w:tc>
        <w:tc>
          <w:tcPr>
            <w:tcW w:w="2582" w:type="pct"/>
            <w:tcBorders>
              <w:tl2br w:val="nil"/>
              <w:tr2bl w:val="nil"/>
            </w:tcBorders>
            <w:noWrap/>
            <w:vAlign w:val="center"/>
          </w:tcPr>
          <w:p w14:paraId="5766A43E">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本项目采取干清粪工艺，每栋鸡舍均设自动清粪系统，鸡舍内设横斜向</w:t>
            </w:r>
            <w:r>
              <w:rPr>
                <w:rFonts w:hint="eastAsia" w:ascii="Times New Roman" w:hAnsi="Times New Roman" w:cs="Times New Roman"/>
                <w:color w:val="auto"/>
                <w:kern w:val="0"/>
                <w:sz w:val="21"/>
                <w:szCs w:val="21"/>
                <w:lang w:val="en-US" w:eastAsia="zh-CN"/>
              </w:rPr>
              <w:t>粪便传送带</w:t>
            </w:r>
            <w:r>
              <w:rPr>
                <w:rFonts w:hint="default" w:ascii="Times New Roman" w:hAnsi="Times New Roman" w:eastAsia="宋体" w:cs="Times New Roman"/>
                <w:color w:val="auto"/>
                <w:kern w:val="0"/>
                <w:sz w:val="21"/>
                <w:szCs w:val="21"/>
                <w:lang w:val="en-US" w:eastAsia="zh-CN"/>
              </w:rPr>
              <w:t>，鸡排出的粪便主要通过清粪机进入横向</w:t>
            </w:r>
            <w:r>
              <w:rPr>
                <w:rFonts w:hint="eastAsia" w:ascii="Times New Roman" w:hAnsi="Times New Roman" w:cs="Times New Roman"/>
                <w:color w:val="auto"/>
                <w:kern w:val="0"/>
                <w:sz w:val="21"/>
                <w:szCs w:val="21"/>
                <w:lang w:val="en-US" w:eastAsia="zh-CN"/>
              </w:rPr>
              <w:t>粪便传送带</w:t>
            </w:r>
            <w:r>
              <w:rPr>
                <w:rFonts w:hint="default" w:ascii="Times New Roman" w:hAnsi="Times New Roman" w:eastAsia="宋体" w:cs="Times New Roman"/>
                <w:color w:val="auto"/>
                <w:kern w:val="0"/>
                <w:sz w:val="21"/>
                <w:szCs w:val="21"/>
                <w:lang w:val="en-US" w:eastAsia="zh-CN"/>
              </w:rPr>
              <w:t>内，传输至清粪房再通过斜向</w:t>
            </w:r>
            <w:r>
              <w:rPr>
                <w:rFonts w:hint="eastAsia" w:ascii="Times New Roman" w:hAnsi="Times New Roman" w:cs="Times New Roman"/>
                <w:color w:val="auto"/>
                <w:kern w:val="0"/>
                <w:sz w:val="21"/>
                <w:szCs w:val="21"/>
                <w:lang w:val="en-US" w:eastAsia="zh-CN"/>
              </w:rPr>
              <w:t>粪便传送带</w:t>
            </w:r>
            <w:r>
              <w:rPr>
                <w:rFonts w:hint="default" w:ascii="Times New Roman" w:hAnsi="Times New Roman" w:eastAsia="宋体" w:cs="Times New Roman"/>
                <w:color w:val="auto"/>
                <w:kern w:val="0"/>
                <w:sz w:val="21"/>
                <w:szCs w:val="21"/>
                <w:lang w:val="en-US" w:eastAsia="zh-CN"/>
              </w:rPr>
              <w:t>进入鸡粪发酵</w:t>
            </w:r>
            <w:r>
              <w:rPr>
                <w:rFonts w:hint="eastAsia" w:ascii="Times New Roman" w:hAnsi="Times New Roman" w:cs="Times New Roman"/>
                <w:color w:val="auto"/>
                <w:kern w:val="0"/>
                <w:sz w:val="21"/>
                <w:szCs w:val="21"/>
                <w:lang w:val="en-US" w:eastAsia="zh-CN"/>
              </w:rPr>
              <w:t>处理厂</w:t>
            </w:r>
            <w:r>
              <w:rPr>
                <w:rFonts w:hint="default" w:ascii="Times New Roman" w:hAnsi="Times New Roman" w:eastAsia="宋体" w:cs="Times New Roman"/>
                <w:color w:val="auto"/>
                <w:kern w:val="0"/>
                <w:sz w:val="21"/>
                <w:szCs w:val="21"/>
                <w:lang w:val="en-US" w:eastAsia="zh-CN"/>
              </w:rPr>
              <w:t>，发酵处理后，外售实现综合利用。</w:t>
            </w:r>
          </w:p>
        </w:tc>
      </w:tr>
      <w:tr w14:paraId="67F0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98" w:type="pct"/>
            <w:vMerge w:val="continue"/>
            <w:tcBorders>
              <w:tl2br w:val="nil"/>
              <w:tr2bl w:val="nil"/>
            </w:tcBorders>
            <w:noWrap/>
            <w:vAlign w:val="center"/>
          </w:tcPr>
          <w:p w14:paraId="3A766B9C">
            <w:pPr>
              <w:widowControl/>
              <w:spacing w:line="240" w:lineRule="auto"/>
              <w:jc w:val="center"/>
              <w:rPr>
                <w:rFonts w:hint="default" w:ascii="Times New Roman" w:hAnsi="Times New Roman" w:cs="Times New Roman"/>
                <w:color w:val="auto"/>
                <w:kern w:val="0"/>
                <w:sz w:val="21"/>
                <w:szCs w:val="21"/>
              </w:rPr>
            </w:pPr>
          </w:p>
        </w:tc>
        <w:tc>
          <w:tcPr>
            <w:tcW w:w="887" w:type="pct"/>
            <w:tcBorders>
              <w:tl2br w:val="nil"/>
              <w:tr2bl w:val="nil"/>
            </w:tcBorders>
            <w:noWrap/>
            <w:vAlign w:val="center"/>
          </w:tcPr>
          <w:p w14:paraId="74F749E3">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鸡舍</w:t>
            </w:r>
          </w:p>
        </w:tc>
        <w:tc>
          <w:tcPr>
            <w:tcW w:w="932" w:type="pct"/>
            <w:tcBorders>
              <w:tl2br w:val="nil"/>
              <w:tr2bl w:val="nil"/>
            </w:tcBorders>
            <w:noWrap/>
            <w:vAlign w:val="center"/>
          </w:tcPr>
          <w:p w14:paraId="4613457C">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病死鸡尸体</w:t>
            </w:r>
          </w:p>
        </w:tc>
        <w:tc>
          <w:tcPr>
            <w:tcW w:w="2582" w:type="pct"/>
            <w:tcBorders>
              <w:tl2br w:val="nil"/>
              <w:tr2bl w:val="nil"/>
            </w:tcBorders>
            <w:noWrap/>
            <w:vAlign w:val="center"/>
          </w:tcPr>
          <w:p w14:paraId="63A73169">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安全填埋井填埋</w:t>
            </w:r>
          </w:p>
        </w:tc>
      </w:tr>
      <w:tr w14:paraId="672C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98" w:type="pct"/>
            <w:vMerge w:val="continue"/>
            <w:tcBorders>
              <w:tl2br w:val="nil"/>
              <w:tr2bl w:val="nil"/>
            </w:tcBorders>
            <w:noWrap/>
            <w:vAlign w:val="center"/>
          </w:tcPr>
          <w:p w14:paraId="3B4E4767">
            <w:pPr>
              <w:widowControl/>
              <w:spacing w:line="240" w:lineRule="auto"/>
              <w:jc w:val="center"/>
              <w:rPr>
                <w:rFonts w:hint="default" w:ascii="Times New Roman" w:hAnsi="Times New Roman" w:cs="Times New Roman"/>
                <w:color w:val="auto"/>
                <w:kern w:val="0"/>
                <w:sz w:val="21"/>
                <w:szCs w:val="21"/>
              </w:rPr>
            </w:pPr>
          </w:p>
        </w:tc>
        <w:tc>
          <w:tcPr>
            <w:tcW w:w="887" w:type="pct"/>
            <w:tcBorders>
              <w:tl2br w:val="nil"/>
              <w:tr2bl w:val="nil"/>
            </w:tcBorders>
            <w:noWrap/>
            <w:vAlign w:val="center"/>
          </w:tcPr>
          <w:p w14:paraId="7F67C5F7">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疫苗注射</w:t>
            </w:r>
          </w:p>
        </w:tc>
        <w:tc>
          <w:tcPr>
            <w:tcW w:w="932" w:type="pct"/>
            <w:tcBorders>
              <w:tl2br w:val="nil"/>
              <w:tr2bl w:val="nil"/>
            </w:tcBorders>
            <w:noWrap/>
            <w:vAlign w:val="center"/>
          </w:tcPr>
          <w:p w14:paraId="02F74820">
            <w:pPr>
              <w:widowControl/>
              <w:spacing w:line="240" w:lineRule="auto"/>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医疗废物</w:t>
            </w:r>
          </w:p>
        </w:tc>
        <w:tc>
          <w:tcPr>
            <w:tcW w:w="2582" w:type="pct"/>
            <w:tcBorders>
              <w:tl2br w:val="nil"/>
              <w:tr2bl w:val="nil"/>
            </w:tcBorders>
            <w:noWrap/>
            <w:vAlign w:val="center"/>
          </w:tcPr>
          <w:p w14:paraId="7E574267">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暂存医疗废物间，交由资质单位收运处置。</w:t>
            </w:r>
          </w:p>
        </w:tc>
      </w:tr>
      <w:tr w14:paraId="127B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98" w:type="pct"/>
            <w:vMerge w:val="continue"/>
            <w:tcBorders>
              <w:tl2br w:val="nil"/>
              <w:tr2bl w:val="nil"/>
            </w:tcBorders>
            <w:noWrap/>
            <w:vAlign w:val="center"/>
          </w:tcPr>
          <w:p w14:paraId="3C7AB93F">
            <w:pPr>
              <w:widowControl/>
              <w:spacing w:line="240" w:lineRule="auto"/>
              <w:jc w:val="center"/>
              <w:rPr>
                <w:rFonts w:hint="default" w:ascii="Times New Roman" w:hAnsi="Times New Roman" w:cs="Times New Roman"/>
                <w:color w:val="auto"/>
                <w:kern w:val="0"/>
                <w:sz w:val="21"/>
                <w:szCs w:val="21"/>
              </w:rPr>
            </w:pPr>
          </w:p>
        </w:tc>
        <w:tc>
          <w:tcPr>
            <w:tcW w:w="887" w:type="pct"/>
            <w:tcBorders>
              <w:tl2br w:val="nil"/>
              <w:tr2bl w:val="nil"/>
            </w:tcBorders>
            <w:noWrap/>
            <w:vAlign w:val="center"/>
          </w:tcPr>
          <w:p w14:paraId="3F279D64">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办公区</w:t>
            </w:r>
          </w:p>
        </w:tc>
        <w:tc>
          <w:tcPr>
            <w:tcW w:w="932" w:type="pct"/>
            <w:tcBorders>
              <w:tl2br w:val="nil"/>
              <w:tr2bl w:val="nil"/>
            </w:tcBorders>
            <w:noWrap/>
            <w:vAlign w:val="center"/>
          </w:tcPr>
          <w:p w14:paraId="454213F8">
            <w:pPr>
              <w:widowControl/>
              <w:spacing w:line="240" w:lineRule="auto"/>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生活垃圾</w:t>
            </w:r>
          </w:p>
        </w:tc>
        <w:tc>
          <w:tcPr>
            <w:tcW w:w="2582" w:type="pct"/>
            <w:tcBorders>
              <w:tl2br w:val="nil"/>
              <w:tr2bl w:val="nil"/>
            </w:tcBorders>
            <w:noWrap/>
            <w:vAlign w:val="center"/>
          </w:tcPr>
          <w:p w14:paraId="73FF10AA">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垃圾桶收集，交由环卫部门清运处置。</w:t>
            </w:r>
          </w:p>
        </w:tc>
      </w:tr>
    </w:tbl>
    <w:p w14:paraId="42711DC0">
      <w:pPr>
        <w:pStyle w:val="3"/>
        <w:bidi w:val="0"/>
        <w:rPr>
          <w:rFonts w:hint="default" w:ascii="Times New Roman" w:hAnsi="Times New Roman" w:cs="Times New Roman"/>
          <w:color w:val="auto"/>
          <w:lang w:val="en-US" w:eastAsia="zh-CN"/>
        </w:rPr>
      </w:pPr>
      <w:bookmarkStart w:id="53" w:name="_Toc4201"/>
      <w:bookmarkStart w:id="54" w:name="_Toc22599"/>
      <w:r>
        <w:rPr>
          <w:rFonts w:hint="default" w:ascii="Times New Roman" w:hAnsi="Times New Roman" w:cs="Times New Roman"/>
          <w:color w:val="auto"/>
          <w:lang w:val="en-US" w:eastAsia="zh-CN"/>
        </w:rPr>
        <w:t>污染源分析</w:t>
      </w:r>
      <w:bookmarkEnd w:id="53"/>
      <w:bookmarkEnd w:id="54"/>
    </w:p>
    <w:p w14:paraId="090B4342">
      <w:pPr>
        <w:pStyle w:val="4"/>
        <w:bidi w:val="0"/>
        <w:rPr>
          <w:rFonts w:hint="default" w:ascii="Times New Roman" w:hAnsi="Times New Roman" w:cs="Times New Roman"/>
          <w:color w:val="auto"/>
          <w:lang w:val="en-US" w:eastAsia="zh-CN"/>
        </w:rPr>
      </w:pPr>
      <w:bookmarkStart w:id="55" w:name="_Toc2138"/>
      <w:bookmarkStart w:id="56" w:name="_Toc28572"/>
      <w:r>
        <w:rPr>
          <w:rFonts w:hint="default" w:ascii="Times New Roman" w:hAnsi="Times New Roman" w:cs="Times New Roman"/>
          <w:color w:val="auto"/>
          <w:lang w:val="en-US" w:eastAsia="zh-CN"/>
        </w:rPr>
        <w:t>施工期污染源分析</w:t>
      </w:r>
      <w:bookmarkEnd w:id="55"/>
      <w:bookmarkEnd w:id="56"/>
    </w:p>
    <w:p w14:paraId="39C1D00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施工期的主要污染物是施工过程中产生的扬尘、施工设备废气、废水（施工废水和生活污水）、固体废物（包括建筑垃圾和施工人员生活垃圾）、噪声等。本项目施工期主要污染工序汇总见表3.</w:t>
      </w:r>
      <w:r>
        <w:rPr>
          <w:rFonts w:hint="default" w:ascii="Times New Roman" w:hAnsi="Times New Roman" w:cs="Times New Roman"/>
          <w:color w:val="auto"/>
          <w:lang w:val="en-US" w:eastAsia="zh-CN"/>
        </w:rPr>
        <w:t>5</w:t>
      </w:r>
      <w:r>
        <w:rPr>
          <w:rFonts w:hint="default" w:ascii="Times New Roman" w:hAnsi="Times New Roman" w:cs="Times New Roman"/>
          <w:color w:val="auto"/>
        </w:rPr>
        <w:t>-1。</w:t>
      </w:r>
    </w:p>
    <w:p w14:paraId="5230B794">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施工期主要污染工序一览表</w:t>
      </w:r>
    </w:p>
    <w:tbl>
      <w:tblPr>
        <w:tblStyle w:val="3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59"/>
        <w:gridCol w:w="1787"/>
        <w:gridCol w:w="1787"/>
        <w:gridCol w:w="3591"/>
      </w:tblGrid>
      <w:tr w14:paraId="4670B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696" w:type="pct"/>
            <w:noWrap w:val="0"/>
            <w:vAlign w:val="center"/>
          </w:tcPr>
          <w:p w14:paraId="5171B698">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污染类别</w:t>
            </w:r>
          </w:p>
        </w:tc>
        <w:tc>
          <w:tcPr>
            <w:tcW w:w="1073" w:type="pct"/>
            <w:noWrap w:val="0"/>
            <w:vAlign w:val="center"/>
          </w:tcPr>
          <w:p w14:paraId="47E4C8FA">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污染源名称</w:t>
            </w:r>
          </w:p>
        </w:tc>
        <w:tc>
          <w:tcPr>
            <w:tcW w:w="1073" w:type="pct"/>
            <w:noWrap w:val="0"/>
            <w:vAlign w:val="center"/>
          </w:tcPr>
          <w:p w14:paraId="3393B29C">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产生工序</w:t>
            </w:r>
          </w:p>
        </w:tc>
        <w:tc>
          <w:tcPr>
            <w:tcW w:w="2156" w:type="pct"/>
            <w:noWrap w:val="0"/>
            <w:vAlign w:val="center"/>
          </w:tcPr>
          <w:p w14:paraId="19E5A292">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主要污染因子</w:t>
            </w:r>
          </w:p>
        </w:tc>
      </w:tr>
      <w:tr w14:paraId="40443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96" w:type="pct"/>
            <w:vMerge w:val="restart"/>
            <w:noWrap w:val="0"/>
            <w:vAlign w:val="center"/>
          </w:tcPr>
          <w:p w14:paraId="0F80B622">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073" w:type="pct"/>
            <w:noWrap w:val="0"/>
            <w:vAlign w:val="center"/>
          </w:tcPr>
          <w:p w14:paraId="34FA3729">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堆场、施工场地</w:t>
            </w:r>
          </w:p>
        </w:tc>
        <w:tc>
          <w:tcPr>
            <w:tcW w:w="1073" w:type="pct"/>
            <w:noWrap w:val="0"/>
            <w:vAlign w:val="center"/>
          </w:tcPr>
          <w:p w14:paraId="503710AD">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施工过程</w:t>
            </w:r>
          </w:p>
        </w:tc>
        <w:tc>
          <w:tcPr>
            <w:tcW w:w="2156" w:type="pct"/>
            <w:noWrap w:val="0"/>
            <w:vAlign w:val="center"/>
          </w:tcPr>
          <w:p w14:paraId="757156F0">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粉尘、扬尘</w:t>
            </w:r>
          </w:p>
        </w:tc>
      </w:tr>
      <w:tr w14:paraId="00DEF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96" w:type="pct"/>
            <w:vMerge w:val="continue"/>
            <w:noWrap w:val="0"/>
            <w:vAlign w:val="center"/>
          </w:tcPr>
          <w:p w14:paraId="6AEE5F49">
            <w:pPr>
              <w:pStyle w:val="69"/>
              <w:ind w:left="0" w:leftChars="0" w:right="-10" w:rightChars="0" w:firstLine="0" w:firstLineChars="0"/>
              <w:rPr>
                <w:rFonts w:hint="default" w:ascii="Times New Roman" w:hAnsi="Times New Roman" w:cs="Times New Roman"/>
                <w:color w:val="auto"/>
                <w:sz w:val="21"/>
                <w:szCs w:val="21"/>
                <w:highlight w:val="none"/>
              </w:rPr>
            </w:pPr>
          </w:p>
        </w:tc>
        <w:tc>
          <w:tcPr>
            <w:tcW w:w="1073" w:type="pct"/>
            <w:noWrap w:val="0"/>
            <w:vAlign w:val="center"/>
          </w:tcPr>
          <w:p w14:paraId="20777A35">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燃油动力设备</w:t>
            </w:r>
            <w:r>
              <w:rPr>
                <w:rFonts w:hint="default" w:ascii="Times New Roman" w:hAnsi="Times New Roman" w:cs="Times New Roman"/>
                <w:color w:val="auto"/>
                <w:sz w:val="21"/>
                <w:szCs w:val="21"/>
                <w:highlight w:val="none"/>
                <w:lang w:eastAsia="zh-CN"/>
              </w:rPr>
              <w:t>运输</w:t>
            </w:r>
            <w:r>
              <w:rPr>
                <w:rFonts w:hint="default" w:ascii="Times New Roman" w:hAnsi="Times New Roman" w:cs="Times New Roman"/>
                <w:color w:val="auto"/>
                <w:sz w:val="21"/>
                <w:szCs w:val="21"/>
                <w:highlight w:val="none"/>
              </w:rPr>
              <w:t>车辆</w:t>
            </w:r>
          </w:p>
        </w:tc>
        <w:tc>
          <w:tcPr>
            <w:tcW w:w="1073" w:type="pct"/>
            <w:noWrap w:val="0"/>
            <w:vAlign w:val="center"/>
          </w:tcPr>
          <w:p w14:paraId="7ACD8F48">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燃油动力设备</w:t>
            </w:r>
          </w:p>
          <w:p w14:paraId="32EC278A">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运输车辆运行</w:t>
            </w:r>
          </w:p>
        </w:tc>
        <w:tc>
          <w:tcPr>
            <w:tcW w:w="2156" w:type="pct"/>
            <w:noWrap w:val="0"/>
            <w:vAlign w:val="center"/>
          </w:tcPr>
          <w:p w14:paraId="6767AE54">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尾气（SO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、烟尘、总烃、CO、NO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default" w:ascii="Times New Roman" w:hAnsi="Times New Roman" w:cs="Times New Roman"/>
                <w:color w:val="auto"/>
                <w:sz w:val="21"/>
                <w:szCs w:val="21"/>
                <w:highlight w:val="none"/>
              </w:rPr>
              <w:t>）</w:t>
            </w:r>
          </w:p>
        </w:tc>
      </w:tr>
      <w:tr w14:paraId="14476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96" w:type="pct"/>
            <w:vMerge w:val="restart"/>
            <w:noWrap w:val="0"/>
            <w:vAlign w:val="center"/>
          </w:tcPr>
          <w:p w14:paraId="4B789FE7">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073" w:type="pct"/>
            <w:noWrap w:val="0"/>
            <w:vAlign w:val="center"/>
          </w:tcPr>
          <w:p w14:paraId="4AEE0413">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施工废水</w:t>
            </w:r>
          </w:p>
        </w:tc>
        <w:tc>
          <w:tcPr>
            <w:tcW w:w="1073" w:type="pct"/>
            <w:noWrap w:val="0"/>
            <w:vAlign w:val="center"/>
          </w:tcPr>
          <w:p w14:paraId="612FF014">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施工作业过程</w:t>
            </w:r>
          </w:p>
        </w:tc>
        <w:tc>
          <w:tcPr>
            <w:tcW w:w="2156" w:type="pct"/>
            <w:noWrap w:val="0"/>
            <w:vAlign w:val="center"/>
          </w:tcPr>
          <w:p w14:paraId="511CBD48">
            <w:pPr>
              <w:pStyle w:val="69"/>
              <w:spacing w:before="20"/>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SS</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石油类</w:t>
            </w:r>
          </w:p>
        </w:tc>
      </w:tr>
      <w:tr w14:paraId="3518D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96" w:type="pct"/>
            <w:vMerge w:val="continue"/>
            <w:tcBorders>
              <w:top w:val="nil"/>
            </w:tcBorders>
            <w:noWrap w:val="0"/>
            <w:vAlign w:val="center"/>
          </w:tcPr>
          <w:p w14:paraId="4287D9D0">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073" w:type="pct"/>
            <w:noWrap w:val="0"/>
            <w:vAlign w:val="center"/>
          </w:tcPr>
          <w:p w14:paraId="68BFF124">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1073" w:type="pct"/>
            <w:noWrap w:val="0"/>
            <w:vAlign w:val="center"/>
          </w:tcPr>
          <w:p w14:paraId="1ED35BB0">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施工人员生活</w:t>
            </w:r>
          </w:p>
        </w:tc>
        <w:tc>
          <w:tcPr>
            <w:tcW w:w="2156" w:type="pct"/>
            <w:noWrap w:val="0"/>
            <w:vAlign w:val="center"/>
          </w:tcPr>
          <w:p w14:paraId="325106DC">
            <w:pPr>
              <w:pStyle w:val="69"/>
              <w:spacing w:before="17" w:line="275" w:lineRule="exact"/>
              <w:ind w:left="0" w:leftChars="0" w:right="-10" w:rightChars="0" w:firstLine="0" w:firstLineChars="0"/>
              <w:rPr>
                <w:rFonts w:hint="default" w:ascii="Times New Roman" w:hAnsi="Times New Roman" w:eastAsia="Times New Roman" w:cs="Times New Roman"/>
                <w:color w:val="auto"/>
                <w:sz w:val="21"/>
                <w:szCs w:val="21"/>
                <w:highlight w:val="none"/>
                <w:lang w:val="en-US"/>
              </w:rPr>
            </w:pPr>
            <w:r>
              <w:rPr>
                <w:rFonts w:hint="default" w:ascii="Times New Roman" w:hAnsi="Times New Roman" w:eastAsia="Times New Roman" w:cs="Times New Roman"/>
                <w:color w:val="auto"/>
                <w:position w:val="2"/>
                <w:sz w:val="21"/>
                <w:szCs w:val="21"/>
                <w:highlight w:val="none"/>
                <w:lang w:val="en-US"/>
              </w:rPr>
              <w:t>SS</w:t>
            </w:r>
            <w:r>
              <w:rPr>
                <w:rFonts w:hint="default" w:ascii="Times New Roman" w:hAnsi="Times New Roman" w:cs="Times New Roman"/>
                <w:color w:val="auto"/>
                <w:position w:val="2"/>
                <w:sz w:val="21"/>
                <w:szCs w:val="21"/>
                <w:highlight w:val="none"/>
              </w:rPr>
              <w:t>、</w:t>
            </w:r>
            <w:r>
              <w:rPr>
                <w:rFonts w:hint="default" w:ascii="Times New Roman" w:hAnsi="Times New Roman" w:eastAsia="Times New Roman" w:cs="Times New Roman"/>
                <w:color w:val="auto"/>
                <w:position w:val="2"/>
                <w:sz w:val="21"/>
                <w:szCs w:val="21"/>
                <w:highlight w:val="none"/>
                <w:lang w:val="en-US"/>
              </w:rPr>
              <w:t>COD</w:t>
            </w:r>
            <w:r>
              <w:rPr>
                <w:rFonts w:hint="default" w:ascii="Times New Roman" w:hAnsi="Times New Roman" w:cs="Times New Roman"/>
                <w:color w:val="auto"/>
                <w:position w:val="2"/>
                <w:sz w:val="21"/>
                <w:szCs w:val="21"/>
                <w:highlight w:val="none"/>
              </w:rPr>
              <w:t>、</w:t>
            </w:r>
            <w:r>
              <w:rPr>
                <w:rFonts w:hint="default" w:ascii="Times New Roman" w:hAnsi="Times New Roman" w:eastAsia="Times New Roman" w:cs="Times New Roman"/>
                <w:color w:val="auto"/>
                <w:position w:val="2"/>
                <w:sz w:val="21"/>
                <w:szCs w:val="21"/>
                <w:highlight w:val="none"/>
                <w:lang w:val="en-US"/>
              </w:rPr>
              <w:t>BOD</w:t>
            </w:r>
            <w:r>
              <w:rPr>
                <w:rFonts w:hint="default" w:ascii="Times New Roman" w:hAnsi="Times New Roman" w:eastAsia="Times New Roman" w:cs="Times New Roman"/>
                <w:color w:val="auto"/>
                <w:position w:val="2"/>
                <w:sz w:val="21"/>
                <w:szCs w:val="21"/>
                <w:highlight w:val="none"/>
                <w:vertAlign w:val="subscript"/>
                <w:lang w:val="en-US"/>
              </w:rPr>
              <w:t>5</w:t>
            </w:r>
            <w:r>
              <w:rPr>
                <w:rFonts w:hint="default" w:ascii="Times New Roman" w:hAnsi="Times New Roman" w:cs="Times New Roman"/>
                <w:color w:val="auto"/>
                <w:position w:val="2"/>
                <w:sz w:val="21"/>
                <w:szCs w:val="21"/>
                <w:highlight w:val="none"/>
              </w:rPr>
              <w:t>、</w:t>
            </w:r>
            <w:r>
              <w:rPr>
                <w:rFonts w:hint="default" w:ascii="Times New Roman" w:hAnsi="Times New Roman" w:eastAsia="Times New Roman" w:cs="Times New Roman"/>
                <w:color w:val="auto"/>
                <w:position w:val="2"/>
                <w:sz w:val="21"/>
                <w:szCs w:val="21"/>
                <w:highlight w:val="none"/>
                <w:lang w:val="en-US"/>
              </w:rPr>
              <w:t>NH</w:t>
            </w:r>
            <w:r>
              <w:rPr>
                <w:rFonts w:hint="default" w:ascii="Times New Roman" w:hAnsi="Times New Roman" w:eastAsia="Times New Roman" w:cs="Times New Roman"/>
                <w:color w:val="auto"/>
                <w:position w:val="2"/>
                <w:sz w:val="21"/>
                <w:szCs w:val="21"/>
                <w:highlight w:val="none"/>
                <w:vertAlign w:val="subscript"/>
                <w:lang w:val="en-US"/>
              </w:rPr>
              <w:t>3</w:t>
            </w:r>
            <w:r>
              <w:rPr>
                <w:rFonts w:hint="default" w:ascii="Times New Roman" w:hAnsi="Times New Roman" w:eastAsia="Times New Roman" w:cs="Times New Roman"/>
                <w:color w:val="auto"/>
                <w:position w:val="2"/>
                <w:sz w:val="21"/>
                <w:szCs w:val="21"/>
                <w:highlight w:val="none"/>
                <w:lang w:val="en-US"/>
              </w:rPr>
              <w:t>-N</w:t>
            </w:r>
          </w:p>
        </w:tc>
      </w:tr>
      <w:tr w14:paraId="01C49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96" w:type="pct"/>
            <w:vMerge w:val="restart"/>
            <w:noWrap w:val="0"/>
            <w:vAlign w:val="center"/>
          </w:tcPr>
          <w:p w14:paraId="3E0A9332">
            <w:pPr>
              <w:pStyle w:val="69"/>
              <w:spacing w:before="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073" w:type="pct"/>
            <w:noWrap w:val="0"/>
            <w:vAlign w:val="center"/>
          </w:tcPr>
          <w:p w14:paraId="6DF20B35">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施工设备</w:t>
            </w:r>
          </w:p>
        </w:tc>
        <w:tc>
          <w:tcPr>
            <w:tcW w:w="1073" w:type="pct"/>
            <w:noWrap w:val="0"/>
            <w:vAlign w:val="center"/>
          </w:tcPr>
          <w:p w14:paraId="32C7BB27">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施工设备运行</w:t>
            </w:r>
          </w:p>
        </w:tc>
        <w:tc>
          <w:tcPr>
            <w:tcW w:w="2156" w:type="pct"/>
            <w:noWrap w:val="0"/>
            <w:vAlign w:val="center"/>
          </w:tcPr>
          <w:p w14:paraId="469226B3">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机械噪声</w:t>
            </w:r>
          </w:p>
        </w:tc>
      </w:tr>
      <w:tr w14:paraId="780B5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96" w:type="pct"/>
            <w:vMerge w:val="continue"/>
            <w:tcBorders>
              <w:top w:val="nil"/>
            </w:tcBorders>
            <w:noWrap w:val="0"/>
            <w:vAlign w:val="center"/>
          </w:tcPr>
          <w:p w14:paraId="7EE0C7F9">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073" w:type="pct"/>
            <w:noWrap w:val="0"/>
            <w:vAlign w:val="center"/>
          </w:tcPr>
          <w:p w14:paraId="540E9CF8">
            <w:pPr>
              <w:pStyle w:val="69"/>
              <w:spacing w:before="22"/>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w:t>
            </w:r>
          </w:p>
        </w:tc>
        <w:tc>
          <w:tcPr>
            <w:tcW w:w="1073" w:type="pct"/>
            <w:noWrap w:val="0"/>
            <w:vAlign w:val="center"/>
          </w:tcPr>
          <w:p w14:paraId="0EEC69B5">
            <w:pPr>
              <w:pStyle w:val="69"/>
              <w:spacing w:before="22"/>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运输车辆行驶</w:t>
            </w:r>
          </w:p>
        </w:tc>
        <w:tc>
          <w:tcPr>
            <w:tcW w:w="2156" w:type="pct"/>
            <w:noWrap w:val="0"/>
            <w:vAlign w:val="center"/>
          </w:tcPr>
          <w:p w14:paraId="369FFE5C">
            <w:pPr>
              <w:pStyle w:val="69"/>
              <w:spacing w:before="22"/>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交通噪声</w:t>
            </w:r>
          </w:p>
        </w:tc>
      </w:tr>
      <w:tr w14:paraId="07D3F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696" w:type="pct"/>
            <w:vMerge w:val="continue"/>
            <w:tcBorders>
              <w:top w:val="nil"/>
            </w:tcBorders>
            <w:noWrap w:val="0"/>
            <w:vAlign w:val="center"/>
          </w:tcPr>
          <w:p w14:paraId="12822F3B">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073" w:type="pct"/>
            <w:noWrap w:val="0"/>
            <w:vAlign w:val="center"/>
          </w:tcPr>
          <w:p w14:paraId="5D172EAF">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施工人员</w:t>
            </w:r>
          </w:p>
        </w:tc>
        <w:tc>
          <w:tcPr>
            <w:tcW w:w="1073" w:type="pct"/>
            <w:noWrap w:val="0"/>
            <w:vAlign w:val="center"/>
          </w:tcPr>
          <w:p w14:paraId="05265559">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施工人员生活</w:t>
            </w:r>
          </w:p>
        </w:tc>
        <w:tc>
          <w:tcPr>
            <w:tcW w:w="2156" w:type="pct"/>
            <w:noWrap w:val="0"/>
            <w:vAlign w:val="center"/>
          </w:tcPr>
          <w:p w14:paraId="5A249414">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生活噪声</w:t>
            </w:r>
          </w:p>
        </w:tc>
      </w:tr>
      <w:tr w14:paraId="613D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96" w:type="pct"/>
            <w:vMerge w:val="restart"/>
            <w:noWrap w:val="0"/>
            <w:vAlign w:val="center"/>
          </w:tcPr>
          <w:p w14:paraId="49FCE959">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073" w:type="pct"/>
            <w:noWrap w:val="0"/>
            <w:vAlign w:val="center"/>
          </w:tcPr>
          <w:p w14:paraId="0E4B4B1E">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建筑垃圾</w:t>
            </w:r>
          </w:p>
        </w:tc>
        <w:tc>
          <w:tcPr>
            <w:tcW w:w="1073" w:type="pct"/>
            <w:noWrap w:val="0"/>
            <w:vAlign w:val="center"/>
          </w:tcPr>
          <w:p w14:paraId="136CD6FD">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施工过程</w:t>
            </w:r>
          </w:p>
        </w:tc>
        <w:tc>
          <w:tcPr>
            <w:tcW w:w="2156" w:type="pct"/>
            <w:noWrap w:val="0"/>
            <w:vAlign w:val="center"/>
          </w:tcPr>
          <w:p w14:paraId="228BFF13">
            <w:pPr>
              <w:pStyle w:val="69"/>
              <w:spacing w:before="21"/>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土石方、建材等建筑垃圾</w:t>
            </w:r>
          </w:p>
        </w:tc>
      </w:tr>
      <w:tr w14:paraId="4C875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96" w:type="pct"/>
            <w:vMerge w:val="continue"/>
            <w:tcBorders>
              <w:top w:val="nil"/>
            </w:tcBorders>
            <w:noWrap w:val="0"/>
            <w:vAlign w:val="center"/>
          </w:tcPr>
          <w:p w14:paraId="1233A79E">
            <w:pPr>
              <w:ind w:left="0" w:leftChars="0" w:right="-10" w:rightChars="0" w:firstLine="0" w:firstLineChars="0"/>
              <w:jc w:val="center"/>
              <w:rPr>
                <w:rFonts w:hint="default" w:ascii="Times New Roman" w:hAnsi="Times New Roman" w:cs="Times New Roman"/>
                <w:color w:val="auto"/>
                <w:sz w:val="21"/>
                <w:szCs w:val="21"/>
                <w:highlight w:val="none"/>
              </w:rPr>
            </w:pPr>
          </w:p>
        </w:tc>
        <w:tc>
          <w:tcPr>
            <w:tcW w:w="1073" w:type="pct"/>
            <w:noWrap w:val="0"/>
            <w:vAlign w:val="center"/>
          </w:tcPr>
          <w:p w14:paraId="1D1039AE">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生活固废</w:t>
            </w:r>
          </w:p>
        </w:tc>
        <w:tc>
          <w:tcPr>
            <w:tcW w:w="1073" w:type="pct"/>
            <w:noWrap w:val="0"/>
            <w:vAlign w:val="center"/>
          </w:tcPr>
          <w:p w14:paraId="49796676">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施工人员生活</w:t>
            </w:r>
          </w:p>
        </w:tc>
        <w:tc>
          <w:tcPr>
            <w:tcW w:w="2156" w:type="pct"/>
            <w:noWrap w:val="0"/>
            <w:vAlign w:val="center"/>
          </w:tcPr>
          <w:p w14:paraId="14AD72C7">
            <w:pPr>
              <w:pStyle w:val="69"/>
              <w:spacing w:before="20"/>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r>
    </w:tbl>
    <w:p w14:paraId="764CD9A7">
      <w:pPr>
        <w:pStyle w:val="73"/>
        <w:keepNext w:val="0"/>
        <w:keepLines w:val="0"/>
        <w:pageBreakBefore w:val="0"/>
        <w:widowControl w:val="0"/>
        <w:numPr>
          <w:ilvl w:val="0"/>
          <w:numId w:val="0"/>
        </w:numPr>
        <w:tabs>
          <w:tab w:val="left" w:pos="1382"/>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施工废气</w:t>
      </w:r>
    </w:p>
    <w:p w14:paraId="7525167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施工期废气主要包括燃油机械尾气、扬尘。</w:t>
      </w:r>
    </w:p>
    <w:p w14:paraId="05305F6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燃油机械尾气为各类燃油机械在作业时产生的废气，主要含CO和NO</w:t>
      </w:r>
      <w:r>
        <w:rPr>
          <w:rFonts w:hint="default" w:ascii="Times New Roman" w:hAnsi="Times New Roman" w:cs="Times New Roman"/>
          <w:color w:val="auto"/>
          <w:highlight w:val="none"/>
          <w:vertAlign w:val="subscript"/>
        </w:rPr>
        <w:t>X</w:t>
      </w:r>
      <w:r>
        <w:rPr>
          <w:rFonts w:hint="default" w:ascii="Times New Roman" w:hAnsi="Times New Roman" w:cs="Times New Roman"/>
          <w:color w:val="auto"/>
        </w:rPr>
        <w:t>等废气；施工产生的地面扬尘主要来自四个方面：一是来自土方的挖掘、回填扬尘及现场堆放扬尘，二是来自建筑材料包括白灰、水泥、沙子等搬运和搅拌扬尘，三是施工垃圾的清理及堆放扬尘；四是来自来往运输车辆引起的二次扬尘。</w:t>
      </w:r>
    </w:p>
    <w:p w14:paraId="25405083">
      <w:pPr>
        <w:pStyle w:val="73"/>
        <w:keepNext w:val="0"/>
        <w:keepLines w:val="0"/>
        <w:pageBreakBefore w:val="0"/>
        <w:widowControl w:val="0"/>
        <w:numPr>
          <w:ilvl w:val="0"/>
          <w:numId w:val="0"/>
        </w:numPr>
        <w:tabs>
          <w:tab w:val="left" w:pos="1382"/>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施工废水</w:t>
      </w:r>
    </w:p>
    <w:p w14:paraId="6FDAE5D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施工期产生的污水主要包括施工生产废水和施工人员的生活污水。</w:t>
      </w:r>
    </w:p>
    <w:p w14:paraId="7576639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施工生产废水为混凝土现场搅拌产生废水、混凝土</w:t>
      </w:r>
      <w:r>
        <w:rPr>
          <w:rFonts w:hint="default" w:ascii="Times New Roman" w:hAnsi="Times New Roman" w:cs="Times New Roman"/>
          <w:color w:val="auto"/>
          <w:lang w:eastAsia="zh-CN"/>
        </w:rPr>
        <w:t>拌和</w:t>
      </w:r>
      <w:r>
        <w:rPr>
          <w:rFonts w:hint="default" w:ascii="Times New Roman" w:hAnsi="Times New Roman" w:cs="Times New Roman"/>
          <w:color w:val="auto"/>
        </w:rPr>
        <w:t>冲洗污水、混凝土养护废水、施工材料被雨水冲刷形成的污水以及施工机械跑、冒、滴、漏的油污随地表径流形成的污水。施工污水的特点是悬浮物含量高，含有一定的油污，据类比调查，施工污水的悬浮物浓度约为1500~2000mg/L，肆意排放会造成周边水环境的污染，必须妥善处置。施工现场修建防渗沉淀池，将施工废水集中收集到沉淀池中，经沉淀后将上清液循环使用或用于施工场地洒水抑尘，实现施工废水零排放。</w:t>
      </w:r>
    </w:p>
    <w:p w14:paraId="60F28F6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本项目施工高峰期约有</w:t>
      </w:r>
      <w:r>
        <w:rPr>
          <w:rFonts w:hint="default" w:ascii="Times New Roman" w:hAnsi="Times New Roman" w:cs="Times New Roman"/>
          <w:color w:val="auto"/>
          <w:lang w:val="en-US" w:eastAsia="zh-CN"/>
        </w:rPr>
        <w:t>50</w:t>
      </w:r>
      <w:r>
        <w:rPr>
          <w:rFonts w:hint="default" w:ascii="Times New Roman" w:hAnsi="Times New Roman" w:cs="Times New Roman"/>
          <w:color w:val="auto"/>
        </w:rPr>
        <w:t>人/天，按用水量30L/人·d和排水量80%计，排水量为</w:t>
      </w:r>
      <w:r>
        <w:rPr>
          <w:rFonts w:hint="default" w:ascii="Times New Roman" w:hAnsi="Times New Roman" w:cs="Times New Roman"/>
          <w:color w:val="auto"/>
          <w:lang w:val="en-US" w:eastAsia="zh-CN"/>
        </w:rPr>
        <w:t>1.2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/d，根据类比调查，施工场地生活污水中主要污染物浓度COD、BOD</w:t>
      </w:r>
      <w:r>
        <w:rPr>
          <w:rFonts w:hint="default" w:ascii="Times New Roman" w:hAnsi="Times New Roman" w:cs="Times New Roman"/>
          <w:color w:val="auto"/>
          <w:vertAlign w:val="subscript"/>
        </w:rPr>
        <w:t>5</w:t>
      </w:r>
      <w:r>
        <w:rPr>
          <w:rFonts w:hint="default" w:ascii="Times New Roman" w:hAnsi="Times New Roman" w:cs="Times New Roman"/>
          <w:color w:val="auto"/>
        </w:rPr>
        <w:t>和氨氮分别为300mg/L、200mg/L和30mg/L，则本项目施工期COD、BOD</w:t>
      </w:r>
      <w:r>
        <w:rPr>
          <w:rFonts w:hint="default" w:ascii="Times New Roman" w:hAnsi="Times New Roman" w:cs="Times New Roman"/>
          <w:color w:val="auto"/>
          <w:vertAlign w:val="subscript"/>
        </w:rPr>
        <w:t>5</w:t>
      </w:r>
      <w:r>
        <w:rPr>
          <w:rFonts w:hint="default" w:ascii="Times New Roman" w:hAnsi="Times New Roman" w:cs="Times New Roman"/>
          <w:color w:val="auto"/>
        </w:rPr>
        <w:t>和氨氮的产生量分别为</w:t>
      </w:r>
      <w:r>
        <w:rPr>
          <w:rFonts w:hint="default" w:ascii="Times New Roman" w:hAnsi="Times New Roman" w:cs="Times New Roman"/>
          <w:color w:val="auto"/>
          <w:lang w:val="en-US"/>
        </w:rPr>
        <w:t>0.</w:t>
      </w:r>
      <w:r>
        <w:rPr>
          <w:rFonts w:hint="default" w:ascii="Times New Roman" w:hAnsi="Times New Roman" w:cs="Times New Roman"/>
          <w:color w:val="auto"/>
          <w:lang w:val="en-US" w:eastAsia="zh-CN"/>
        </w:rPr>
        <w:t>36</w:t>
      </w:r>
      <w:r>
        <w:rPr>
          <w:rFonts w:hint="default" w:ascii="Times New Roman" w:hAnsi="Times New Roman" w:cs="Times New Roman"/>
          <w:color w:val="auto"/>
        </w:rPr>
        <w:t>kg/d、</w:t>
      </w:r>
      <w:r>
        <w:rPr>
          <w:rFonts w:hint="default" w:ascii="Times New Roman" w:hAnsi="Times New Roman" w:cs="Times New Roman"/>
          <w:color w:val="auto"/>
          <w:lang w:val="en-US"/>
        </w:rPr>
        <w:t>0.</w:t>
      </w:r>
      <w:r>
        <w:rPr>
          <w:rFonts w:hint="default" w:ascii="Times New Roman" w:hAnsi="Times New Roman" w:cs="Times New Roman"/>
          <w:color w:val="auto"/>
          <w:lang w:val="en-US" w:eastAsia="zh-CN"/>
        </w:rPr>
        <w:t>24</w:t>
      </w:r>
      <w:r>
        <w:rPr>
          <w:rFonts w:hint="default" w:ascii="Times New Roman" w:hAnsi="Times New Roman" w:cs="Times New Roman"/>
          <w:color w:val="auto"/>
        </w:rPr>
        <w:t>kg/d和</w:t>
      </w:r>
      <w:r>
        <w:rPr>
          <w:rFonts w:hint="default" w:ascii="Times New Roman" w:hAnsi="Times New Roman" w:cs="Times New Roman"/>
          <w:color w:val="auto"/>
          <w:lang w:val="en-US"/>
        </w:rPr>
        <w:t>0.0</w:t>
      </w:r>
      <w:r>
        <w:rPr>
          <w:rFonts w:hint="default" w:ascii="Times New Roman" w:hAnsi="Times New Roman" w:cs="Times New Roman"/>
          <w:color w:val="auto"/>
          <w:lang w:val="en-US" w:eastAsia="zh-CN"/>
        </w:rPr>
        <w:t>36</w:t>
      </w:r>
      <w:r>
        <w:rPr>
          <w:rFonts w:hint="default" w:ascii="Times New Roman" w:hAnsi="Times New Roman" w:cs="Times New Roman"/>
          <w:color w:val="auto"/>
        </w:rPr>
        <w:t>kg/d。</w:t>
      </w:r>
    </w:p>
    <w:p w14:paraId="7ACF741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施工噪声</w:t>
      </w:r>
    </w:p>
    <w:p w14:paraId="0EE5C6C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本项目施工内容包括场地清理、土方开挖回填、构筑物的修建等。本项目施工期噪声源主要是设备噪声和机械噪声。施工机械较多，这些声源具有噪声高、无规则等特点，噪声源强在75~115dB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之间。此外还有施工车辆的交通噪声，噪声源强在80~90dB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之间。</w:t>
      </w:r>
    </w:p>
    <w:p w14:paraId="5E69817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施工固废</w:t>
      </w:r>
    </w:p>
    <w:p w14:paraId="59DA512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施工期间产生的固体废物主要来源于挖掘土方、建筑施工中产生的废土石方、建筑垃圾以及施工人员产生的生活垃圾。</w:t>
      </w:r>
    </w:p>
    <w:p w14:paraId="77ED27C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本项目施工高峰期约有</w:t>
      </w:r>
      <w:r>
        <w:rPr>
          <w:rFonts w:hint="default" w:ascii="Times New Roman" w:hAnsi="Times New Roman" w:cs="Times New Roman"/>
          <w:color w:val="auto"/>
          <w:lang w:val="en-US"/>
        </w:rPr>
        <w:t>50</w:t>
      </w:r>
      <w:r>
        <w:rPr>
          <w:rFonts w:hint="default" w:ascii="Times New Roman" w:hAnsi="Times New Roman" w:cs="Times New Roman"/>
          <w:color w:val="auto"/>
        </w:rPr>
        <w:t>人/天，生活垃圾产生量以0.5kg/人·d计，生活垃圾产生量为</w:t>
      </w:r>
      <w:r>
        <w:rPr>
          <w:rFonts w:hint="default" w:ascii="Times New Roman" w:hAnsi="Times New Roman" w:cs="Times New Roman"/>
          <w:color w:val="auto"/>
          <w:lang w:val="en-US"/>
        </w:rPr>
        <w:t>0.025</w:t>
      </w:r>
      <w:r>
        <w:rPr>
          <w:rFonts w:hint="default" w:ascii="Times New Roman" w:hAnsi="Times New Roman" w:cs="Times New Roman"/>
          <w:color w:val="auto"/>
        </w:rPr>
        <w:t>t/d，生活垃圾主要成分为：烂菜叶、残剩食物、塑料饭盒和塑料袋、碎玻璃、废金属、果皮核屑等。生活垃圾集中堆放在垃圾箱内，由环卫部门定期清运。</w:t>
      </w:r>
    </w:p>
    <w:p w14:paraId="7D87CB1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本项目在建设过程中产生的建筑垃圾主要有开挖土地产生的土方、建材损耗产生的垃圾。建筑垃圾应尽量回收有用材料，不能回收的部分委托有关部门妥善处理。</w:t>
      </w:r>
    </w:p>
    <w:p w14:paraId="2E41D77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在建设过程中需进行土方开挖，会产生大量的土石方及弃土弃渣，预计土石方量将达数千立方米。所有的弃土弃石和建筑垃圾全部用于回填、绿化等内部消化，土石方尽量做到内部平衡。确需外运的，应严格按照有关部门的规定执行。</w:t>
      </w:r>
    </w:p>
    <w:p w14:paraId="629AFCE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5</w:t>
      </w:r>
      <w:r>
        <w:rPr>
          <w:rFonts w:hint="default" w:ascii="Times New Roman" w:hAnsi="Times New Roman" w:cs="Times New Roman"/>
          <w:color w:val="auto"/>
        </w:rPr>
        <w:t>）水土流失</w:t>
      </w:r>
    </w:p>
    <w:p w14:paraId="170BB27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在工程施工过程中的开挖、回填将对地表产生扰动，造成一定的水土流失。水土流失的主要原因是基础开挖时对原有地表的破坏，使土壤裸露松散，改变原有下垫面和地形地貌，增加土壤的可蚀性引起水土流失；场地开挖施工时，产生的土石方临时堆放，受降雨冲刷影响造成侵蚀引起水土流失。</w:t>
      </w:r>
    </w:p>
    <w:p w14:paraId="5BA6E419">
      <w:pPr>
        <w:pStyle w:val="4"/>
        <w:bidi w:val="0"/>
        <w:rPr>
          <w:rFonts w:hint="default" w:ascii="Times New Roman" w:hAnsi="Times New Roman" w:cs="Times New Roman"/>
          <w:color w:val="auto"/>
          <w:lang w:val="en-US" w:eastAsia="zh-CN"/>
        </w:rPr>
      </w:pPr>
      <w:bookmarkStart w:id="57" w:name="_Toc22948"/>
      <w:bookmarkStart w:id="58" w:name="_Toc23091"/>
      <w:r>
        <w:rPr>
          <w:rFonts w:hint="default" w:ascii="Times New Roman" w:hAnsi="Times New Roman" w:cs="Times New Roman"/>
          <w:color w:val="auto"/>
          <w:lang w:val="en-US" w:eastAsia="zh-CN"/>
        </w:rPr>
        <w:t>运营期污染源分析</w:t>
      </w:r>
      <w:bookmarkEnd w:id="57"/>
      <w:bookmarkEnd w:id="58"/>
    </w:p>
    <w:p w14:paraId="65B510C6">
      <w:pPr>
        <w:pStyle w:val="5"/>
        <w:bidi w:val="0"/>
        <w:rPr>
          <w:rFonts w:hint="default" w:ascii="Times New Roman" w:hAnsi="Times New Roman" w:cs="Times New Roman"/>
          <w:color w:val="auto"/>
          <w:lang w:val="en-US" w:eastAsia="zh-CN"/>
        </w:rPr>
      </w:pPr>
      <w:bookmarkStart w:id="59" w:name="_Toc14859"/>
      <w:bookmarkStart w:id="60" w:name="_Toc23184"/>
      <w:r>
        <w:rPr>
          <w:rFonts w:hint="default" w:ascii="Times New Roman" w:hAnsi="Times New Roman" w:cs="Times New Roman"/>
          <w:color w:val="auto"/>
          <w:lang w:val="en-US" w:eastAsia="zh-CN"/>
        </w:rPr>
        <w:t>废气</w:t>
      </w:r>
      <w:bookmarkEnd w:id="59"/>
      <w:bookmarkEnd w:id="60"/>
    </w:p>
    <w:p w14:paraId="736C5ED8">
      <w:pPr>
        <w:spacing w:line="360" w:lineRule="auto"/>
        <w:ind w:firstLine="480" w:firstLineChars="200"/>
        <w:rPr>
          <w:rFonts w:hint="default" w:ascii="Times New Roman" w:hAnsi="Times New Roman" w:cs="Times New Roman"/>
          <w:color w:val="FF0000"/>
          <w:sz w:val="24"/>
        </w:rPr>
      </w:pPr>
      <w:bookmarkStart w:id="61" w:name="_Toc8545"/>
      <w:bookmarkStart w:id="62" w:name="_Toc21270"/>
      <w:r>
        <w:rPr>
          <w:rFonts w:hint="default" w:ascii="Times New Roman" w:hAnsi="Times New Roman" w:cs="Times New Roman"/>
          <w:color w:val="FF0000"/>
          <w:sz w:val="24"/>
        </w:rPr>
        <w:t>本项目运营后，主要的大气污染源包括：</w:t>
      </w:r>
      <w:r>
        <w:rPr>
          <w:rFonts w:hint="default" w:ascii="Times New Roman" w:hAnsi="Times New Roman" w:cs="Times New Roman"/>
          <w:color w:val="FF0000"/>
          <w:sz w:val="24"/>
          <w:lang w:val="en-US" w:eastAsia="zh-CN"/>
        </w:rPr>
        <w:t>饲料加工产生的颗粒物、鸡</w:t>
      </w:r>
      <w:r>
        <w:rPr>
          <w:rFonts w:hint="default" w:ascii="Times New Roman" w:hAnsi="Times New Roman" w:cs="Times New Roman"/>
          <w:color w:val="FF0000"/>
          <w:sz w:val="24"/>
        </w:rPr>
        <w:t>舍、</w:t>
      </w:r>
      <w:r>
        <w:rPr>
          <w:rFonts w:hint="default" w:ascii="Times New Roman" w:hAnsi="Times New Roman" w:cs="Times New Roman"/>
          <w:color w:val="FF0000"/>
          <w:sz w:val="24"/>
          <w:lang w:eastAsia="zh-CN"/>
        </w:rPr>
        <w:t>鸡粪发酵处理场</w:t>
      </w:r>
      <w:r>
        <w:rPr>
          <w:rFonts w:hint="default" w:ascii="Times New Roman" w:hAnsi="Times New Roman" w:cs="Times New Roman"/>
          <w:color w:val="FF0000"/>
          <w:sz w:val="24"/>
        </w:rPr>
        <w:t>散逸的恶臭、饮食业油烟等。</w:t>
      </w:r>
    </w:p>
    <w:p w14:paraId="661E477A">
      <w:pPr>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饲料加工粉尘</w:t>
      </w:r>
    </w:p>
    <w:p w14:paraId="3BD00A42">
      <w:pPr>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根据《排放源统计调查产排污核算方法和系数手册》中的132饲料加工行业系数手册，可计算粉尘的产生量，产污系数取值</w:t>
      </w:r>
      <w:r>
        <w:rPr>
          <w:rFonts w:hint="default" w:ascii="Times New Roman" w:hAnsi="Times New Roman" w:eastAsia="宋体" w:cs="Times New Roman"/>
          <w:color w:val="FF0000"/>
          <w:sz w:val="24"/>
          <w:szCs w:val="24"/>
          <w:lang w:val="en-US" w:eastAsia="zh-CN"/>
        </w:rPr>
        <w:t>0.043kg/t</w:t>
      </w:r>
      <w:r>
        <w:rPr>
          <w:rFonts w:hint="eastAsia" w:ascii="Times New Roman" w:hAnsi="Times New Roman" w:cs="Times New Roman"/>
          <w:color w:val="FF0000"/>
          <w:sz w:val="24"/>
          <w:szCs w:val="24"/>
          <w:lang w:val="en-US" w:eastAsia="zh-CN"/>
        </w:rPr>
        <w:t>（</w:t>
      </w:r>
      <w:r>
        <w:rPr>
          <w:rFonts w:hint="default" w:ascii="Times New Roman" w:hAnsi="Times New Roman" w:eastAsia="宋体" w:cs="Times New Roman"/>
          <w:color w:val="FF0000"/>
          <w:sz w:val="24"/>
          <w:szCs w:val="24"/>
        </w:rPr>
        <w:t>＜10万吨/年</w:t>
      </w:r>
      <w:r>
        <w:rPr>
          <w:rFonts w:hint="default" w:ascii="Times New Roman" w:hAnsi="Times New Roman" w:eastAsia="宋体" w:cs="Times New Roman"/>
          <w:color w:val="FF0000"/>
          <w:sz w:val="24"/>
          <w:szCs w:val="24"/>
          <w:lang w:val="en-US" w:eastAsia="zh-CN"/>
        </w:rPr>
        <w:t>)，本项目加工饲料2万吨，颗粒物的产生量为0.86t/a，每天加工4个小时，一共生产365天。</w:t>
      </w:r>
    </w:p>
    <w:p w14:paraId="137DCD29">
      <w:pPr>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本项目</w:t>
      </w:r>
      <w:r>
        <w:rPr>
          <w:rFonts w:hint="default" w:ascii="Times New Roman" w:hAnsi="Times New Roman" w:eastAsia="宋体" w:cs="Times New Roman"/>
          <w:color w:val="FF0000"/>
          <w:sz w:val="24"/>
          <w:szCs w:val="24"/>
          <w:lang w:val="en-US" w:eastAsia="zh-CN"/>
        </w:rPr>
        <w:t>玉米储存于封闭料仓，其他袋装储存，</w:t>
      </w:r>
      <w:r>
        <w:rPr>
          <w:rFonts w:hint="default" w:ascii="Times New Roman" w:hAnsi="Times New Roman" w:eastAsia="宋体" w:cs="Times New Roman"/>
          <w:color w:val="FF0000"/>
          <w:sz w:val="24"/>
          <w:szCs w:val="24"/>
          <w:lang w:eastAsia="zh-CN"/>
        </w:rPr>
        <w:t>粉碎、搅拌</w:t>
      </w:r>
      <w:r>
        <w:rPr>
          <w:rFonts w:hint="default" w:ascii="Times New Roman" w:hAnsi="Times New Roman" w:eastAsia="宋体" w:cs="Times New Roman"/>
          <w:color w:val="FF0000"/>
          <w:sz w:val="24"/>
          <w:szCs w:val="24"/>
        </w:rPr>
        <w:t>工序物料通过刮板机、提升机</w:t>
      </w:r>
      <w:r>
        <w:rPr>
          <w:rFonts w:hint="default" w:ascii="Times New Roman" w:hAnsi="Times New Roman" w:eastAsia="宋体" w:cs="Times New Roman"/>
          <w:color w:val="FF0000"/>
          <w:sz w:val="24"/>
          <w:szCs w:val="24"/>
          <w:lang w:eastAsia="zh-CN"/>
        </w:rPr>
        <w:t>封闭</w:t>
      </w:r>
      <w:r>
        <w:rPr>
          <w:rFonts w:hint="default" w:ascii="Times New Roman" w:hAnsi="Times New Roman" w:eastAsia="宋体" w:cs="Times New Roman"/>
          <w:color w:val="FF0000"/>
          <w:sz w:val="24"/>
          <w:szCs w:val="24"/>
        </w:rPr>
        <w:t>输送，输送过程无粉尘产生。</w:t>
      </w:r>
      <w:r>
        <w:rPr>
          <w:rFonts w:hint="default" w:ascii="Times New Roman" w:hAnsi="Times New Roman" w:eastAsia="宋体" w:cs="Times New Roman"/>
          <w:color w:val="FF0000"/>
          <w:sz w:val="24"/>
          <w:szCs w:val="24"/>
          <w:lang w:eastAsia="zh-CN"/>
        </w:rPr>
        <w:t>粉碎、搅拌</w:t>
      </w:r>
      <w:r>
        <w:rPr>
          <w:rFonts w:hint="default" w:ascii="Times New Roman" w:hAnsi="Times New Roman" w:eastAsia="宋体" w:cs="Times New Roman"/>
          <w:color w:val="FF0000"/>
          <w:sz w:val="24"/>
          <w:szCs w:val="24"/>
        </w:rPr>
        <w:t>设备运行时保持</w:t>
      </w:r>
      <w:r>
        <w:rPr>
          <w:rFonts w:hint="default" w:ascii="Times New Roman" w:hAnsi="Times New Roman" w:eastAsia="宋体" w:cs="Times New Roman"/>
          <w:color w:val="FF0000"/>
          <w:sz w:val="24"/>
          <w:szCs w:val="24"/>
          <w:lang w:eastAsia="zh-CN"/>
        </w:rPr>
        <w:t>封闭</w:t>
      </w:r>
      <w:r>
        <w:rPr>
          <w:rFonts w:hint="default" w:ascii="Times New Roman" w:hAnsi="Times New Roman" w:eastAsia="宋体" w:cs="Times New Roman"/>
          <w:color w:val="FF0000"/>
          <w:sz w:val="24"/>
          <w:szCs w:val="24"/>
        </w:rPr>
        <w:t>，并通过负压吸风收集粉尘，粉尘</w:t>
      </w:r>
      <w:r>
        <w:rPr>
          <w:rFonts w:hint="default" w:ascii="Times New Roman" w:hAnsi="Times New Roman" w:eastAsia="宋体" w:cs="Times New Roman"/>
          <w:color w:val="FF0000"/>
          <w:sz w:val="24"/>
          <w:szCs w:val="24"/>
          <w:lang w:val="en-US" w:eastAsia="zh-CN"/>
        </w:rPr>
        <w:t>90</w:t>
      </w:r>
      <w:r>
        <w:rPr>
          <w:rFonts w:hint="default" w:ascii="Times New Roman" w:hAnsi="Times New Roman" w:eastAsia="宋体" w:cs="Times New Roman"/>
          <w:color w:val="FF0000"/>
          <w:sz w:val="24"/>
          <w:szCs w:val="24"/>
        </w:rPr>
        <w:t>%被收集。但粉碎机及配料仓粉尘沉降室上设置有换气口，主要作用是为了使沉降室中的气压平衡，换气口设备自带设置脉冲布袋除尘器，除尘原理是使含尘气流作旋转运动，借助于离心力将尘粒从气流中分离并捕集于器壁，再借助重力作用使尘粒落入灰斗，脉冲布袋除尘器的除尘效率在9</w:t>
      </w:r>
      <w:r>
        <w:rPr>
          <w:rFonts w:hint="default" w:ascii="Times New Roman" w:hAnsi="Times New Roman" w:eastAsia="宋体" w:cs="Times New Roman"/>
          <w:color w:val="FF0000"/>
          <w:sz w:val="24"/>
          <w:szCs w:val="24"/>
          <w:lang w:val="en-US" w:eastAsia="zh-CN"/>
        </w:rPr>
        <w:t>0</w:t>
      </w:r>
      <w:r>
        <w:rPr>
          <w:rFonts w:hint="default" w:ascii="Times New Roman" w:hAnsi="Times New Roman" w:eastAsia="宋体" w:cs="Times New Roman"/>
          <w:color w:val="FF0000"/>
          <w:sz w:val="24"/>
          <w:szCs w:val="24"/>
        </w:rPr>
        <w:t>%左右。项目饲料粉碎、</w:t>
      </w:r>
      <w:r>
        <w:rPr>
          <w:rFonts w:hint="default" w:ascii="Times New Roman" w:hAnsi="Times New Roman" w:eastAsia="宋体" w:cs="Times New Roman"/>
          <w:color w:val="FF0000"/>
          <w:sz w:val="24"/>
          <w:szCs w:val="24"/>
          <w:lang w:val="en-US" w:eastAsia="zh-CN"/>
        </w:rPr>
        <w:t>搅拌</w:t>
      </w:r>
      <w:r>
        <w:rPr>
          <w:rFonts w:hint="default" w:ascii="Times New Roman" w:hAnsi="Times New Roman" w:eastAsia="宋体" w:cs="Times New Roman"/>
          <w:color w:val="FF0000"/>
          <w:sz w:val="24"/>
          <w:szCs w:val="24"/>
        </w:rPr>
        <w:t>工序配套设置</w:t>
      </w:r>
      <w:r>
        <w:rPr>
          <w:rFonts w:hint="default"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lang w:eastAsia="zh-CN"/>
        </w:rPr>
        <w:t>套</w:t>
      </w:r>
      <w:r>
        <w:rPr>
          <w:rFonts w:hint="default" w:ascii="Times New Roman" w:hAnsi="Times New Roman" w:eastAsia="宋体" w:cs="Times New Roman"/>
          <w:color w:val="FF0000"/>
          <w:sz w:val="24"/>
          <w:szCs w:val="24"/>
        </w:rPr>
        <w:t>脉冲布袋除尘器（</w:t>
      </w:r>
      <w:r>
        <w:rPr>
          <w:rFonts w:hint="default" w:ascii="Times New Roman" w:hAnsi="Times New Roman" w:eastAsia="宋体" w:cs="Times New Roman"/>
          <w:color w:val="FF0000"/>
          <w:sz w:val="24"/>
          <w:szCs w:val="24"/>
          <w:lang w:val="en-US" w:eastAsia="zh-CN"/>
        </w:rPr>
        <w:t>风量为2000m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lang w:val="en-US" w:eastAsia="zh-CN"/>
        </w:rPr>
        <w:t>/h</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sz w:val="24"/>
          <w:szCs w:val="24"/>
          <w:lang w:val="en-US" w:eastAsia="zh-CN"/>
        </w:rPr>
        <w:t>经1根15米排气筒（DA001）排放</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sz w:val="24"/>
          <w:szCs w:val="24"/>
          <w:lang w:val="en-US" w:eastAsia="zh-CN"/>
        </w:rPr>
        <w:t>排放量为0.078t/a，排放速率为0.053kg/h，排放浓度为26.71mg/m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lang w:val="en-US" w:eastAsia="zh-CN"/>
        </w:rPr>
        <w:t>。无组织粉尘0.086t/a未被收集无组织排放。</w:t>
      </w:r>
    </w:p>
    <w:p w14:paraId="717647B7">
      <w:pPr>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color w:val="FF0000"/>
          <w:sz w:val="24"/>
        </w:rPr>
        <w:t>（</w:t>
      </w:r>
      <w:r>
        <w:rPr>
          <w:rFonts w:hint="default" w:ascii="Times New Roman" w:hAnsi="Times New Roman" w:cs="Times New Roman"/>
          <w:color w:val="FF0000"/>
          <w:sz w:val="24"/>
          <w:lang w:val="en-US" w:eastAsia="zh-CN"/>
        </w:rPr>
        <w:t>2</w:t>
      </w:r>
      <w:r>
        <w:rPr>
          <w:rFonts w:hint="default" w:ascii="Times New Roman" w:hAnsi="Times New Roman" w:cs="Times New Roman"/>
          <w:color w:val="FF0000"/>
          <w:sz w:val="24"/>
        </w:rPr>
        <w:t>）恶臭气体排放源分析</w:t>
      </w:r>
    </w:p>
    <w:bookmarkEnd w:id="61"/>
    <w:bookmarkEnd w:id="62"/>
    <w:p w14:paraId="34466B8C">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鸡舍中不可避免会有恶臭气体产生，刚排泄出的粪便会挥发出氨、硫化氢等有害气体，进而产生甲硫醇、多胺、脂肪酸、吲哚等，在高温季节更加明显。鸡舍内可能存在的臭味化合物不少于168种，恶臭气体中的大部分成分对人和动物有刺激性和毒性，吸入某些高浓度恶臭气体可引起急性中毒，长时间吸入低浓度不良气体，会导致慢性中毒，降低代谢机能和免疫功能，使畜禽生产力下降，发病率和死亡率升高，严重影响周围环境，本次评价废气以NH</w:t>
      </w:r>
      <w:r>
        <w:rPr>
          <w:rFonts w:hint="default" w:ascii="Times New Roman" w:hAnsi="Times New Roman" w:cs="Times New Roman"/>
          <w:color w:val="FF0000"/>
          <w:highlight w:val="none"/>
          <w:vertAlign w:val="subscript"/>
          <w:lang w:val="en-US" w:eastAsia="zh-CN"/>
        </w:rPr>
        <w:t>3</w:t>
      </w:r>
      <w:r>
        <w:rPr>
          <w:rFonts w:hint="default" w:ascii="Times New Roman" w:hAnsi="Times New Roman" w:cs="Times New Roman"/>
          <w:color w:val="FF0000"/>
          <w:lang w:val="en-US" w:eastAsia="zh-CN"/>
        </w:rPr>
        <w:t>和H</w:t>
      </w:r>
      <w:r>
        <w:rPr>
          <w:rFonts w:hint="default" w:ascii="Times New Roman" w:hAnsi="Times New Roman" w:cs="Times New Roman"/>
          <w:color w:val="FF0000"/>
          <w:highlight w:val="none"/>
          <w:vertAlign w:val="subscript"/>
          <w:lang w:val="en-US" w:eastAsia="zh-CN"/>
        </w:rPr>
        <w:t>2</w:t>
      </w:r>
      <w:r>
        <w:rPr>
          <w:rFonts w:hint="default" w:ascii="Times New Roman" w:hAnsi="Times New Roman" w:cs="Times New Roman"/>
          <w:color w:val="FF0000"/>
          <w:lang w:val="en-US" w:eastAsia="zh-CN"/>
        </w:rPr>
        <w:t>S为特征污染物进行评价。</w:t>
      </w:r>
    </w:p>
    <w:p w14:paraId="7A73C23F">
      <w:pPr>
        <w:pStyle w:val="14"/>
        <w:bidi w:val="0"/>
        <w:rPr>
          <w:rFonts w:hint="default" w:ascii="Times New Roman" w:hAnsi="Times New Roman" w:cs="Times New Roman"/>
          <w:color w:val="FF0000"/>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3.5</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cs="Times New Roman"/>
          <w:color w:val="FF0000"/>
        </w:rPr>
        <w:t>恶臭物质理化性质</w:t>
      </w:r>
    </w:p>
    <w:tbl>
      <w:tblPr>
        <w:tblStyle w:val="76"/>
        <w:tblW w:w="83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1945"/>
      </w:tblGrid>
      <w:tr w14:paraId="2E259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133" w:type="dxa"/>
            <w:noWrap w:val="0"/>
            <w:vAlign w:val="top"/>
          </w:tcPr>
          <w:p w14:paraId="07102D1C">
            <w:pPr>
              <w:pStyle w:val="113"/>
              <w:spacing w:before="37" w:line="215" w:lineRule="auto"/>
              <w:ind w:left="654"/>
              <w:rPr>
                <w:rFonts w:hint="default" w:ascii="Times New Roman" w:hAnsi="Times New Roman" w:cs="Times New Roman"/>
                <w:color w:val="FF0000"/>
                <w:sz w:val="21"/>
                <w:szCs w:val="21"/>
              </w:rPr>
            </w:pPr>
            <w:r>
              <w:rPr>
                <w:rFonts w:hint="default" w:ascii="Times New Roman" w:hAnsi="Times New Roman" w:cs="Times New Roman"/>
                <w:color w:val="FF0000"/>
                <w:spacing w:val="7"/>
                <w:sz w:val="21"/>
                <w:szCs w:val="21"/>
              </w:rPr>
              <w:t>恶臭物质</w:t>
            </w:r>
          </w:p>
        </w:tc>
        <w:tc>
          <w:tcPr>
            <w:tcW w:w="2129" w:type="dxa"/>
            <w:noWrap w:val="0"/>
            <w:vAlign w:val="top"/>
          </w:tcPr>
          <w:p w14:paraId="26CFD363">
            <w:pPr>
              <w:pStyle w:val="113"/>
              <w:spacing w:before="37" w:line="215" w:lineRule="auto"/>
              <w:ind w:left="757"/>
              <w:rPr>
                <w:rFonts w:hint="default" w:ascii="Times New Roman" w:hAnsi="Times New Roman" w:cs="Times New Roman"/>
                <w:color w:val="FF0000"/>
                <w:sz w:val="21"/>
                <w:szCs w:val="21"/>
              </w:rPr>
            </w:pPr>
            <w:r>
              <w:rPr>
                <w:rFonts w:hint="default" w:ascii="Times New Roman" w:hAnsi="Times New Roman" w:cs="Times New Roman"/>
                <w:color w:val="FF0000"/>
                <w:spacing w:val="6"/>
                <w:sz w:val="21"/>
                <w:szCs w:val="21"/>
              </w:rPr>
              <w:t>分子式</w:t>
            </w:r>
          </w:p>
        </w:tc>
        <w:tc>
          <w:tcPr>
            <w:tcW w:w="2130" w:type="dxa"/>
            <w:noWrap w:val="0"/>
            <w:vAlign w:val="top"/>
          </w:tcPr>
          <w:p w14:paraId="259F043F">
            <w:pPr>
              <w:pStyle w:val="113"/>
              <w:spacing w:before="6" w:line="263" w:lineRule="exact"/>
              <w:ind w:left="511"/>
              <w:rPr>
                <w:rFonts w:hint="default" w:ascii="Times New Roman" w:hAnsi="Times New Roman" w:eastAsia="Times New Roman" w:cs="Times New Roman"/>
                <w:color w:val="FF0000"/>
                <w:sz w:val="21"/>
                <w:szCs w:val="21"/>
              </w:rPr>
            </w:pPr>
            <w:r>
              <w:rPr>
                <w:rFonts w:hint="default" w:ascii="Times New Roman" w:hAnsi="Times New Roman" w:cs="Times New Roman"/>
                <w:color w:val="FF0000"/>
                <w:spacing w:val="6"/>
                <w:position w:val="2"/>
                <w:sz w:val="21"/>
                <w:szCs w:val="21"/>
              </w:rPr>
              <w:t>嗅</w:t>
            </w:r>
            <w:r>
              <w:rPr>
                <w:rFonts w:hint="default" w:ascii="Times New Roman" w:hAnsi="Times New Roman" w:eastAsia="宋体" w:cs="Times New Roman"/>
                <w:color w:val="FF0000"/>
                <w:spacing w:val="6"/>
                <w:position w:val="2"/>
                <w:sz w:val="21"/>
                <w:szCs w:val="21"/>
                <w:lang w:eastAsia="zh-CN"/>
              </w:rPr>
              <w:t>阈值（</w:t>
            </w:r>
            <w:r>
              <w:rPr>
                <w:rFonts w:hint="default" w:ascii="Times New Roman" w:hAnsi="Times New Roman" w:eastAsia="Times New Roman" w:cs="Times New Roman"/>
                <w:color w:val="FF0000"/>
                <w:position w:val="2"/>
                <w:sz w:val="21"/>
                <w:szCs w:val="21"/>
              </w:rPr>
              <w:t>ppm</w:t>
            </w:r>
            <w:r>
              <w:rPr>
                <w:rFonts w:hint="default" w:ascii="Times New Roman" w:hAnsi="Times New Roman" w:eastAsia="宋体" w:cs="Times New Roman"/>
                <w:color w:val="FF0000"/>
                <w:position w:val="2"/>
                <w:sz w:val="21"/>
                <w:szCs w:val="21"/>
                <w:lang w:eastAsia="zh-CN"/>
              </w:rPr>
              <w:t>）</w:t>
            </w:r>
          </w:p>
        </w:tc>
        <w:tc>
          <w:tcPr>
            <w:tcW w:w="1945" w:type="dxa"/>
            <w:noWrap w:val="0"/>
            <w:vAlign w:val="top"/>
          </w:tcPr>
          <w:p w14:paraId="6DB761B8">
            <w:pPr>
              <w:pStyle w:val="113"/>
              <w:spacing w:before="37" w:line="215" w:lineRule="auto"/>
              <w:ind w:left="652"/>
              <w:rPr>
                <w:rFonts w:hint="default" w:ascii="Times New Roman" w:hAnsi="Times New Roman" w:cs="Times New Roman"/>
                <w:color w:val="FF0000"/>
                <w:sz w:val="21"/>
                <w:szCs w:val="21"/>
              </w:rPr>
            </w:pPr>
            <w:r>
              <w:rPr>
                <w:rFonts w:hint="default" w:ascii="Times New Roman" w:hAnsi="Times New Roman" w:cs="Times New Roman"/>
                <w:color w:val="FF0000"/>
                <w:spacing w:val="7"/>
                <w:sz w:val="21"/>
                <w:szCs w:val="21"/>
              </w:rPr>
              <w:t>臭气特征</w:t>
            </w:r>
          </w:p>
        </w:tc>
      </w:tr>
      <w:tr w14:paraId="57E1F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133" w:type="dxa"/>
            <w:noWrap w:val="0"/>
            <w:vAlign w:val="top"/>
          </w:tcPr>
          <w:p w14:paraId="10376B40">
            <w:pPr>
              <w:pStyle w:val="113"/>
              <w:spacing w:before="33" w:line="215" w:lineRule="auto"/>
              <w:ind w:left="967"/>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氨</w:t>
            </w:r>
          </w:p>
        </w:tc>
        <w:tc>
          <w:tcPr>
            <w:tcW w:w="2129" w:type="dxa"/>
            <w:noWrap w:val="0"/>
            <w:vAlign w:val="top"/>
          </w:tcPr>
          <w:p w14:paraId="158495F0">
            <w:pPr>
              <w:spacing w:before="57" w:line="199" w:lineRule="auto"/>
              <w:ind w:left="873"/>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pacing w:val="6"/>
                <w:sz w:val="21"/>
                <w:szCs w:val="21"/>
              </w:rPr>
              <w:t>NH</w:t>
            </w:r>
            <w:r>
              <w:rPr>
                <w:rFonts w:hint="default" w:ascii="Times New Roman" w:hAnsi="Times New Roman" w:eastAsia="Times New Roman" w:cs="Times New Roman"/>
                <w:color w:val="FF0000"/>
                <w:spacing w:val="6"/>
                <w:position w:val="-1"/>
                <w:sz w:val="21"/>
                <w:szCs w:val="21"/>
                <w:vertAlign w:val="subscript"/>
              </w:rPr>
              <w:t>3</w:t>
            </w:r>
          </w:p>
        </w:tc>
        <w:tc>
          <w:tcPr>
            <w:tcW w:w="2130" w:type="dxa"/>
            <w:noWrap w:val="0"/>
            <w:vAlign w:val="top"/>
          </w:tcPr>
          <w:p w14:paraId="6C589AC8">
            <w:pPr>
              <w:spacing w:before="54" w:line="195" w:lineRule="auto"/>
              <w:ind w:left="903"/>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pacing w:val="-2"/>
                <w:sz w:val="21"/>
                <w:szCs w:val="21"/>
              </w:rPr>
              <w:t>1.54</w:t>
            </w:r>
          </w:p>
        </w:tc>
        <w:tc>
          <w:tcPr>
            <w:tcW w:w="1945" w:type="dxa"/>
            <w:noWrap w:val="0"/>
            <w:vAlign w:val="top"/>
          </w:tcPr>
          <w:p w14:paraId="6AD3EB0D">
            <w:pPr>
              <w:pStyle w:val="113"/>
              <w:spacing w:before="33" w:line="215" w:lineRule="auto"/>
              <w:ind w:left="755"/>
              <w:rPr>
                <w:rFonts w:hint="default" w:ascii="Times New Roman" w:hAnsi="Times New Roman" w:cs="Times New Roman"/>
                <w:color w:val="FF0000"/>
                <w:sz w:val="21"/>
                <w:szCs w:val="21"/>
              </w:rPr>
            </w:pPr>
            <w:r>
              <w:rPr>
                <w:rFonts w:hint="default" w:ascii="Times New Roman" w:hAnsi="Times New Roman" w:cs="Times New Roman"/>
                <w:color w:val="FF0000"/>
                <w:spacing w:val="7"/>
                <w:sz w:val="21"/>
                <w:szCs w:val="21"/>
              </w:rPr>
              <w:t>刺激味</w:t>
            </w:r>
          </w:p>
        </w:tc>
      </w:tr>
      <w:tr w14:paraId="5EC52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133" w:type="dxa"/>
            <w:noWrap w:val="0"/>
            <w:vAlign w:val="top"/>
          </w:tcPr>
          <w:p w14:paraId="2CE0FFDE">
            <w:pPr>
              <w:pStyle w:val="113"/>
              <w:spacing w:before="34" w:line="217" w:lineRule="auto"/>
              <w:ind w:left="755"/>
              <w:rPr>
                <w:rFonts w:hint="default" w:ascii="Times New Roman" w:hAnsi="Times New Roman" w:cs="Times New Roman"/>
                <w:color w:val="FF0000"/>
                <w:sz w:val="21"/>
                <w:szCs w:val="21"/>
              </w:rPr>
            </w:pPr>
            <w:r>
              <w:rPr>
                <w:rFonts w:hint="default" w:ascii="Times New Roman" w:hAnsi="Times New Roman" w:cs="Times New Roman"/>
                <w:color w:val="FF0000"/>
                <w:spacing w:val="7"/>
                <w:sz w:val="21"/>
                <w:szCs w:val="21"/>
              </w:rPr>
              <w:t>硫化氢</w:t>
            </w:r>
          </w:p>
        </w:tc>
        <w:tc>
          <w:tcPr>
            <w:tcW w:w="2129" w:type="dxa"/>
            <w:noWrap w:val="0"/>
            <w:vAlign w:val="top"/>
          </w:tcPr>
          <w:p w14:paraId="0320CFD4">
            <w:pPr>
              <w:spacing w:before="54" w:line="202" w:lineRule="auto"/>
              <w:ind w:left="896"/>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pacing w:val="3"/>
                <w:sz w:val="21"/>
                <w:szCs w:val="21"/>
              </w:rPr>
              <w:t>H</w:t>
            </w:r>
            <w:r>
              <w:rPr>
                <w:rFonts w:hint="default" w:ascii="Times New Roman" w:hAnsi="Times New Roman" w:eastAsia="Times New Roman" w:cs="Times New Roman"/>
                <w:color w:val="FF0000"/>
                <w:spacing w:val="3"/>
                <w:position w:val="-1"/>
                <w:sz w:val="21"/>
                <w:szCs w:val="21"/>
                <w:vertAlign w:val="subscript"/>
              </w:rPr>
              <w:t>2</w:t>
            </w:r>
            <w:r>
              <w:rPr>
                <w:rFonts w:hint="default" w:ascii="Times New Roman" w:hAnsi="Times New Roman" w:eastAsia="Times New Roman" w:cs="Times New Roman"/>
                <w:color w:val="FF0000"/>
                <w:spacing w:val="3"/>
                <w:sz w:val="21"/>
                <w:szCs w:val="21"/>
              </w:rPr>
              <w:t>S</w:t>
            </w:r>
          </w:p>
        </w:tc>
        <w:tc>
          <w:tcPr>
            <w:tcW w:w="2130" w:type="dxa"/>
            <w:noWrap w:val="0"/>
            <w:vAlign w:val="top"/>
          </w:tcPr>
          <w:p w14:paraId="21C63028">
            <w:pPr>
              <w:spacing w:before="54" w:line="195" w:lineRule="auto"/>
              <w:ind w:left="780"/>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pacing w:val="3"/>
                <w:sz w:val="21"/>
                <w:szCs w:val="21"/>
              </w:rPr>
              <w:t>0.0041</w:t>
            </w:r>
          </w:p>
        </w:tc>
        <w:tc>
          <w:tcPr>
            <w:tcW w:w="1945" w:type="dxa"/>
            <w:noWrap w:val="0"/>
            <w:vAlign w:val="top"/>
          </w:tcPr>
          <w:p w14:paraId="7ACD3D3E">
            <w:pPr>
              <w:pStyle w:val="113"/>
              <w:spacing w:before="34" w:line="217" w:lineRule="auto"/>
              <w:ind w:left="755"/>
              <w:rPr>
                <w:rFonts w:hint="default" w:ascii="Times New Roman" w:hAnsi="Times New Roman" w:cs="Times New Roman"/>
                <w:color w:val="FF0000"/>
                <w:sz w:val="21"/>
                <w:szCs w:val="21"/>
              </w:rPr>
            </w:pPr>
            <w:r>
              <w:rPr>
                <w:rFonts w:hint="default" w:ascii="Times New Roman" w:hAnsi="Times New Roman" w:cs="Times New Roman"/>
                <w:color w:val="FF0000"/>
                <w:spacing w:val="6"/>
                <w:sz w:val="21"/>
                <w:szCs w:val="21"/>
              </w:rPr>
              <w:t>臭蛋味</w:t>
            </w:r>
          </w:p>
        </w:tc>
      </w:tr>
    </w:tbl>
    <w:p w14:paraId="0D7F6D1D">
      <w:pPr>
        <w:spacing w:line="360" w:lineRule="auto"/>
        <w:ind w:firstLine="480"/>
        <w:rPr>
          <w:rFonts w:hint="default" w:ascii="Times New Roman" w:hAnsi="Times New Roman" w:eastAsia="宋体" w:cs="Times New Roman"/>
          <w:color w:val="FF0000"/>
          <w:spacing w:val="-3"/>
          <w:position w:val="2"/>
          <w:sz w:val="24"/>
          <w:szCs w:val="24"/>
        </w:rPr>
      </w:pPr>
      <w:r>
        <w:rPr>
          <w:rFonts w:hint="default" w:ascii="Times New Roman" w:hAnsi="Times New Roman" w:eastAsia="宋体" w:cs="Times New Roman"/>
          <w:color w:val="FF0000"/>
          <w:spacing w:val="-3"/>
          <w:sz w:val="24"/>
          <w:szCs w:val="24"/>
        </w:rPr>
        <w:t>根据相关资料，鸡粪中氨态氮转化为氨气释放主要集中在一次发酵阶段完成，即</w:t>
      </w:r>
      <w:r>
        <w:rPr>
          <w:rFonts w:hint="default" w:ascii="Times New Roman" w:hAnsi="Times New Roman" w:eastAsia="宋体" w:cs="Times New Roman"/>
          <w:color w:val="FF0000"/>
          <w:sz w:val="24"/>
          <w:szCs w:val="24"/>
        </w:rPr>
        <w:t>主要在新鲜粪便产生后的</w:t>
      </w:r>
      <w:r>
        <w:rPr>
          <w:rFonts w:hint="default" w:ascii="Times New Roman" w:hAnsi="Times New Roman" w:eastAsia="Times New Roman" w:cs="Times New Roman"/>
          <w:color w:val="FF0000"/>
          <w:sz w:val="24"/>
          <w:szCs w:val="24"/>
        </w:rPr>
        <w:t>15d</w:t>
      </w:r>
      <w:r>
        <w:rPr>
          <w:rFonts w:hint="default" w:ascii="Times New Roman" w:hAnsi="Times New Roman" w:eastAsia="宋体" w:cs="Times New Roman"/>
          <w:color w:val="FF0000"/>
          <w:sz w:val="24"/>
          <w:szCs w:val="24"/>
        </w:rPr>
        <w:t>内转化。其中鸡舍中氨气的释放量按转化</w:t>
      </w:r>
      <w:r>
        <w:rPr>
          <w:rFonts w:hint="default" w:ascii="Times New Roman" w:hAnsi="Times New Roman" w:eastAsia="Times New Roman" w:cs="Times New Roman"/>
          <w:color w:val="FF0000"/>
          <w:sz w:val="24"/>
          <w:szCs w:val="24"/>
        </w:rPr>
        <w:t>ld</w:t>
      </w:r>
      <w:r>
        <w:rPr>
          <w:rFonts w:hint="default" w:ascii="Times New Roman" w:hAnsi="Times New Roman" w:eastAsia="宋体" w:cs="Times New Roman"/>
          <w:color w:val="FF0000"/>
          <w:sz w:val="24"/>
          <w:szCs w:val="24"/>
        </w:rPr>
        <w:t>计，</w:t>
      </w:r>
      <w:r>
        <w:rPr>
          <w:rFonts w:hint="default" w:ascii="Times New Roman" w:hAnsi="Times New Roman" w:eastAsia="Times New Roman" w:cs="Times New Roman"/>
          <w:color w:val="FF0000"/>
          <w:spacing w:val="-2"/>
          <w:sz w:val="24"/>
          <w:szCs w:val="24"/>
        </w:rPr>
        <w:t>H</w:t>
      </w:r>
      <w:r>
        <w:rPr>
          <w:rFonts w:hint="default" w:ascii="Times New Roman" w:hAnsi="Times New Roman" w:eastAsia="Times New Roman" w:cs="Times New Roman"/>
          <w:color w:val="FF0000"/>
          <w:spacing w:val="-2"/>
          <w:position w:val="-1"/>
          <w:sz w:val="15"/>
          <w:szCs w:val="15"/>
        </w:rPr>
        <w:t>2</w:t>
      </w:r>
      <w:r>
        <w:rPr>
          <w:rFonts w:hint="default" w:ascii="Times New Roman" w:hAnsi="Times New Roman" w:eastAsia="Times New Roman" w:cs="Times New Roman"/>
          <w:color w:val="FF0000"/>
          <w:spacing w:val="-2"/>
          <w:sz w:val="24"/>
          <w:szCs w:val="24"/>
        </w:rPr>
        <w:t>S</w:t>
      </w:r>
      <w:r>
        <w:rPr>
          <w:rFonts w:hint="default" w:ascii="Times New Roman" w:hAnsi="Times New Roman" w:eastAsia="宋体" w:cs="Times New Roman"/>
          <w:color w:val="FF0000"/>
          <w:spacing w:val="-2"/>
          <w:sz w:val="24"/>
          <w:szCs w:val="24"/>
        </w:rPr>
        <w:t>主要产生于细菌在厌氧或无氧条件下对鸡粪中含硫蛋白质的分解，其产生量</w:t>
      </w:r>
      <w:r>
        <w:rPr>
          <w:rFonts w:hint="default" w:ascii="Times New Roman" w:hAnsi="Times New Roman" w:eastAsia="宋体" w:cs="Times New Roman"/>
          <w:color w:val="FF0000"/>
          <w:spacing w:val="-3"/>
          <w:position w:val="2"/>
          <w:sz w:val="24"/>
          <w:szCs w:val="24"/>
        </w:rPr>
        <w:t>约为氨气的</w:t>
      </w:r>
      <w:r>
        <w:rPr>
          <w:rFonts w:hint="default" w:ascii="Times New Roman" w:hAnsi="Times New Roman" w:eastAsia="Times New Roman" w:cs="Times New Roman"/>
          <w:color w:val="FF0000"/>
          <w:spacing w:val="-3"/>
          <w:position w:val="2"/>
          <w:sz w:val="24"/>
          <w:szCs w:val="24"/>
        </w:rPr>
        <w:t>10%</w:t>
      </w:r>
      <w:r>
        <w:rPr>
          <w:rFonts w:hint="default" w:ascii="Times New Roman" w:hAnsi="Times New Roman" w:eastAsia="宋体" w:cs="Times New Roman"/>
          <w:color w:val="FF0000"/>
          <w:spacing w:val="-3"/>
          <w:position w:val="2"/>
          <w:sz w:val="24"/>
          <w:szCs w:val="24"/>
        </w:rPr>
        <w:t>。</w:t>
      </w:r>
    </w:p>
    <w:p w14:paraId="61404567">
      <w:pPr>
        <w:spacing w:line="360" w:lineRule="auto"/>
        <w:ind w:firstLine="48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根据《排污许可证申请与核发技术规范畜禽养殖行业》（HJ1029-2019）中表9，蛋鸡粪便产生量为0.13kg/d·只，粪便中总氮排污量按1.2g/d·只计，</w:t>
      </w:r>
    </w:p>
    <w:p w14:paraId="09285386">
      <w:pPr>
        <w:spacing w:line="360" w:lineRule="auto"/>
        <w:ind w:firstLine="480"/>
        <w:jc w:val="both"/>
        <w:rPr>
          <w:rFonts w:hint="default" w:ascii="Times New Roman" w:hAnsi="Times New Roman" w:cs="Times New Roman"/>
          <w:color w:val="FF0000"/>
          <w:sz w:val="24"/>
          <w:lang w:val="en-US" w:eastAsia="zh-CN"/>
        </w:rPr>
      </w:pPr>
      <w:r>
        <w:rPr>
          <w:rFonts w:hint="default" w:ascii="Times New Roman" w:hAnsi="Times New Roman" w:eastAsia="宋体" w:cs="Times New Roman"/>
          <w:color w:val="FF0000"/>
          <w:sz w:val="24"/>
          <w:szCs w:val="24"/>
        </w:rPr>
        <w:t>本项目育雏鸡、育成鸡的鸡粪产生系数、鸡粪中总氮含量按其饲养周期和体重参考产蛋鸡的系数进行折算（根据建设单位提供的饲养数据，项目所饲养的鸡种，雏鸡饲养周期的平均体重约380g，育成鸡饲养周期的平均体重为860g，产蛋鸡平均体重为1250g），则育雏鸡的鸡粪产生系数为0.04kg/d·只、鸡粪中总氮含量0.4g/d·只。</w:t>
      </w:r>
    </w:p>
    <w:p w14:paraId="7DAB8360">
      <w:pPr>
        <w:spacing w:line="360" w:lineRule="auto"/>
        <w:ind w:firstLine="48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养殖场全年蛋鸡和</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存栏量分别为30万羽，则项目</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鸡粪产生量为4380t/a，总氮产生量为43.8t/a，氮的挥发量约占总量的10%，其中NH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占挥发氮的25%，H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S含量约为NH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的10%，则养殖场恶臭废气中NH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S的产生量分别为1.095t/a（43.8*10%*25%=1.095）、0.1095t/a。</w:t>
      </w:r>
    </w:p>
    <w:p w14:paraId="0418E9B3">
      <w:pPr>
        <w:spacing w:line="360" w:lineRule="auto"/>
        <w:ind w:firstLine="480"/>
        <w:jc w:val="both"/>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项目蛋鸡鸡粪产生量为14235t/a，总氮产生量为131.4t/a，氮的挥发量约占总量的10%，其中NH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占挥发氮的25%，H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S含量约为NH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的10%，则养殖场恶臭废气中NH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S的产生量分别为3.285t/a（131.4*10%*25%=3.285）、0.3285t/a。</w:t>
      </w:r>
    </w:p>
    <w:p w14:paraId="763A8167">
      <w:pPr>
        <w:spacing w:line="360" w:lineRule="auto"/>
        <w:ind w:firstLine="468" w:firstLineChars="200"/>
        <w:rPr>
          <w:rFonts w:hint="default" w:ascii="Times New Roman" w:hAnsi="Times New Roman" w:cs="Times New Roman"/>
          <w:color w:val="FF0000"/>
          <w:highlight w:val="yellow"/>
        </w:rPr>
      </w:pPr>
      <w:r>
        <w:rPr>
          <w:rFonts w:hint="default" w:ascii="Times New Roman" w:hAnsi="Times New Roman" w:eastAsia="宋体" w:cs="Times New Roman"/>
          <w:color w:val="FF0000"/>
          <w:spacing w:val="-3"/>
          <w:sz w:val="24"/>
          <w:szCs w:val="24"/>
        </w:rPr>
        <w:t>治理措施：鸡舍采用干清粪工艺，</w:t>
      </w:r>
      <w:r>
        <w:rPr>
          <w:rFonts w:hint="default" w:ascii="Times New Roman" w:hAnsi="Times New Roman" w:cs="Times New Roman"/>
          <w:color w:val="FF0000"/>
          <w:sz w:val="24"/>
        </w:rPr>
        <w:t>每栋鸡舍均设自动清粪系统，鸡舍内设横斜向</w:t>
      </w:r>
      <w:r>
        <w:rPr>
          <w:rFonts w:hint="eastAsia" w:ascii="Times New Roman" w:hAnsi="Times New Roman" w:cs="Times New Roman"/>
          <w:color w:val="FF0000"/>
          <w:sz w:val="24"/>
          <w:lang w:eastAsia="zh-CN"/>
        </w:rPr>
        <w:t>粪便传送带</w:t>
      </w:r>
      <w:r>
        <w:rPr>
          <w:rFonts w:hint="default" w:ascii="Times New Roman" w:hAnsi="Times New Roman" w:cs="Times New Roman"/>
          <w:color w:val="FF0000"/>
          <w:sz w:val="24"/>
        </w:rPr>
        <w:t>，鸡排出的粪便主要通过清粪机进入横向</w:t>
      </w:r>
      <w:r>
        <w:rPr>
          <w:rFonts w:hint="eastAsia" w:ascii="Times New Roman" w:hAnsi="Times New Roman" w:cs="Times New Roman"/>
          <w:color w:val="FF0000"/>
          <w:sz w:val="24"/>
          <w:lang w:eastAsia="zh-CN"/>
        </w:rPr>
        <w:t>粪便传送带</w:t>
      </w:r>
      <w:r>
        <w:rPr>
          <w:rFonts w:hint="default" w:ascii="Times New Roman" w:hAnsi="Times New Roman" w:cs="Times New Roman"/>
          <w:color w:val="FF0000"/>
          <w:sz w:val="24"/>
        </w:rPr>
        <w:t>内，传输至清粪房再通过斜向</w:t>
      </w:r>
      <w:r>
        <w:rPr>
          <w:rFonts w:hint="eastAsia" w:ascii="Times New Roman" w:hAnsi="Times New Roman" w:cs="Times New Roman"/>
          <w:color w:val="FF0000"/>
          <w:sz w:val="24"/>
          <w:lang w:eastAsia="zh-CN"/>
        </w:rPr>
        <w:t>粪便传送带</w:t>
      </w:r>
      <w:r>
        <w:rPr>
          <w:rFonts w:hint="default" w:ascii="Times New Roman" w:hAnsi="Times New Roman" w:cs="Times New Roman"/>
          <w:color w:val="FF0000"/>
          <w:sz w:val="24"/>
        </w:rPr>
        <w:t>进入</w:t>
      </w:r>
      <w:r>
        <w:rPr>
          <w:rFonts w:hint="default" w:ascii="Times New Roman" w:hAnsi="Times New Roman" w:cs="Times New Roman"/>
          <w:color w:val="FF0000"/>
          <w:sz w:val="24"/>
          <w:lang w:eastAsia="zh-CN"/>
        </w:rPr>
        <w:t>鸡粪发酵处理场</w:t>
      </w:r>
      <w:r>
        <w:rPr>
          <w:rFonts w:hint="default" w:ascii="Times New Roman" w:hAnsi="Times New Roman" w:cs="Times New Roman"/>
          <w:color w:val="FF0000"/>
          <w:sz w:val="24"/>
        </w:rPr>
        <w:t>，发酵处理后，</w:t>
      </w:r>
      <w:r>
        <w:rPr>
          <w:rFonts w:hint="default" w:ascii="Times New Roman" w:hAnsi="Times New Roman" w:eastAsia="宋体" w:cs="Times New Roman"/>
          <w:color w:val="FF0000"/>
          <w:sz w:val="24"/>
          <w:lang w:val="en-US" w:eastAsia="zh-CN"/>
        </w:rPr>
        <w:t>外售农户实现</w:t>
      </w:r>
      <w:r>
        <w:rPr>
          <w:rFonts w:hint="default" w:ascii="Times New Roman" w:hAnsi="Times New Roman" w:eastAsia="宋体" w:cs="Times New Roman"/>
          <w:color w:val="FF0000"/>
          <w:sz w:val="24"/>
          <w:lang w:eastAsia="zh-CN"/>
        </w:rPr>
        <w:t>综</w:t>
      </w:r>
      <w:r>
        <w:rPr>
          <w:rFonts w:hint="default" w:ascii="Times New Roman" w:hAnsi="Times New Roman" w:cs="Times New Roman"/>
          <w:color w:val="FF0000"/>
          <w:sz w:val="24"/>
          <w:lang w:eastAsia="zh-CN"/>
        </w:rPr>
        <w:t>合利用</w:t>
      </w:r>
      <w:r>
        <w:rPr>
          <w:rFonts w:hint="default" w:ascii="Times New Roman" w:hAnsi="Times New Roman" w:cs="Times New Roman"/>
          <w:color w:val="FF0000"/>
          <w:sz w:val="24"/>
        </w:rPr>
        <w:t>。</w:t>
      </w:r>
      <w:r>
        <w:rPr>
          <w:rFonts w:hint="default" w:ascii="Times New Roman" w:hAnsi="Times New Roman" w:eastAsia="宋体" w:cs="Times New Roman"/>
          <w:color w:val="FF0000"/>
          <w:spacing w:val="-8"/>
          <w:sz w:val="24"/>
          <w:szCs w:val="24"/>
        </w:rPr>
        <w:t>因而鸡粪在鸡舍内的积累和堆存时间相对较短；</w:t>
      </w:r>
      <w:r>
        <w:rPr>
          <w:rFonts w:hint="default" w:ascii="Times New Roman" w:hAnsi="Times New Roman" w:eastAsia="宋体" w:cs="Times New Roman"/>
          <w:color w:val="FF0000"/>
          <w:spacing w:val="-3"/>
          <w:position w:val="2"/>
          <w:sz w:val="24"/>
          <w:szCs w:val="24"/>
        </w:rPr>
        <w:t>则鸡舍各污染源产生量详见表</w:t>
      </w:r>
      <w:r>
        <w:rPr>
          <w:rFonts w:hint="default" w:ascii="Times New Roman" w:hAnsi="Times New Roman" w:eastAsia="Times New Roman" w:cs="Times New Roman"/>
          <w:color w:val="FF0000"/>
          <w:spacing w:val="-3"/>
          <w:position w:val="2"/>
          <w:sz w:val="24"/>
          <w:szCs w:val="24"/>
          <w:highlight w:val="none"/>
        </w:rPr>
        <w:t>3.</w:t>
      </w:r>
      <w:r>
        <w:rPr>
          <w:rFonts w:hint="default" w:ascii="Times New Roman" w:hAnsi="Times New Roman" w:eastAsia="宋体" w:cs="Times New Roman"/>
          <w:color w:val="FF0000"/>
          <w:spacing w:val="-3"/>
          <w:position w:val="2"/>
          <w:sz w:val="24"/>
          <w:szCs w:val="24"/>
          <w:highlight w:val="none"/>
          <w:lang w:val="en-US" w:eastAsia="zh-CN"/>
        </w:rPr>
        <w:t>5-3</w:t>
      </w:r>
      <w:r>
        <w:rPr>
          <w:rFonts w:hint="default" w:ascii="Times New Roman" w:hAnsi="Times New Roman" w:eastAsia="宋体" w:cs="Times New Roman"/>
          <w:color w:val="FF0000"/>
          <w:spacing w:val="-3"/>
          <w:position w:val="2"/>
          <w:sz w:val="24"/>
          <w:szCs w:val="24"/>
          <w:highlight w:val="none"/>
        </w:rPr>
        <w:t>。</w:t>
      </w:r>
    </w:p>
    <w:p w14:paraId="1B68B6A0">
      <w:pPr>
        <w:pStyle w:val="14"/>
        <w:spacing w:before="36" w:line="221" w:lineRule="auto"/>
        <w:ind w:left="2628"/>
        <w:jc w:val="both"/>
        <w:rPr>
          <w:rFonts w:hint="default" w:ascii="Times New Roman" w:hAnsi="Times New Roman" w:eastAsia="宋体" w:cs="Times New Roman"/>
          <w:b/>
          <w:bCs/>
          <w:color w:val="FF0000"/>
          <w:sz w:val="21"/>
          <w:szCs w:val="21"/>
          <w:lang w:val="en-US" w:eastAsia="zh-CN"/>
        </w:rPr>
      </w:pPr>
      <w:r>
        <w:rPr>
          <w:rFonts w:hint="default" w:ascii="Times New Roman" w:hAnsi="Times New Roman" w:cs="Times New Roman"/>
          <w:color w:val="FF0000"/>
          <w:sz w:val="21"/>
          <w:szCs w:val="21"/>
          <w:highlight w:val="none"/>
        </w:rPr>
        <w:t>表</w:t>
      </w:r>
      <w:r>
        <w:rPr>
          <w:rFonts w:hint="default" w:ascii="Times New Roman" w:hAnsi="Times New Roman" w:cs="Times New Roman"/>
          <w:color w:val="FF0000"/>
          <w:sz w:val="21"/>
          <w:szCs w:val="21"/>
          <w:highlight w:val="none"/>
        </w:rPr>
        <w:fldChar w:fldCharType="begin"/>
      </w:r>
      <w:r>
        <w:rPr>
          <w:rFonts w:hint="default" w:ascii="Times New Roman" w:hAnsi="Times New Roman" w:cs="Times New Roman"/>
          <w:color w:val="FF0000"/>
          <w:sz w:val="21"/>
          <w:szCs w:val="21"/>
          <w:highlight w:val="none"/>
        </w:rPr>
        <w:instrText xml:space="preserve"> STYLEREF 2 \s </w:instrText>
      </w:r>
      <w:r>
        <w:rPr>
          <w:rFonts w:hint="default" w:ascii="Times New Roman" w:hAnsi="Times New Roman" w:cs="Times New Roman"/>
          <w:color w:val="FF0000"/>
          <w:sz w:val="21"/>
          <w:szCs w:val="21"/>
          <w:highlight w:val="none"/>
        </w:rPr>
        <w:fldChar w:fldCharType="separate"/>
      </w:r>
      <w:r>
        <w:rPr>
          <w:rFonts w:hint="default" w:ascii="Times New Roman" w:hAnsi="Times New Roman" w:cs="Times New Roman"/>
          <w:color w:val="FF0000"/>
          <w:sz w:val="21"/>
          <w:szCs w:val="21"/>
          <w:highlight w:val="none"/>
        </w:rPr>
        <w:t>3.5</w:t>
      </w:r>
      <w:r>
        <w:rPr>
          <w:rFonts w:hint="default" w:ascii="Times New Roman" w:hAnsi="Times New Roman" w:cs="Times New Roman"/>
          <w:color w:val="FF0000"/>
          <w:sz w:val="21"/>
          <w:szCs w:val="21"/>
          <w:highlight w:val="none"/>
        </w:rPr>
        <w:fldChar w:fldCharType="end"/>
      </w:r>
      <w:r>
        <w:rPr>
          <w:rFonts w:hint="default" w:ascii="Times New Roman" w:hAnsi="Times New Roman" w:cs="Times New Roman"/>
          <w:color w:val="FF0000"/>
          <w:sz w:val="21"/>
          <w:szCs w:val="21"/>
          <w:highlight w:val="none"/>
          <w:lang w:eastAsia="zh-CN"/>
        </w:rPr>
        <w:t>-</w:t>
      </w:r>
      <w:r>
        <w:rPr>
          <w:rFonts w:hint="default" w:ascii="Times New Roman" w:hAnsi="Times New Roman" w:cs="Times New Roman"/>
          <w:color w:val="FF0000"/>
          <w:sz w:val="21"/>
          <w:szCs w:val="21"/>
          <w:highlight w:val="none"/>
        </w:rPr>
        <w:fldChar w:fldCharType="begin"/>
      </w:r>
      <w:r>
        <w:rPr>
          <w:rFonts w:hint="default" w:ascii="Times New Roman" w:hAnsi="Times New Roman" w:cs="Times New Roman"/>
          <w:color w:val="FF0000"/>
          <w:sz w:val="21"/>
          <w:szCs w:val="21"/>
          <w:highlight w:val="none"/>
        </w:rPr>
        <w:instrText xml:space="preserve"> SEQ 表 \* ARABIC \s 2 </w:instrText>
      </w:r>
      <w:r>
        <w:rPr>
          <w:rFonts w:hint="default" w:ascii="Times New Roman" w:hAnsi="Times New Roman" w:cs="Times New Roman"/>
          <w:color w:val="FF0000"/>
          <w:sz w:val="21"/>
          <w:szCs w:val="21"/>
          <w:highlight w:val="none"/>
        </w:rPr>
        <w:fldChar w:fldCharType="separate"/>
      </w:r>
      <w:r>
        <w:rPr>
          <w:rFonts w:hint="default" w:ascii="Times New Roman" w:hAnsi="Times New Roman" w:cs="Times New Roman"/>
          <w:color w:val="FF0000"/>
          <w:sz w:val="21"/>
          <w:szCs w:val="21"/>
          <w:highlight w:val="none"/>
        </w:rPr>
        <w:t>3</w:t>
      </w:r>
      <w:r>
        <w:rPr>
          <w:rFonts w:hint="default" w:ascii="Times New Roman" w:hAnsi="Times New Roman" w:cs="Times New Roman"/>
          <w:color w:val="FF0000"/>
          <w:sz w:val="21"/>
          <w:szCs w:val="21"/>
          <w:highlight w:val="none"/>
        </w:rPr>
        <w:fldChar w:fldCharType="end"/>
      </w:r>
      <w:r>
        <w:rPr>
          <w:rFonts w:hint="default" w:ascii="Times New Roman" w:hAnsi="Times New Roman" w:eastAsia="宋体" w:cs="Times New Roman"/>
          <w:b/>
          <w:bCs/>
          <w:color w:val="FF0000"/>
          <w:spacing w:val="6"/>
          <w:sz w:val="21"/>
          <w:szCs w:val="21"/>
        </w:rPr>
        <w:t>鸡舍各污染源产生量一览表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988"/>
        <w:gridCol w:w="1600"/>
        <w:gridCol w:w="1376"/>
        <w:gridCol w:w="1253"/>
        <w:gridCol w:w="1134"/>
        <w:gridCol w:w="1200"/>
      </w:tblGrid>
      <w:tr w14:paraId="5897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573" w:type="pct"/>
            <w:tcBorders>
              <w:tl2br w:val="nil"/>
              <w:tr2bl w:val="nil"/>
            </w:tcBorders>
            <w:noWrap w:val="0"/>
            <w:vAlign w:val="center"/>
          </w:tcPr>
          <w:p w14:paraId="7E39A8E9">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项目</w:t>
            </w:r>
          </w:p>
        </w:tc>
        <w:tc>
          <w:tcPr>
            <w:tcW w:w="579" w:type="pct"/>
            <w:tcBorders>
              <w:tl2br w:val="nil"/>
              <w:tr2bl w:val="nil"/>
            </w:tcBorders>
            <w:noWrap w:val="0"/>
            <w:vAlign w:val="center"/>
          </w:tcPr>
          <w:p w14:paraId="7791EFD7">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名称</w:t>
            </w:r>
          </w:p>
        </w:tc>
        <w:tc>
          <w:tcPr>
            <w:tcW w:w="937" w:type="pct"/>
            <w:tcBorders>
              <w:tl2br w:val="nil"/>
              <w:tr2bl w:val="nil"/>
            </w:tcBorders>
            <w:noWrap w:val="0"/>
            <w:vAlign w:val="center"/>
          </w:tcPr>
          <w:p w14:paraId="2B132228">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数量</w:t>
            </w:r>
          </w:p>
        </w:tc>
        <w:tc>
          <w:tcPr>
            <w:tcW w:w="806" w:type="pct"/>
            <w:tcBorders>
              <w:tl2br w:val="nil"/>
              <w:tr2bl w:val="nil"/>
            </w:tcBorders>
            <w:noWrap w:val="0"/>
            <w:vAlign w:val="center"/>
          </w:tcPr>
          <w:p w14:paraId="7CB2D95C">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鸡粪产生量t/a</w:t>
            </w:r>
          </w:p>
        </w:tc>
        <w:tc>
          <w:tcPr>
            <w:tcW w:w="734" w:type="pct"/>
            <w:tcBorders>
              <w:tl2br w:val="nil"/>
              <w:tr2bl w:val="nil"/>
            </w:tcBorders>
            <w:noWrap w:val="0"/>
            <w:vAlign w:val="center"/>
          </w:tcPr>
          <w:p w14:paraId="1659A320">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TN产生量t/a</w:t>
            </w:r>
          </w:p>
        </w:tc>
        <w:tc>
          <w:tcPr>
            <w:tcW w:w="664" w:type="pct"/>
            <w:tcBorders>
              <w:tl2br w:val="nil"/>
              <w:tr2bl w:val="nil"/>
            </w:tcBorders>
            <w:noWrap w:val="0"/>
            <w:vAlign w:val="center"/>
          </w:tcPr>
          <w:p w14:paraId="4B0148A7">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NH</w:t>
            </w:r>
            <w:r>
              <w:rPr>
                <w:rFonts w:hint="default" w:ascii="Times New Roman" w:hAnsi="Times New Roman" w:eastAsia="宋体" w:cs="Times New Roman"/>
                <w:color w:val="FF0000"/>
                <w:spacing w:val="2"/>
                <w:sz w:val="21"/>
                <w:szCs w:val="21"/>
                <w:vertAlign w:val="subscript"/>
                <w:lang w:val="en-US" w:eastAsia="zh-CN"/>
              </w:rPr>
              <w:t>3</w:t>
            </w:r>
            <w:r>
              <w:rPr>
                <w:rFonts w:hint="default" w:ascii="Times New Roman" w:hAnsi="Times New Roman" w:eastAsia="宋体" w:cs="Times New Roman"/>
                <w:color w:val="FF0000"/>
                <w:spacing w:val="2"/>
                <w:sz w:val="21"/>
                <w:szCs w:val="21"/>
                <w:lang w:val="en-US" w:eastAsia="zh-CN"/>
              </w:rPr>
              <w:t>t/a</w:t>
            </w:r>
          </w:p>
        </w:tc>
        <w:tc>
          <w:tcPr>
            <w:tcW w:w="703" w:type="pct"/>
            <w:tcBorders>
              <w:tl2br w:val="nil"/>
              <w:tr2bl w:val="nil"/>
            </w:tcBorders>
            <w:noWrap w:val="0"/>
            <w:vAlign w:val="center"/>
          </w:tcPr>
          <w:p w14:paraId="32005D9D">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H</w:t>
            </w:r>
            <w:r>
              <w:rPr>
                <w:rFonts w:hint="default" w:ascii="Times New Roman" w:hAnsi="Times New Roman" w:eastAsia="宋体" w:cs="Times New Roman"/>
                <w:color w:val="FF0000"/>
                <w:spacing w:val="2"/>
                <w:sz w:val="21"/>
                <w:szCs w:val="21"/>
                <w:vertAlign w:val="subscript"/>
                <w:lang w:val="en-US" w:eastAsia="zh-CN"/>
              </w:rPr>
              <w:t>2</w:t>
            </w:r>
            <w:r>
              <w:rPr>
                <w:rFonts w:hint="default" w:ascii="Times New Roman" w:hAnsi="Times New Roman" w:eastAsia="宋体" w:cs="Times New Roman"/>
                <w:color w:val="FF0000"/>
                <w:spacing w:val="2"/>
                <w:sz w:val="21"/>
                <w:szCs w:val="21"/>
                <w:lang w:val="en-US" w:eastAsia="zh-CN"/>
              </w:rPr>
              <w:t>St/a</w:t>
            </w:r>
          </w:p>
        </w:tc>
      </w:tr>
      <w:tr w14:paraId="11A1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3" w:type="pct"/>
            <w:vMerge w:val="restart"/>
            <w:tcBorders>
              <w:tl2br w:val="nil"/>
              <w:tr2bl w:val="nil"/>
            </w:tcBorders>
            <w:noWrap w:val="0"/>
            <w:vAlign w:val="center"/>
          </w:tcPr>
          <w:p w14:paraId="0F81B0DE">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鸡舍</w:t>
            </w:r>
          </w:p>
        </w:tc>
        <w:tc>
          <w:tcPr>
            <w:tcW w:w="579" w:type="pct"/>
            <w:tcBorders>
              <w:tl2br w:val="nil"/>
              <w:tr2bl w:val="nil"/>
            </w:tcBorders>
            <w:noWrap w:val="0"/>
            <w:vAlign w:val="center"/>
          </w:tcPr>
          <w:p w14:paraId="30211430">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蛋鸡</w:t>
            </w:r>
          </w:p>
        </w:tc>
        <w:tc>
          <w:tcPr>
            <w:tcW w:w="937" w:type="pct"/>
            <w:tcBorders>
              <w:tl2br w:val="nil"/>
              <w:tr2bl w:val="nil"/>
            </w:tcBorders>
            <w:noWrap w:val="0"/>
            <w:vAlign w:val="center"/>
          </w:tcPr>
          <w:p w14:paraId="6838C360">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存栏30万羽</w:t>
            </w:r>
          </w:p>
        </w:tc>
        <w:tc>
          <w:tcPr>
            <w:tcW w:w="806" w:type="pct"/>
            <w:tcBorders>
              <w:tl2br w:val="nil"/>
              <w:tr2bl w:val="nil"/>
            </w:tcBorders>
            <w:noWrap w:val="0"/>
            <w:vAlign w:val="center"/>
          </w:tcPr>
          <w:p w14:paraId="4D77FE7D">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14235</w:t>
            </w:r>
          </w:p>
        </w:tc>
        <w:tc>
          <w:tcPr>
            <w:tcW w:w="734" w:type="pct"/>
            <w:tcBorders>
              <w:tl2br w:val="nil"/>
              <w:tr2bl w:val="nil"/>
            </w:tcBorders>
            <w:noWrap w:val="0"/>
            <w:vAlign w:val="center"/>
          </w:tcPr>
          <w:p w14:paraId="2E5A2D19">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131.4</w:t>
            </w:r>
          </w:p>
        </w:tc>
        <w:tc>
          <w:tcPr>
            <w:tcW w:w="664" w:type="pct"/>
            <w:tcBorders>
              <w:tl2br w:val="nil"/>
              <w:tr2bl w:val="nil"/>
            </w:tcBorders>
            <w:noWrap w:val="0"/>
            <w:vAlign w:val="center"/>
          </w:tcPr>
          <w:p w14:paraId="09E9A269">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3.285</w:t>
            </w:r>
          </w:p>
        </w:tc>
        <w:tc>
          <w:tcPr>
            <w:tcW w:w="703" w:type="pct"/>
            <w:tcBorders>
              <w:tl2br w:val="nil"/>
              <w:tr2bl w:val="nil"/>
            </w:tcBorders>
            <w:noWrap w:val="0"/>
            <w:vAlign w:val="center"/>
          </w:tcPr>
          <w:p w14:paraId="02301E1C">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0.3285</w:t>
            </w:r>
          </w:p>
        </w:tc>
      </w:tr>
      <w:tr w14:paraId="400E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3" w:type="pct"/>
            <w:vMerge w:val="continue"/>
            <w:tcBorders>
              <w:tl2br w:val="nil"/>
              <w:tr2bl w:val="nil"/>
            </w:tcBorders>
            <w:noWrap w:val="0"/>
            <w:vAlign w:val="center"/>
          </w:tcPr>
          <w:p w14:paraId="1409BDAE">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p>
        </w:tc>
        <w:tc>
          <w:tcPr>
            <w:tcW w:w="579" w:type="pct"/>
            <w:tcBorders>
              <w:tl2br w:val="nil"/>
              <w:tr2bl w:val="nil"/>
            </w:tcBorders>
            <w:noWrap w:val="0"/>
            <w:vAlign w:val="center"/>
          </w:tcPr>
          <w:p w14:paraId="4DF398C6">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育雏鸡</w:t>
            </w:r>
          </w:p>
        </w:tc>
        <w:tc>
          <w:tcPr>
            <w:tcW w:w="937" w:type="pct"/>
            <w:tcBorders>
              <w:tl2br w:val="nil"/>
              <w:tr2bl w:val="nil"/>
            </w:tcBorders>
            <w:noWrap w:val="0"/>
            <w:vAlign w:val="center"/>
          </w:tcPr>
          <w:p w14:paraId="6B118488">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存栏30万羽</w:t>
            </w:r>
          </w:p>
        </w:tc>
        <w:tc>
          <w:tcPr>
            <w:tcW w:w="806" w:type="pct"/>
            <w:tcBorders>
              <w:tl2br w:val="nil"/>
              <w:tr2bl w:val="nil"/>
            </w:tcBorders>
            <w:noWrap w:val="0"/>
            <w:vAlign w:val="center"/>
          </w:tcPr>
          <w:p w14:paraId="09EB5303">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4380</w:t>
            </w:r>
          </w:p>
        </w:tc>
        <w:tc>
          <w:tcPr>
            <w:tcW w:w="734" w:type="pct"/>
            <w:tcBorders>
              <w:tl2br w:val="nil"/>
              <w:tr2bl w:val="nil"/>
            </w:tcBorders>
            <w:noWrap w:val="0"/>
            <w:vAlign w:val="center"/>
          </w:tcPr>
          <w:p w14:paraId="504EF809">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43.8</w:t>
            </w:r>
          </w:p>
        </w:tc>
        <w:tc>
          <w:tcPr>
            <w:tcW w:w="664" w:type="pct"/>
            <w:tcBorders>
              <w:tl2br w:val="nil"/>
              <w:tr2bl w:val="nil"/>
            </w:tcBorders>
            <w:noWrap w:val="0"/>
            <w:vAlign w:val="center"/>
          </w:tcPr>
          <w:p w14:paraId="0F5708F3">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1.095</w:t>
            </w:r>
          </w:p>
        </w:tc>
        <w:tc>
          <w:tcPr>
            <w:tcW w:w="703" w:type="pct"/>
            <w:tcBorders>
              <w:tl2br w:val="nil"/>
              <w:tr2bl w:val="nil"/>
            </w:tcBorders>
            <w:noWrap w:val="0"/>
            <w:vAlign w:val="center"/>
          </w:tcPr>
          <w:p w14:paraId="1D7667D1">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2"/>
                <w:sz w:val="21"/>
                <w:szCs w:val="21"/>
                <w:lang w:val="en-US" w:eastAsia="zh-CN"/>
              </w:rPr>
            </w:pPr>
            <w:r>
              <w:rPr>
                <w:rFonts w:hint="default" w:ascii="Times New Roman" w:hAnsi="Times New Roman" w:eastAsia="宋体" w:cs="Times New Roman"/>
                <w:color w:val="FF0000"/>
                <w:spacing w:val="2"/>
                <w:sz w:val="21"/>
                <w:szCs w:val="21"/>
                <w:lang w:val="en-US" w:eastAsia="zh-CN"/>
              </w:rPr>
              <w:t>0.1095</w:t>
            </w:r>
          </w:p>
        </w:tc>
      </w:tr>
    </w:tbl>
    <w:p w14:paraId="7C53B139">
      <w:pPr>
        <w:pStyle w:val="16"/>
        <w:bidi w:val="0"/>
        <w:ind w:left="0" w:leftChars="0"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lang w:eastAsia="zh-CN"/>
        </w:rPr>
        <w:t>本项目通过合理设计鸡舍，粪便及时清除，正确选用饲料、合理饲喂、科学管理、喷洒除臭剂等措施，可有效削减鸡舍恶臭污染物的产生量，参考2011年</w:t>
      </w:r>
      <w:r>
        <w:rPr>
          <w:rFonts w:hint="default" w:ascii="Times New Roman" w:hAnsi="Times New Roman" w:eastAsia="Times New Roman" w:cs="Times New Roman"/>
          <w:color w:val="FF0000"/>
          <w:spacing w:val="-3"/>
          <w:sz w:val="24"/>
          <w:szCs w:val="24"/>
        </w:rPr>
        <w:t>5</w:t>
      </w:r>
      <w:r>
        <w:rPr>
          <w:rFonts w:hint="default" w:ascii="Times New Roman" w:hAnsi="Times New Roman" w:eastAsia="宋体" w:cs="Times New Roman"/>
          <w:color w:val="FF0000"/>
          <w:spacing w:val="-3"/>
          <w:sz w:val="24"/>
          <w:szCs w:val="24"/>
        </w:rPr>
        <w:t>月《规模畜禽养殖场污染防治最佳可行技术指南</w:t>
      </w:r>
      <w:r>
        <w:rPr>
          <w:rFonts w:hint="default" w:ascii="Times New Roman" w:hAnsi="Times New Roman" w:eastAsia="宋体" w:cs="Times New Roman"/>
          <w:color w:val="FF0000"/>
          <w:spacing w:val="-3"/>
          <w:sz w:val="24"/>
          <w:szCs w:val="24"/>
          <w:lang w:eastAsia="zh-CN"/>
        </w:rPr>
        <w:t>（</w:t>
      </w:r>
      <w:r>
        <w:rPr>
          <w:rFonts w:hint="default" w:ascii="Times New Roman" w:hAnsi="Times New Roman" w:eastAsia="宋体" w:cs="Times New Roman"/>
          <w:color w:val="FF0000"/>
          <w:spacing w:val="-3"/>
          <w:sz w:val="24"/>
          <w:szCs w:val="24"/>
        </w:rPr>
        <w:t>试行</w:t>
      </w:r>
      <w:r>
        <w:rPr>
          <w:rFonts w:hint="default" w:ascii="Times New Roman" w:hAnsi="Times New Roman" w:eastAsia="宋体" w:cs="Times New Roman"/>
          <w:color w:val="FF0000"/>
          <w:spacing w:val="-3"/>
          <w:sz w:val="24"/>
          <w:szCs w:val="24"/>
          <w:lang w:eastAsia="zh-CN"/>
        </w:rPr>
        <w:t>）</w:t>
      </w:r>
      <w:r>
        <w:rPr>
          <w:rFonts w:hint="default" w:ascii="Times New Roman" w:hAnsi="Times New Roman" w:eastAsia="宋体" w:cs="Times New Roman"/>
          <w:color w:val="FF0000"/>
          <w:spacing w:val="-3"/>
          <w:sz w:val="24"/>
          <w:szCs w:val="24"/>
        </w:rPr>
        <w:t>编制说明》，本项目选</w:t>
      </w:r>
      <w:r>
        <w:rPr>
          <w:rFonts w:hint="default" w:ascii="Times New Roman" w:hAnsi="Times New Roman" w:eastAsia="宋体" w:cs="Times New Roman"/>
          <w:color w:val="FF0000"/>
          <w:spacing w:val="-1"/>
          <w:sz w:val="24"/>
          <w:szCs w:val="24"/>
        </w:rPr>
        <w:t>取的废气源头削减系数详见下表。</w:t>
      </w:r>
    </w:p>
    <w:p w14:paraId="397EE387">
      <w:pPr>
        <w:pStyle w:val="14"/>
        <w:spacing w:line="223" w:lineRule="auto"/>
        <w:ind w:left="2920"/>
        <w:jc w:val="both"/>
        <w:rPr>
          <w:rFonts w:hint="default" w:ascii="Times New Roman" w:hAnsi="Times New Roman" w:eastAsia="宋体" w:cs="Times New Roman"/>
          <w:color w:val="FF0000"/>
          <w:sz w:val="20"/>
          <w:szCs w:val="20"/>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3.5</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4</w:t>
      </w:r>
      <w:r>
        <w:rPr>
          <w:rFonts w:hint="default" w:ascii="Times New Roman" w:hAnsi="Times New Roman" w:cs="Times New Roman"/>
          <w:color w:val="FF0000"/>
        </w:rPr>
        <w:fldChar w:fldCharType="end"/>
      </w:r>
      <w:r>
        <w:rPr>
          <w:rFonts w:hint="default" w:ascii="Times New Roman" w:hAnsi="Times New Roman" w:eastAsia="宋体" w:cs="Times New Roman"/>
          <w:b/>
          <w:bCs/>
          <w:color w:val="FF0000"/>
          <w:spacing w:val="5"/>
          <w:sz w:val="20"/>
          <w:szCs w:val="20"/>
        </w:rPr>
        <w:t>鸡舍恶臭削减措施</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6"/>
        <w:gridCol w:w="6974"/>
        <w:gridCol w:w="829"/>
      </w:tblGrid>
      <w:tr w14:paraId="0C7BF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310" w:type="pct"/>
            <w:noWrap w:val="0"/>
            <w:vAlign w:val="center"/>
          </w:tcPr>
          <w:p w14:paraId="67DA6ED7">
            <w:pPr>
              <w:pStyle w:val="113"/>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3"/>
                <w:sz w:val="21"/>
                <w:szCs w:val="21"/>
              </w:rPr>
              <w:t>编号</w:t>
            </w:r>
          </w:p>
        </w:tc>
        <w:tc>
          <w:tcPr>
            <w:tcW w:w="4190" w:type="pct"/>
            <w:noWrap w:val="0"/>
            <w:vAlign w:val="center"/>
          </w:tcPr>
          <w:p w14:paraId="79E92136">
            <w:pPr>
              <w:pStyle w:val="113"/>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4"/>
                <w:sz w:val="21"/>
                <w:szCs w:val="21"/>
              </w:rPr>
              <w:t>削减措施</w:t>
            </w:r>
          </w:p>
        </w:tc>
        <w:tc>
          <w:tcPr>
            <w:tcW w:w="498" w:type="pct"/>
            <w:noWrap w:val="0"/>
            <w:vAlign w:val="center"/>
          </w:tcPr>
          <w:p w14:paraId="5811B26D">
            <w:pPr>
              <w:pStyle w:val="113"/>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2"/>
                <w:sz w:val="21"/>
                <w:szCs w:val="21"/>
              </w:rPr>
              <w:t>削减率</w:t>
            </w:r>
          </w:p>
        </w:tc>
      </w:tr>
      <w:tr w14:paraId="12D4F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310" w:type="pct"/>
            <w:noWrap w:val="0"/>
            <w:vAlign w:val="center"/>
          </w:tcPr>
          <w:p w14:paraId="2A2A4A3B">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z w:val="21"/>
                <w:szCs w:val="21"/>
              </w:rPr>
              <w:t>1</w:t>
            </w:r>
          </w:p>
        </w:tc>
        <w:tc>
          <w:tcPr>
            <w:tcW w:w="4190" w:type="pct"/>
            <w:noWrap w:val="0"/>
            <w:vAlign w:val="center"/>
          </w:tcPr>
          <w:p w14:paraId="566A7599">
            <w:pPr>
              <w:pStyle w:val="113"/>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10"/>
                <w:sz w:val="21"/>
                <w:szCs w:val="21"/>
              </w:rPr>
              <w:t>鸡舍选型采用</w:t>
            </w:r>
            <w:r>
              <w:rPr>
                <w:rFonts w:hint="default" w:ascii="Times New Roman" w:hAnsi="Times New Roman" w:eastAsia="宋体" w:cs="Times New Roman"/>
                <w:color w:val="FF0000"/>
                <w:spacing w:val="10"/>
                <w:sz w:val="21"/>
                <w:szCs w:val="21"/>
                <w:lang w:eastAsia="zh-CN"/>
              </w:rPr>
              <w:t>封闭</w:t>
            </w:r>
            <w:r>
              <w:rPr>
                <w:rFonts w:hint="default" w:ascii="Times New Roman" w:hAnsi="Times New Roman" w:cs="Times New Roman"/>
                <w:color w:val="FF0000"/>
                <w:spacing w:val="10"/>
                <w:sz w:val="21"/>
                <w:szCs w:val="21"/>
              </w:rPr>
              <w:t>式鸡舍，除必要的通风换气口</w:t>
            </w:r>
            <w:r>
              <w:rPr>
                <w:rFonts w:hint="default" w:ascii="Times New Roman" w:hAnsi="Times New Roman" w:cs="Times New Roman"/>
                <w:color w:val="FF0000"/>
                <w:spacing w:val="9"/>
                <w:sz w:val="21"/>
                <w:szCs w:val="21"/>
              </w:rPr>
              <w:t>以外，无其他开口。鸡</w:t>
            </w:r>
          </w:p>
          <w:p w14:paraId="182CFCD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145" w:hanging="948"/>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10"/>
                <w:sz w:val="21"/>
                <w:szCs w:val="21"/>
              </w:rPr>
              <w:t>舍构型合理，同时舍内通过自动环境控制系</w:t>
            </w:r>
            <w:r>
              <w:rPr>
                <w:rFonts w:hint="default" w:ascii="Times New Roman" w:hAnsi="Times New Roman" w:cs="Times New Roman"/>
                <w:color w:val="FF0000"/>
                <w:spacing w:val="9"/>
                <w:sz w:val="21"/>
                <w:szCs w:val="21"/>
              </w:rPr>
              <w:t>统调节温度、湿度等，减缓发酵的速度；严格控制饲养密度；加强场区绿</w:t>
            </w:r>
            <w:r>
              <w:rPr>
                <w:rFonts w:hint="default" w:ascii="Times New Roman" w:hAnsi="Times New Roman" w:cs="Times New Roman"/>
                <w:color w:val="FF0000"/>
                <w:spacing w:val="8"/>
                <w:sz w:val="21"/>
                <w:szCs w:val="21"/>
              </w:rPr>
              <w:t>化。</w:t>
            </w:r>
          </w:p>
        </w:tc>
        <w:tc>
          <w:tcPr>
            <w:tcW w:w="498" w:type="pct"/>
            <w:noWrap w:val="0"/>
            <w:vAlign w:val="center"/>
          </w:tcPr>
          <w:p w14:paraId="06455651">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67%</w:t>
            </w:r>
          </w:p>
        </w:tc>
      </w:tr>
      <w:tr w14:paraId="1B03D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310" w:type="pct"/>
            <w:noWrap w:val="0"/>
            <w:vAlign w:val="center"/>
          </w:tcPr>
          <w:p w14:paraId="220F957F">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z w:val="21"/>
                <w:szCs w:val="21"/>
              </w:rPr>
              <w:t>2</w:t>
            </w:r>
          </w:p>
        </w:tc>
        <w:tc>
          <w:tcPr>
            <w:tcW w:w="4190" w:type="pct"/>
            <w:noWrap w:val="0"/>
            <w:vAlign w:val="center"/>
          </w:tcPr>
          <w:p w14:paraId="2D3927F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145" w:firstLine="2"/>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9"/>
                <w:sz w:val="21"/>
                <w:szCs w:val="21"/>
              </w:rPr>
              <w:t>粪便及时清除，加大鸡舍清粪频率，每天至少自动清粪两次，减少粪便在鸡舍中的暴露时间，定期喷洒除臭剂减少粪便发酵产生的恶臭气体。</w:t>
            </w:r>
          </w:p>
        </w:tc>
        <w:tc>
          <w:tcPr>
            <w:tcW w:w="498" w:type="pct"/>
            <w:noWrap w:val="0"/>
            <w:vAlign w:val="center"/>
          </w:tcPr>
          <w:p w14:paraId="4C06BF35">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Times New Roman" w:cs="Times New Roman"/>
                <w:color w:val="FF0000"/>
                <w:spacing w:val="2"/>
                <w:sz w:val="21"/>
                <w:szCs w:val="21"/>
              </w:rPr>
              <w:t>2</w:t>
            </w:r>
            <w:r>
              <w:rPr>
                <w:rFonts w:hint="default" w:ascii="Times New Roman" w:hAnsi="Times New Roman" w:eastAsia="宋体" w:cs="Times New Roman"/>
                <w:color w:val="FF0000"/>
                <w:spacing w:val="2"/>
                <w:sz w:val="21"/>
                <w:szCs w:val="21"/>
                <w:lang w:val="en-US" w:eastAsia="zh-CN"/>
              </w:rPr>
              <w:t>5</w:t>
            </w:r>
            <w:r>
              <w:rPr>
                <w:rFonts w:hint="default" w:ascii="Times New Roman" w:hAnsi="Times New Roman" w:eastAsia="宋体" w:cs="Times New Roman"/>
                <w:color w:val="FF0000"/>
                <w:sz w:val="21"/>
                <w:szCs w:val="21"/>
                <w:lang w:val="en-US" w:eastAsia="zh-CN"/>
              </w:rPr>
              <w:t>%</w:t>
            </w:r>
          </w:p>
        </w:tc>
      </w:tr>
      <w:tr w14:paraId="08DC9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10" w:type="pct"/>
            <w:noWrap w:val="0"/>
            <w:vAlign w:val="center"/>
          </w:tcPr>
          <w:p w14:paraId="353178FA">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z w:val="21"/>
                <w:szCs w:val="21"/>
              </w:rPr>
              <w:t>3</w:t>
            </w:r>
          </w:p>
        </w:tc>
        <w:tc>
          <w:tcPr>
            <w:tcW w:w="4190" w:type="pct"/>
            <w:noWrap w:val="0"/>
            <w:vAlign w:val="center"/>
          </w:tcPr>
          <w:p w14:paraId="19651C9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145" w:hanging="1892"/>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10"/>
                <w:sz w:val="21"/>
                <w:szCs w:val="21"/>
              </w:rPr>
              <w:t>选用</w:t>
            </w:r>
            <w:r>
              <w:rPr>
                <w:rFonts w:hint="default" w:ascii="Times New Roman" w:hAnsi="Times New Roman" w:eastAsia="宋体" w:cs="Times New Roman"/>
                <w:color w:val="FF0000"/>
                <w:spacing w:val="10"/>
                <w:sz w:val="21"/>
                <w:szCs w:val="21"/>
                <w:lang w:val="en-US" w:eastAsia="zh-CN"/>
              </w:rPr>
              <w:t>采用</w:t>
            </w:r>
            <w:r>
              <w:rPr>
                <w:rFonts w:hint="default" w:ascii="Times New Roman" w:hAnsi="Times New Roman" w:cs="Times New Roman"/>
                <w:color w:val="FF0000"/>
                <w:spacing w:val="10"/>
                <w:sz w:val="21"/>
                <w:szCs w:val="21"/>
              </w:rPr>
              <w:t>优质饲料、添加微生物制剂等来提高饲料的</w:t>
            </w:r>
            <w:r>
              <w:rPr>
                <w:rFonts w:hint="default" w:ascii="Times New Roman" w:hAnsi="Times New Roman" w:cs="Times New Roman"/>
                <w:color w:val="FF0000"/>
                <w:spacing w:val="9"/>
                <w:sz w:val="21"/>
                <w:szCs w:val="21"/>
              </w:rPr>
              <w:t>消化率和转化率，有效</w:t>
            </w:r>
            <w:r>
              <w:rPr>
                <w:rFonts w:hint="default" w:ascii="Times New Roman" w:hAnsi="Times New Roman" w:cs="Times New Roman"/>
                <w:color w:val="FF0000"/>
                <w:spacing w:val="8"/>
                <w:sz w:val="21"/>
                <w:szCs w:val="21"/>
              </w:rPr>
              <w:t>减少恶臭气体和粪便排放量。</w:t>
            </w:r>
          </w:p>
        </w:tc>
        <w:tc>
          <w:tcPr>
            <w:tcW w:w="498" w:type="pct"/>
            <w:noWrap w:val="0"/>
            <w:vAlign w:val="center"/>
          </w:tcPr>
          <w:p w14:paraId="6D26263E">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pacing w:val="-8"/>
                <w:sz w:val="21"/>
                <w:szCs w:val="21"/>
                <w:lang w:val="en-US" w:eastAsia="zh-CN"/>
              </w:rPr>
              <w:t>20</w:t>
            </w:r>
            <w:r>
              <w:rPr>
                <w:rFonts w:hint="default" w:ascii="Times New Roman" w:hAnsi="Times New Roman" w:eastAsia="宋体" w:cs="Times New Roman"/>
                <w:color w:val="FF0000"/>
                <w:sz w:val="21"/>
                <w:szCs w:val="21"/>
                <w:lang w:val="en-US" w:eastAsia="zh-CN"/>
              </w:rPr>
              <w:t>%</w:t>
            </w:r>
          </w:p>
        </w:tc>
      </w:tr>
      <w:tr w14:paraId="6A5CB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10" w:type="pct"/>
            <w:noWrap w:val="0"/>
            <w:vAlign w:val="center"/>
          </w:tcPr>
          <w:p w14:paraId="4DEE45C2">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pacing w:val="1"/>
                <w:sz w:val="21"/>
                <w:szCs w:val="21"/>
              </w:rPr>
              <w:t>4</w:t>
            </w:r>
          </w:p>
        </w:tc>
        <w:tc>
          <w:tcPr>
            <w:tcW w:w="4190" w:type="pct"/>
            <w:noWrap w:val="0"/>
            <w:vAlign w:val="center"/>
          </w:tcPr>
          <w:p w14:paraId="539391AD">
            <w:pPr>
              <w:pStyle w:val="113"/>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4"/>
                <w:sz w:val="21"/>
                <w:szCs w:val="21"/>
              </w:rPr>
              <w:t>合计</w:t>
            </w:r>
          </w:p>
        </w:tc>
        <w:tc>
          <w:tcPr>
            <w:tcW w:w="498" w:type="pct"/>
            <w:noWrap w:val="0"/>
            <w:vAlign w:val="center"/>
          </w:tcPr>
          <w:p w14:paraId="5C877AA8">
            <w:pPr>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85%</w:t>
            </w:r>
          </w:p>
        </w:tc>
      </w:tr>
    </w:tbl>
    <w:p w14:paraId="1923E669">
      <w:pPr>
        <w:keepNext w:val="0"/>
        <w:keepLines w:val="0"/>
        <w:pageBreakBefore w:val="0"/>
        <w:widowControl w:val="0"/>
        <w:kinsoku/>
        <w:wordWrap/>
        <w:overflowPunct/>
        <w:topLinePunct w:val="0"/>
        <w:autoSpaceDE w:val="0"/>
        <w:autoSpaceDN w:val="0"/>
        <w:bidi w:val="0"/>
        <w:adjustRightInd/>
        <w:snapToGrid/>
        <w:spacing w:line="360" w:lineRule="auto"/>
        <w:ind w:left="0" w:right="0" w:firstLine="476"/>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pacing w:val="-4"/>
          <w:sz w:val="24"/>
          <w:szCs w:val="24"/>
        </w:rPr>
        <w:t>通过采取以上措施，恶臭去除率约</w:t>
      </w:r>
      <w:r>
        <w:rPr>
          <w:rFonts w:hint="default" w:ascii="Times New Roman" w:hAnsi="Times New Roman" w:eastAsia="宋体" w:cs="Times New Roman"/>
          <w:color w:val="FF0000"/>
          <w:spacing w:val="-4"/>
          <w:sz w:val="24"/>
          <w:szCs w:val="24"/>
          <w:lang w:val="en-US" w:eastAsia="zh-CN"/>
        </w:rPr>
        <w:t>85</w:t>
      </w:r>
      <w:r>
        <w:rPr>
          <w:rFonts w:hint="default" w:ascii="Times New Roman" w:hAnsi="Times New Roman" w:eastAsia="Times New Roman" w:cs="Times New Roman"/>
          <w:color w:val="FF0000"/>
          <w:spacing w:val="-4"/>
          <w:sz w:val="24"/>
          <w:szCs w:val="24"/>
        </w:rPr>
        <w:t>%</w:t>
      </w:r>
      <w:r>
        <w:rPr>
          <w:rFonts w:hint="default" w:ascii="Times New Roman" w:hAnsi="Times New Roman" w:eastAsia="宋体" w:cs="Times New Roman"/>
          <w:color w:val="FF0000"/>
          <w:spacing w:val="-4"/>
          <w:sz w:val="24"/>
          <w:szCs w:val="24"/>
        </w:rPr>
        <w:t>，鸡舍恶臭气体污染物产生及排放情</w:t>
      </w:r>
      <w:r>
        <w:rPr>
          <w:rFonts w:hint="default" w:ascii="Times New Roman" w:hAnsi="Times New Roman" w:eastAsia="宋体" w:cs="Times New Roman"/>
          <w:color w:val="FF0000"/>
          <w:spacing w:val="-3"/>
          <w:sz w:val="24"/>
          <w:szCs w:val="24"/>
        </w:rPr>
        <w:t>况见下表。</w:t>
      </w:r>
    </w:p>
    <w:p w14:paraId="676624F5">
      <w:pPr>
        <w:pStyle w:val="14"/>
        <w:spacing w:line="223" w:lineRule="auto"/>
        <w:ind w:left="2500"/>
        <w:jc w:val="both"/>
        <w:rPr>
          <w:rFonts w:hint="default" w:ascii="Times New Roman" w:hAnsi="Times New Roman" w:eastAsia="宋体" w:cs="Times New Roman"/>
          <w:b/>
          <w:bCs/>
          <w:color w:val="FF0000"/>
          <w:spacing w:val="5"/>
          <w:sz w:val="20"/>
          <w:szCs w:val="20"/>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3.5</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w:t>
      </w:r>
      <w:r>
        <w:rPr>
          <w:rFonts w:hint="default" w:ascii="Times New Roman" w:hAnsi="Times New Roman" w:cs="Times New Roman"/>
          <w:color w:val="FF0000"/>
        </w:rPr>
        <w:fldChar w:fldCharType="end"/>
      </w:r>
      <w:r>
        <w:rPr>
          <w:rFonts w:hint="default" w:ascii="Times New Roman" w:hAnsi="Times New Roman" w:eastAsia="宋体" w:cs="Times New Roman"/>
          <w:b/>
          <w:bCs/>
          <w:color w:val="FF0000"/>
          <w:spacing w:val="6"/>
          <w:sz w:val="20"/>
          <w:szCs w:val="20"/>
        </w:rPr>
        <w:t>鸡舍恶臭产生及排</w:t>
      </w:r>
      <w:r>
        <w:rPr>
          <w:rFonts w:hint="default" w:ascii="Times New Roman" w:hAnsi="Times New Roman" w:eastAsia="宋体" w:cs="Times New Roman"/>
          <w:b/>
          <w:bCs/>
          <w:color w:val="FF0000"/>
          <w:spacing w:val="5"/>
          <w:sz w:val="20"/>
          <w:szCs w:val="20"/>
        </w:rPr>
        <w:t>放一览表</w:t>
      </w:r>
    </w:p>
    <w:tbl>
      <w:tblPr>
        <w:tblStyle w:val="3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8"/>
        <w:gridCol w:w="1218"/>
        <w:gridCol w:w="1218"/>
        <w:gridCol w:w="1218"/>
        <w:gridCol w:w="1218"/>
        <w:gridCol w:w="1218"/>
        <w:gridCol w:w="1219"/>
      </w:tblGrid>
      <w:tr w14:paraId="26CD9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12A743B">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名称</w:t>
            </w:r>
          </w:p>
        </w:tc>
        <w:tc>
          <w:tcPr>
            <w:tcW w:w="71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0927E82">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污染物名称</w:t>
            </w:r>
          </w:p>
        </w:tc>
        <w:tc>
          <w:tcPr>
            <w:tcW w:w="142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4958F52">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产生情况</w:t>
            </w:r>
          </w:p>
        </w:tc>
        <w:tc>
          <w:tcPr>
            <w:tcW w:w="71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C82678E">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治理措施</w:t>
            </w:r>
          </w:p>
        </w:tc>
        <w:tc>
          <w:tcPr>
            <w:tcW w:w="1428" w:type="pct"/>
            <w:gridSpan w:val="2"/>
            <w:tcBorders>
              <w:top w:val="single" w:color="000000" w:sz="8" w:space="0"/>
              <w:left w:val="single" w:color="000000" w:sz="8" w:space="0"/>
              <w:bottom w:val="nil"/>
              <w:right w:val="single" w:color="000000" w:sz="8" w:space="0"/>
            </w:tcBorders>
            <w:shd w:val="clear" w:color="auto" w:fill="auto"/>
            <w:vAlign w:val="center"/>
          </w:tcPr>
          <w:p w14:paraId="7B7C4DAE">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排放情况</w:t>
            </w:r>
          </w:p>
        </w:tc>
      </w:tr>
      <w:tr w14:paraId="14F34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1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B800388">
            <w:pPr>
              <w:jc w:val="center"/>
              <w:rPr>
                <w:rFonts w:hint="default" w:ascii="Times New Roman" w:hAnsi="Times New Roman" w:eastAsia="宋体" w:cs="Times New Roman"/>
                <w:i w:val="0"/>
                <w:iCs w:val="0"/>
                <w:color w:val="FF0000"/>
                <w:sz w:val="21"/>
                <w:szCs w:val="21"/>
                <w:u w:val="none"/>
              </w:rPr>
            </w:pPr>
          </w:p>
        </w:tc>
        <w:tc>
          <w:tcPr>
            <w:tcW w:w="71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5E39EF6">
            <w:pPr>
              <w:jc w:val="center"/>
              <w:rPr>
                <w:rFonts w:hint="default" w:ascii="Times New Roman" w:hAnsi="Times New Roman" w:eastAsia="宋体" w:cs="Times New Roman"/>
                <w:i w:val="0"/>
                <w:iCs w:val="0"/>
                <w:color w:val="FF0000"/>
                <w:sz w:val="21"/>
                <w:szCs w:val="21"/>
                <w:u w:val="none"/>
              </w:rPr>
            </w:pP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9F0B31">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产生量（t/a）</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833CF0">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产生速率（kg/h）</w:t>
            </w:r>
          </w:p>
        </w:tc>
        <w:tc>
          <w:tcPr>
            <w:tcW w:w="71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3F3B9B0">
            <w:pPr>
              <w:jc w:val="center"/>
              <w:rPr>
                <w:rFonts w:hint="default" w:ascii="Times New Roman" w:hAnsi="Times New Roman" w:eastAsia="宋体" w:cs="Times New Roman"/>
                <w:i w:val="0"/>
                <w:iCs w:val="0"/>
                <w:color w:val="FF0000"/>
                <w:sz w:val="21"/>
                <w:szCs w:val="21"/>
                <w:u w:val="none"/>
              </w:rPr>
            </w:pP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0FA5E2">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排放量（t/a）</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A8AA2A">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排放速率（kg/h）</w:t>
            </w:r>
          </w:p>
        </w:tc>
      </w:tr>
      <w:tr w14:paraId="472D4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1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DF290A6">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蛋鸡</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30D3F7">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NH</w:t>
            </w:r>
            <w:r>
              <w:rPr>
                <w:rFonts w:hint="default" w:ascii="Times New Roman" w:hAnsi="Times New Roman" w:eastAsia="宋体" w:cs="Times New Roman"/>
                <w:i w:val="0"/>
                <w:iCs w:val="0"/>
                <w:color w:val="FF0000"/>
                <w:kern w:val="0"/>
                <w:sz w:val="21"/>
                <w:szCs w:val="21"/>
                <w:u w:val="none"/>
                <w:vertAlign w:val="subscript"/>
                <w:lang w:val="en-US" w:eastAsia="zh-CN" w:bidi="ar"/>
              </w:rPr>
              <w:t>3</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0121D7">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3.285</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2B88BC">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0.375</w:t>
            </w:r>
          </w:p>
        </w:tc>
        <w:tc>
          <w:tcPr>
            <w:tcW w:w="714" w:type="pct"/>
            <w:vMerge w:val="restart"/>
            <w:tcBorders>
              <w:top w:val="single" w:color="000000" w:sz="8" w:space="0"/>
              <w:left w:val="single" w:color="000000" w:sz="8" w:space="0"/>
              <w:right w:val="single" w:color="000000" w:sz="8" w:space="0"/>
            </w:tcBorders>
            <w:shd w:val="clear" w:color="auto" w:fill="auto"/>
            <w:vAlign w:val="center"/>
          </w:tcPr>
          <w:p w14:paraId="004EF2B8">
            <w:pPr>
              <w:keepNext w:val="0"/>
              <w:keepLines w:val="0"/>
              <w:widowControl/>
              <w:suppressLineNumbers w:val="0"/>
              <w:jc w:val="center"/>
              <w:textAlignment w:val="center"/>
              <w:rPr>
                <w:rFonts w:hint="default" w:ascii="Times New Roman" w:hAnsi="Times New Roman" w:eastAsia="宋体" w:cs="Times New Roman"/>
                <w:i w:val="0"/>
                <w:iCs w:val="0"/>
                <w:color w:val="FF0000"/>
                <w:sz w:val="20"/>
                <w:szCs w:val="20"/>
                <w:u w:val="none"/>
              </w:rPr>
            </w:pPr>
            <w:r>
              <w:rPr>
                <w:rFonts w:hint="default" w:ascii="Times New Roman" w:hAnsi="Times New Roman" w:eastAsia="宋体" w:cs="Times New Roman"/>
                <w:i w:val="0"/>
                <w:iCs w:val="0"/>
                <w:color w:val="FF0000"/>
                <w:kern w:val="0"/>
                <w:sz w:val="20"/>
                <w:szCs w:val="20"/>
                <w:u w:val="none"/>
                <w:lang w:val="en-US" w:eastAsia="zh-CN" w:bidi="ar"/>
              </w:rPr>
              <w:t>合理设计鸡舍，粪便及时清除，正确选用饲料、合理饲喂、科学管理、喷洒除臭剂等措施（恶臭去除率约80%）</w:t>
            </w:r>
          </w:p>
        </w:tc>
        <w:tc>
          <w:tcPr>
            <w:tcW w:w="12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C32D1F">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0.4928</w:t>
            </w:r>
          </w:p>
        </w:tc>
        <w:tc>
          <w:tcPr>
            <w:tcW w:w="121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971FC9">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0.0563</w:t>
            </w:r>
          </w:p>
        </w:tc>
      </w:tr>
      <w:tr w14:paraId="79DD4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1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78387EA">
            <w:pPr>
              <w:jc w:val="center"/>
              <w:rPr>
                <w:rFonts w:hint="default" w:ascii="Times New Roman" w:hAnsi="Times New Roman" w:eastAsia="宋体" w:cs="Times New Roman"/>
                <w:i w:val="0"/>
                <w:iCs w:val="0"/>
                <w:color w:val="FF0000"/>
                <w:sz w:val="21"/>
                <w:szCs w:val="21"/>
                <w:u w:val="none"/>
              </w:rPr>
            </w:pP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2F8EE2">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H</w:t>
            </w:r>
            <w:r>
              <w:rPr>
                <w:rFonts w:hint="default" w:ascii="Times New Roman" w:hAnsi="Times New Roman" w:eastAsia="宋体" w:cs="Times New Roman"/>
                <w:i w:val="0"/>
                <w:iCs w:val="0"/>
                <w:color w:val="FF0000"/>
                <w:kern w:val="0"/>
                <w:sz w:val="21"/>
                <w:szCs w:val="21"/>
                <w:u w:val="none"/>
                <w:vertAlign w:val="subscript"/>
                <w:lang w:val="en-US" w:eastAsia="zh-CN" w:bidi="ar"/>
              </w:rPr>
              <w:t>2</w:t>
            </w:r>
            <w:r>
              <w:rPr>
                <w:rFonts w:hint="default" w:ascii="Times New Roman" w:hAnsi="Times New Roman" w:eastAsia="宋体" w:cs="Times New Roman"/>
                <w:i w:val="0"/>
                <w:iCs w:val="0"/>
                <w:color w:val="FF0000"/>
                <w:kern w:val="0"/>
                <w:sz w:val="21"/>
                <w:szCs w:val="21"/>
                <w:u w:val="none"/>
                <w:lang w:val="en-US" w:eastAsia="zh-CN" w:bidi="ar"/>
              </w:rPr>
              <w:t>S</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6B63C3">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0.3285</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EEE951">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0.0375</w:t>
            </w:r>
          </w:p>
        </w:tc>
        <w:tc>
          <w:tcPr>
            <w:tcW w:w="714" w:type="pct"/>
            <w:vMerge w:val="continue"/>
            <w:tcBorders>
              <w:left w:val="single" w:color="000000" w:sz="8" w:space="0"/>
              <w:right w:val="single" w:color="000000" w:sz="8" w:space="0"/>
            </w:tcBorders>
            <w:shd w:val="clear" w:color="auto" w:fill="auto"/>
            <w:vAlign w:val="center"/>
          </w:tcPr>
          <w:p w14:paraId="0BCFE40F">
            <w:pPr>
              <w:jc w:val="center"/>
              <w:rPr>
                <w:rFonts w:hint="default" w:ascii="Times New Roman" w:hAnsi="Times New Roman" w:eastAsia="宋体" w:cs="Times New Roman"/>
                <w:i w:val="0"/>
                <w:iCs w:val="0"/>
                <w:color w:val="FF0000"/>
                <w:sz w:val="20"/>
                <w:szCs w:val="20"/>
                <w:u w:val="none"/>
              </w:rPr>
            </w:pPr>
          </w:p>
        </w:tc>
        <w:tc>
          <w:tcPr>
            <w:tcW w:w="12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2799CF">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0.0493</w:t>
            </w:r>
          </w:p>
        </w:tc>
        <w:tc>
          <w:tcPr>
            <w:tcW w:w="121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4549CE">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0.0056</w:t>
            </w:r>
          </w:p>
        </w:tc>
      </w:tr>
      <w:tr w14:paraId="0846E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1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3EF55BE">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育雏鸡</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A1330A">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NH</w:t>
            </w:r>
            <w:r>
              <w:rPr>
                <w:rFonts w:hint="default" w:ascii="Times New Roman" w:hAnsi="Times New Roman" w:eastAsia="宋体" w:cs="Times New Roman"/>
                <w:i w:val="0"/>
                <w:iCs w:val="0"/>
                <w:color w:val="FF0000"/>
                <w:kern w:val="0"/>
                <w:sz w:val="21"/>
                <w:szCs w:val="21"/>
                <w:u w:val="none"/>
                <w:vertAlign w:val="subscript"/>
                <w:lang w:val="en-US" w:eastAsia="zh-CN" w:bidi="ar"/>
              </w:rPr>
              <w:t>3</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980A03">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1.095</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8B6E54">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0.125</w:t>
            </w:r>
          </w:p>
        </w:tc>
        <w:tc>
          <w:tcPr>
            <w:tcW w:w="714" w:type="pct"/>
            <w:vMerge w:val="continue"/>
            <w:tcBorders>
              <w:left w:val="single" w:color="000000" w:sz="8" w:space="0"/>
              <w:right w:val="single" w:color="000000" w:sz="8" w:space="0"/>
            </w:tcBorders>
            <w:shd w:val="clear" w:color="auto" w:fill="auto"/>
            <w:vAlign w:val="center"/>
          </w:tcPr>
          <w:p w14:paraId="58887064">
            <w:pPr>
              <w:jc w:val="center"/>
              <w:rPr>
                <w:rFonts w:hint="default" w:ascii="Times New Roman" w:hAnsi="Times New Roman" w:eastAsia="宋体" w:cs="Times New Roman"/>
                <w:i w:val="0"/>
                <w:iCs w:val="0"/>
                <w:color w:val="FF0000"/>
                <w:sz w:val="20"/>
                <w:szCs w:val="20"/>
                <w:u w:val="none"/>
              </w:rPr>
            </w:pPr>
          </w:p>
        </w:tc>
        <w:tc>
          <w:tcPr>
            <w:tcW w:w="12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DE7DDA">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0.1643</w:t>
            </w:r>
          </w:p>
        </w:tc>
        <w:tc>
          <w:tcPr>
            <w:tcW w:w="121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42BF46">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0.0188</w:t>
            </w:r>
          </w:p>
        </w:tc>
      </w:tr>
      <w:tr w14:paraId="725CA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71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4A58D56">
            <w:pPr>
              <w:jc w:val="center"/>
              <w:rPr>
                <w:rFonts w:hint="default" w:ascii="Times New Roman" w:hAnsi="Times New Roman" w:eastAsia="宋体" w:cs="Times New Roman"/>
                <w:i w:val="0"/>
                <w:iCs w:val="0"/>
                <w:color w:val="FF0000"/>
                <w:sz w:val="21"/>
                <w:szCs w:val="21"/>
                <w:u w:val="none"/>
              </w:rPr>
            </w:pP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FA198F">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H</w:t>
            </w:r>
            <w:r>
              <w:rPr>
                <w:rFonts w:hint="default" w:ascii="Times New Roman" w:hAnsi="Times New Roman" w:eastAsia="宋体" w:cs="Times New Roman"/>
                <w:i w:val="0"/>
                <w:iCs w:val="0"/>
                <w:color w:val="FF0000"/>
                <w:kern w:val="0"/>
                <w:sz w:val="21"/>
                <w:szCs w:val="21"/>
                <w:u w:val="none"/>
                <w:vertAlign w:val="subscript"/>
                <w:lang w:val="en-US" w:eastAsia="zh-CN" w:bidi="ar"/>
              </w:rPr>
              <w:t>2</w:t>
            </w:r>
            <w:r>
              <w:rPr>
                <w:rFonts w:hint="default" w:ascii="Times New Roman" w:hAnsi="Times New Roman" w:eastAsia="宋体" w:cs="Times New Roman"/>
                <w:i w:val="0"/>
                <w:iCs w:val="0"/>
                <w:color w:val="FF0000"/>
                <w:kern w:val="0"/>
                <w:sz w:val="21"/>
                <w:szCs w:val="21"/>
                <w:u w:val="none"/>
                <w:lang w:val="en-US" w:eastAsia="zh-CN" w:bidi="ar"/>
              </w:rPr>
              <w:t>S</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C9932B">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0.1095</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4A843B">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0.0125</w:t>
            </w:r>
          </w:p>
        </w:tc>
        <w:tc>
          <w:tcPr>
            <w:tcW w:w="714" w:type="pct"/>
            <w:vMerge w:val="continue"/>
            <w:tcBorders>
              <w:left w:val="single" w:color="000000" w:sz="8" w:space="0"/>
              <w:right w:val="single" w:color="000000" w:sz="8" w:space="0"/>
            </w:tcBorders>
            <w:shd w:val="clear" w:color="auto" w:fill="auto"/>
            <w:vAlign w:val="center"/>
          </w:tcPr>
          <w:p w14:paraId="29C34F8E">
            <w:pPr>
              <w:jc w:val="center"/>
              <w:rPr>
                <w:rFonts w:hint="default" w:ascii="Times New Roman" w:hAnsi="Times New Roman" w:eastAsia="宋体" w:cs="Times New Roman"/>
                <w:i w:val="0"/>
                <w:iCs w:val="0"/>
                <w:color w:val="FF0000"/>
                <w:sz w:val="20"/>
                <w:szCs w:val="20"/>
                <w:u w:val="none"/>
              </w:rPr>
            </w:pPr>
          </w:p>
        </w:tc>
        <w:tc>
          <w:tcPr>
            <w:tcW w:w="12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7C32D4">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0.0164</w:t>
            </w:r>
          </w:p>
        </w:tc>
        <w:tc>
          <w:tcPr>
            <w:tcW w:w="121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D7133F">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0.0019</w:t>
            </w:r>
          </w:p>
        </w:tc>
      </w:tr>
      <w:tr w14:paraId="31AD1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71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B5B6FA0">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合计</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B9DAE0">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NH</w:t>
            </w:r>
            <w:r>
              <w:rPr>
                <w:rFonts w:hint="default" w:ascii="Times New Roman" w:hAnsi="Times New Roman" w:eastAsia="宋体" w:cs="Times New Roman"/>
                <w:i w:val="0"/>
                <w:iCs w:val="0"/>
                <w:color w:val="FF0000"/>
                <w:kern w:val="0"/>
                <w:sz w:val="21"/>
                <w:szCs w:val="21"/>
                <w:u w:val="none"/>
                <w:vertAlign w:val="subscript"/>
                <w:lang w:val="en-US" w:eastAsia="zh-CN" w:bidi="ar"/>
              </w:rPr>
              <w:t>3</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50C417">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4.38</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D34D6C">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0.5</w:t>
            </w:r>
          </w:p>
        </w:tc>
        <w:tc>
          <w:tcPr>
            <w:tcW w:w="714" w:type="pct"/>
            <w:vMerge w:val="continue"/>
            <w:tcBorders>
              <w:left w:val="single" w:color="000000" w:sz="8" w:space="0"/>
              <w:right w:val="single" w:color="000000" w:sz="8" w:space="0"/>
            </w:tcBorders>
            <w:shd w:val="clear" w:color="auto" w:fill="auto"/>
            <w:vAlign w:val="center"/>
          </w:tcPr>
          <w:p w14:paraId="0D7BC65B">
            <w:pPr>
              <w:jc w:val="center"/>
              <w:rPr>
                <w:rFonts w:hint="default" w:ascii="Times New Roman" w:hAnsi="Times New Roman" w:eastAsia="宋体" w:cs="Times New Roman"/>
                <w:i w:val="0"/>
                <w:iCs w:val="0"/>
                <w:color w:val="FF0000"/>
                <w:sz w:val="20"/>
                <w:szCs w:val="20"/>
                <w:u w:val="none"/>
              </w:rPr>
            </w:pPr>
          </w:p>
        </w:tc>
        <w:tc>
          <w:tcPr>
            <w:tcW w:w="12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77F822">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0.657</w:t>
            </w:r>
          </w:p>
        </w:tc>
        <w:tc>
          <w:tcPr>
            <w:tcW w:w="121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142B23">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0.075</w:t>
            </w:r>
          </w:p>
        </w:tc>
      </w:tr>
      <w:tr w14:paraId="4B3D0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71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20F5C14">
            <w:pPr>
              <w:jc w:val="center"/>
              <w:rPr>
                <w:rFonts w:hint="default" w:ascii="Times New Roman" w:hAnsi="Times New Roman" w:eastAsia="宋体" w:cs="Times New Roman"/>
                <w:i w:val="0"/>
                <w:iCs w:val="0"/>
                <w:color w:val="FF0000"/>
                <w:sz w:val="21"/>
                <w:szCs w:val="21"/>
                <w:u w:val="none"/>
              </w:rPr>
            </w:pP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3C871C">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H</w:t>
            </w:r>
            <w:r>
              <w:rPr>
                <w:rFonts w:hint="default" w:ascii="Times New Roman" w:hAnsi="Times New Roman" w:eastAsia="宋体" w:cs="Times New Roman"/>
                <w:i w:val="0"/>
                <w:iCs w:val="0"/>
                <w:color w:val="FF0000"/>
                <w:kern w:val="0"/>
                <w:sz w:val="21"/>
                <w:szCs w:val="21"/>
                <w:u w:val="none"/>
                <w:vertAlign w:val="subscript"/>
                <w:lang w:val="en-US" w:eastAsia="zh-CN" w:bidi="ar"/>
              </w:rPr>
              <w:t>2</w:t>
            </w:r>
            <w:r>
              <w:rPr>
                <w:rFonts w:hint="default" w:ascii="Times New Roman" w:hAnsi="Times New Roman" w:eastAsia="宋体" w:cs="Times New Roman"/>
                <w:i w:val="0"/>
                <w:iCs w:val="0"/>
                <w:color w:val="FF0000"/>
                <w:kern w:val="0"/>
                <w:sz w:val="21"/>
                <w:szCs w:val="21"/>
                <w:u w:val="none"/>
                <w:lang w:val="en-US" w:eastAsia="zh-CN" w:bidi="ar"/>
              </w:rPr>
              <w:t>S</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9730FB">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0.438</w:t>
            </w:r>
          </w:p>
        </w:tc>
        <w:tc>
          <w:tcPr>
            <w:tcW w:w="7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B7D905">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0.05</w:t>
            </w:r>
          </w:p>
        </w:tc>
        <w:tc>
          <w:tcPr>
            <w:tcW w:w="714" w:type="pct"/>
            <w:vMerge w:val="continue"/>
            <w:tcBorders>
              <w:left w:val="single" w:color="000000" w:sz="8" w:space="0"/>
              <w:bottom w:val="single" w:color="000000" w:sz="8" w:space="0"/>
              <w:right w:val="single" w:color="000000" w:sz="8" w:space="0"/>
            </w:tcBorders>
            <w:shd w:val="clear" w:color="auto" w:fill="auto"/>
            <w:vAlign w:val="center"/>
          </w:tcPr>
          <w:p w14:paraId="5BEB3628">
            <w:pPr>
              <w:jc w:val="center"/>
              <w:rPr>
                <w:rFonts w:hint="default" w:ascii="Times New Roman" w:hAnsi="Times New Roman" w:eastAsia="宋体" w:cs="Times New Roman"/>
                <w:i w:val="0"/>
                <w:iCs w:val="0"/>
                <w:color w:val="FF0000"/>
                <w:sz w:val="20"/>
                <w:szCs w:val="20"/>
                <w:u w:val="none"/>
              </w:rPr>
            </w:pPr>
          </w:p>
        </w:tc>
        <w:tc>
          <w:tcPr>
            <w:tcW w:w="12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DEA37A">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0.0657</w:t>
            </w:r>
          </w:p>
        </w:tc>
        <w:tc>
          <w:tcPr>
            <w:tcW w:w="121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4B119A">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0.0075</w:t>
            </w:r>
          </w:p>
        </w:tc>
      </w:tr>
    </w:tbl>
    <w:p w14:paraId="6AE58D5E">
      <w:pPr>
        <w:pStyle w:val="16"/>
        <w:bidi w:val="0"/>
        <w:rPr>
          <w:rFonts w:hint="default" w:ascii="Times New Roman" w:hAnsi="Times New Roman" w:cs="Times New Roman"/>
          <w:color w:val="FF0000"/>
          <w:lang w:val="en-US"/>
        </w:rPr>
      </w:pPr>
      <w:bookmarkStart w:id="63" w:name="_Hlk63488391"/>
      <w:r>
        <w:rPr>
          <w:rFonts w:hint="default" w:ascii="Times New Roman" w:hAnsi="Times New Roman" w:cs="Times New Roman"/>
          <w:color w:val="FF0000"/>
          <w:lang w:val="en-US"/>
        </w:rPr>
        <w:t>②</w:t>
      </w:r>
      <w:r>
        <w:rPr>
          <w:rFonts w:hint="default" w:ascii="Times New Roman" w:hAnsi="Times New Roman" w:cs="Times New Roman"/>
          <w:color w:val="FF0000"/>
          <w:lang w:val="en-US" w:eastAsia="zh-CN"/>
        </w:rPr>
        <w:t>鸡粪发酵处理场</w:t>
      </w:r>
      <w:r>
        <w:rPr>
          <w:rFonts w:hint="default" w:ascii="Times New Roman" w:hAnsi="Times New Roman" w:cs="Times New Roman"/>
          <w:color w:val="FF0000"/>
          <w:lang w:val="en-US"/>
        </w:rPr>
        <w:t>臭气</w:t>
      </w:r>
    </w:p>
    <w:p w14:paraId="35ED8EDC">
      <w:pPr>
        <w:spacing w:line="360" w:lineRule="auto"/>
        <w:ind w:firstLine="482"/>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项目鸡粪每天清理，产生情况：本项目发酵过程中主要为机械混合过程，堆肥原料为蓬松状态，中间伴随着高温发酵菌种等的有氧呼吸作用。发酵过程中，高温发酵菌种占主要作用，可进行剧烈的生物发酵，迅速繁殖，此过程中能够促进发酵物快速除臭，有效杀灭病毒、病菌、虫卵、杂草种子，实现无害化处理，并能遏制土壤病虫害发生，微生物在进行发酵过程中，主要利用自身新陈代谢产生的酶来进行催化反应，加速新陈代谢的进程，不需要加入其他物质。在堆肥原料发酵的过程中会产生少量的CO</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S、H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O等气体，其中CO</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O对环境不会产生大的影响；NH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S属于恶臭气体，项目在发酵过程需投加发酵菌，以缩短发酵时间，同时可以抑制恶臭气体的产生，减少恶臭物质的排放量，降低其对周边环境的影响。</w:t>
      </w:r>
    </w:p>
    <w:p w14:paraId="1A07C847">
      <w:pPr>
        <w:spacing w:line="360" w:lineRule="auto"/>
        <w:ind w:firstLine="482"/>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本项目鸡粪发酵处理场，以鸡粪为原料，添加调配好的物料接种复合微生物菌剂，进行发酵腐熟，通过添加生物除臭剂减轻产生的恶臭气体。</w:t>
      </w:r>
    </w:p>
    <w:p w14:paraId="4947A449">
      <w:pPr>
        <w:spacing w:line="360" w:lineRule="auto"/>
        <w:ind w:firstLine="482"/>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通过查阅相关资料：《恶臭的评价与分析》（化学工业出版社）、《禽畜养殖污染防治技术与政策》（化学工业出版社）、《禽畜场环境影响评价》（中国标准出版社）等技术资料和书籍，鲜鸡粪中干基部分含氮量2%，发酵过程预计总氮转化成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量不大于0.1%。H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S含量约为NH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的10%。</w:t>
      </w:r>
    </w:p>
    <w:p w14:paraId="7E9AB686">
      <w:pPr>
        <w:spacing w:line="360" w:lineRule="auto"/>
        <w:ind w:firstLine="48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根据《排污许可证申请与核发技术规范畜禽养殖行业》（HJ1029-2019）中表9粪便产污系数，养殖场全年蛋鸡和</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存栏量分别为30万羽，则项目</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鸡粪产生量为4380t/a，总氮产生量为43.8t/a。</w:t>
      </w:r>
    </w:p>
    <w:p w14:paraId="3C3B76B5">
      <w:pPr>
        <w:spacing w:line="360" w:lineRule="auto"/>
        <w:ind w:firstLine="480"/>
        <w:jc w:val="both"/>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项目蛋鸡鸡粪产生量为14235t/a，总氮产生量为131.4t/a。</w:t>
      </w:r>
    </w:p>
    <w:p w14:paraId="75896B00">
      <w:pPr>
        <w:spacing w:line="360" w:lineRule="auto"/>
        <w:ind w:firstLine="482"/>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项目鸡粪总产生量为18615t/a，鸡粪含水率约80%，在鸡饲料中加入益生菌，同时喷洒生物除臭剂等减少鸡粪便中臭气浓度，本项目设置1套生物滤池除臭装置，风量按10000m</w:t>
      </w:r>
      <w:r>
        <w:rPr>
          <w:rFonts w:hint="default" w:ascii="Times New Roman" w:hAnsi="Times New Roman" w:cs="Times New Roman"/>
          <w:color w:val="FF0000"/>
          <w:sz w:val="24"/>
          <w:vertAlign w:val="superscript"/>
          <w:lang w:val="en-US" w:eastAsia="zh-CN"/>
        </w:rPr>
        <w:t>3</w:t>
      </w:r>
      <w:r>
        <w:rPr>
          <w:rFonts w:hint="default" w:ascii="Times New Roman" w:hAnsi="Times New Roman" w:cs="Times New Roman"/>
          <w:color w:val="FF0000"/>
          <w:sz w:val="24"/>
          <w:lang w:val="en-US" w:eastAsia="zh-CN"/>
        </w:rPr>
        <w:t>/h计，生物过滤除臭系统对NH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S的去除效率按80%，通过15m高排气筒（DA002）排放，因此鸡粪发酵</w:t>
      </w:r>
      <w:r>
        <w:rPr>
          <w:rFonts w:hint="eastAsia" w:ascii="Times New Roman" w:hAnsi="Times New Roman" w:cs="Times New Roman"/>
          <w:color w:val="FF0000"/>
          <w:sz w:val="24"/>
          <w:lang w:val="en-US" w:eastAsia="zh-CN"/>
        </w:rPr>
        <w:t>处理厂</w:t>
      </w:r>
      <w:r>
        <w:rPr>
          <w:rFonts w:hint="default" w:ascii="Times New Roman" w:hAnsi="Times New Roman" w:cs="Times New Roman"/>
          <w:color w:val="FF0000"/>
          <w:sz w:val="24"/>
          <w:lang w:val="en-US" w:eastAsia="zh-CN"/>
        </w:rPr>
        <w:t>恶臭气体NH</w:t>
      </w:r>
      <w:r>
        <w:rPr>
          <w:rFonts w:hint="default" w:ascii="Times New Roman" w:hAnsi="Times New Roman" w:cs="Times New Roman"/>
          <w:color w:val="FF0000"/>
          <w:sz w:val="24"/>
          <w:vertAlign w:val="subscript"/>
          <w:lang w:val="en-US" w:eastAsia="zh-CN"/>
        </w:rPr>
        <w:t>3</w:t>
      </w:r>
      <w:r>
        <w:rPr>
          <w:rFonts w:hint="default" w:ascii="Times New Roman" w:hAnsi="Times New Roman" w:cs="Times New Roman"/>
          <w:color w:val="FF0000"/>
          <w:sz w:val="24"/>
          <w:lang w:val="en-US" w:eastAsia="zh-CN"/>
        </w:rPr>
        <w:t>的排放量为：18615×20%×2%×0.1%×20%=0.015t/a（0.002kg/h）、H</w:t>
      </w:r>
      <w:r>
        <w:rPr>
          <w:rFonts w:hint="default" w:ascii="Times New Roman" w:hAnsi="Times New Roman" w:cs="Times New Roman"/>
          <w:color w:val="FF0000"/>
          <w:sz w:val="24"/>
          <w:vertAlign w:val="subscript"/>
          <w:lang w:val="en-US" w:eastAsia="zh-CN"/>
        </w:rPr>
        <w:t>2</w:t>
      </w:r>
      <w:r>
        <w:rPr>
          <w:rFonts w:hint="default" w:ascii="Times New Roman" w:hAnsi="Times New Roman" w:cs="Times New Roman"/>
          <w:color w:val="FF0000"/>
          <w:sz w:val="24"/>
          <w:lang w:val="en-US" w:eastAsia="zh-CN"/>
        </w:rPr>
        <w:t>S的排放量为：0.015×10%=0.002t/a（0.0002kg/h）。</w:t>
      </w:r>
    </w:p>
    <w:p w14:paraId="16483B20">
      <w:pPr>
        <w:pStyle w:val="14"/>
        <w:bidi w:val="0"/>
        <w:rPr>
          <w:rFonts w:hint="default" w:ascii="Times New Roman" w:hAnsi="Times New Roman" w:cs="Times New Roman"/>
          <w:color w:val="FF0000"/>
          <w:lang w:val="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3.5</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6</w:t>
      </w:r>
      <w:r>
        <w:rPr>
          <w:rFonts w:hint="default" w:ascii="Times New Roman" w:hAnsi="Times New Roman" w:cs="Times New Roman"/>
          <w:color w:val="FF0000"/>
        </w:rPr>
        <w:fldChar w:fldCharType="end"/>
      </w:r>
      <w:r>
        <w:rPr>
          <w:rFonts w:hint="default" w:ascii="Times New Roman" w:hAnsi="Times New Roman" w:cs="Times New Roman"/>
          <w:color w:val="FF0000"/>
          <w:lang w:val="zh-CN"/>
        </w:rPr>
        <w:t>鸡粪发酵处理场恶臭产生及排放情况一览表</w:t>
      </w:r>
    </w:p>
    <w:tbl>
      <w:tblPr>
        <w:tblStyle w:val="3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868"/>
        <w:gridCol w:w="682"/>
        <w:gridCol w:w="682"/>
        <w:gridCol w:w="1036"/>
        <w:gridCol w:w="1036"/>
        <w:gridCol w:w="932"/>
        <w:gridCol w:w="932"/>
        <w:gridCol w:w="967"/>
        <w:gridCol w:w="971"/>
      </w:tblGrid>
      <w:tr w14:paraId="7EF6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44" w:type="pct"/>
            <w:noWrap w:val="0"/>
            <w:vAlign w:val="center"/>
          </w:tcPr>
          <w:p w14:paraId="3596F2B5">
            <w:pPr>
              <w:ind w:left="0" w:leftChars="0" w:right="-10" w:rightChars="0" w:firstLine="0" w:firstLineChars="0"/>
              <w:jc w:val="center"/>
              <w:rPr>
                <w:rFonts w:hint="default" w:ascii="Times New Roman" w:hAnsi="Times New Roman" w:cs="Times New Roman"/>
                <w:bCs/>
                <w:snapToGrid w:val="0"/>
                <w:color w:val="FF0000"/>
                <w:sz w:val="21"/>
                <w:highlight w:val="none"/>
              </w:rPr>
            </w:pPr>
            <w:r>
              <w:rPr>
                <w:rFonts w:hint="default" w:ascii="Times New Roman" w:hAnsi="Times New Roman" w:cs="Times New Roman"/>
                <w:bCs/>
                <w:snapToGrid w:val="0"/>
                <w:color w:val="FF0000"/>
                <w:sz w:val="21"/>
                <w:highlight w:val="none"/>
              </w:rPr>
              <w:t>序号</w:t>
            </w:r>
          </w:p>
        </w:tc>
        <w:tc>
          <w:tcPr>
            <w:tcW w:w="509" w:type="pct"/>
            <w:noWrap w:val="0"/>
            <w:vAlign w:val="center"/>
          </w:tcPr>
          <w:p w14:paraId="2DA08F39">
            <w:pPr>
              <w:ind w:left="-119" w:leftChars="-54" w:right="-109" w:rightChars="0" w:firstLine="0" w:firstLineChars="0"/>
              <w:jc w:val="center"/>
              <w:rPr>
                <w:rFonts w:hint="default" w:ascii="Times New Roman" w:hAnsi="Times New Roman" w:cs="Times New Roman"/>
                <w:bCs/>
                <w:snapToGrid w:val="0"/>
                <w:color w:val="FF0000"/>
                <w:sz w:val="21"/>
                <w:highlight w:val="none"/>
              </w:rPr>
            </w:pPr>
            <w:r>
              <w:rPr>
                <w:rFonts w:hint="default" w:ascii="Times New Roman" w:hAnsi="Times New Roman" w:cs="Times New Roman"/>
                <w:bCs/>
                <w:snapToGrid w:val="0"/>
                <w:color w:val="FF0000"/>
                <w:sz w:val="21"/>
                <w:highlight w:val="none"/>
              </w:rPr>
              <w:t>污染源位置</w:t>
            </w:r>
          </w:p>
        </w:tc>
        <w:tc>
          <w:tcPr>
            <w:tcW w:w="400" w:type="pct"/>
            <w:noWrap w:val="0"/>
            <w:vAlign w:val="center"/>
          </w:tcPr>
          <w:p w14:paraId="3659F457">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排放形式</w:t>
            </w:r>
          </w:p>
        </w:tc>
        <w:tc>
          <w:tcPr>
            <w:tcW w:w="400" w:type="pct"/>
            <w:noWrap w:val="0"/>
            <w:vAlign w:val="center"/>
          </w:tcPr>
          <w:p w14:paraId="1275EFB5">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污染物名称</w:t>
            </w:r>
          </w:p>
        </w:tc>
        <w:tc>
          <w:tcPr>
            <w:tcW w:w="607" w:type="pct"/>
            <w:noWrap w:val="0"/>
            <w:vAlign w:val="center"/>
          </w:tcPr>
          <w:p w14:paraId="18A3306D">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污染物</w:t>
            </w:r>
          </w:p>
          <w:p w14:paraId="50E44306">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产生量（t/a）</w:t>
            </w:r>
          </w:p>
        </w:tc>
        <w:tc>
          <w:tcPr>
            <w:tcW w:w="607" w:type="pct"/>
            <w:noWrap w:val="0"/>
            <w:vAlign w:val="center"/>
          </w:tcPr>
          <w:p w14:paraId="142EE50D">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污染物</w:t>
            </w:r>
          </w:p>
          <w:p w14:paraId="6A88BE89">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产生速率</w:t>
            </w:r>
          </w:p>
          <w:p w14:paraId="2067D17D">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（kg/h）</w:t>
            </w:r>
          </w:p>
        </w:tc>
        <w:tc>
          <w:tcPr>
            <w:tcW w:w="546" w:type="pct"/>
            <w:noWrap w:val="0"/>
            <w:vAlign w:val="center"/>
          </w:tcPr>
          <w:p w14:paraId="2C539A15">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治理措施</w:t>
            </w:r>
          </w:p>
        </w:tc>
        <w:tc>
          <w:tcPr>
            <w:tcW w:w="546" w:type="pct"/>
            <w:noWrap w:val="0"/>
            <w:vAlign w:val="center"/>
          </w:tcPr>
          <w:p w14:paraId="6BF651CD">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污染物</w:t>
            </w:r>
          </w:p>
          <w:p w14:paraId="0E42CF32">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排放量</w:t>
            </w:r>
          </w:p>
          <w:p w14:paraId="553F577D">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（t/a）</w:t>
            </w:r>
          </w:p>
        </w:tc>
        <w:tc>
          <w:tcPr>
            <w:tcW w:w="567" w:type="pct"/>
            <w:noWrap w:val="0"/>
            <w:vAlign w:val="center"/>
          </w:tcPr>
          <w:p w14:paraId="542C81CB">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污染物</w:t>
            </w:r>
          </w:p>
          <w:p w14:paraId="2809F8F5">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排放速率</w:t>
            </w:r>
          </w:p>
          <w:p w14:paraId="50F71257">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（kg/h）</w:t>
            </w:r>
          </w:p>
        </w:tc>
        <w:tc>
          <w:tcPr>
            <w:tcW w:w="569" w:type="pct"/>
            <w:noWrap w:val="0"/>
            <w:vAlign w:val="center"/>
          </w:tcPr>
          <w:p w14:paraId="724D8BF2">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污染物</w:t>
            </w:r>
          </w:p>
          <w:p w14:paraId="20BE13DF">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排放浓度</w:t>
            </w:r>
          </w:p>
          <w:p w14:paraId="79C88469">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（mg/m</w:t>
            </w:r>
            <w:r>
              <w:rPr>
                <w:rFonts w:hint="default" w:ascii="Times New Roman" w:hAnsi="Times New Roman" w:eastAsia="宋体" w:cs="Times New Roman"/>
                <w:snapToGrid w:val="0"/>
                <w:color w:val="FF0000"/>
                <w:sz w:val="21"/>
                <w:szCs w:val="22"/>
                <w:highlight w:val="none"/>
                <w:vertAlign w:val="superscript"/>
                <w:lang w:val="en-US" w:eastAsia="zh-CN" w:bidi="zh-CN"/>
              </w:rPr>
              <w:t>3</w:t>
            </w:r>
            <w:r>
              <w:rPr>
                <w:rFonts w:hint="default" w:ascii="Times New Roman" w:hAnsi="Times New Roman" w:eastAsia="宋体" w:cs="Times New Roman"/>
                <w:snapToGrid w:val="0"/>
                <w:color w:val="FF0000"/>
                <w:sz w:val="21"/>
                <w:szCs w:val="22"/>
                <w:highlight w:val="none"/>
                <w:lang w:val="en-US" w:eastAsia="zh-CN" w:bidi="zh-CN"/>
              </w:rPr>
              <w:t>）</w:t>
            </w:r>
          </w:p>
        </w:tc>
      </w:tr>
      <w:tr w14:paraId="63B9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244" w:type="pct"/>
            <w:noWrap w:val="0"/>
            <w:vAlign w:val="center"/>
          </w:tcPr>
          <w:p w14:paraId="2FB85D96">
            <w:pPr>
              <w:ind w:left="0" w:leftChars="0" w:right="-10"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1</w:t>
            </w:r>
          </w:p>
        </w:tc>
        <w:tc>
          <w:tcPr>
            <w:tcW w:w="509" w:type="pct"/>
            <w:vMerge w:val="restart"/>
            <w:noWrap w:val="0"/>
            <w:vAlign w:val="center"/>
          </w:tcPr>
          <w:p w14:paraId="000EFB44">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鸡粪发酵处理场</w:t>
            </w:r>
          </w:p>
        </w:tc>
        <w:tc>
          <w:tcPr>
            <w:tcW w:w="400" w:type="pct"/>
            <w:vMerge w:val="restart"/>
            <w:noWrap w:val="0"/>
            <w:vAlign w:val="center"/>
          </w:tcPr>
          <w:p w14:paraId="11846ADD">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有组织</w:t>
            </w:r>
          </w:p>
        </w:tc>
        <w:tc>
          <w:tcPr>
            <w:tcW w:w="400" w:type="pct"/>
            <w:noWrap w:val="0"/>
            <w:vAlign w:val="center"/>
          </w:tcPr>
          <w:p w14:paraId="433E3E47">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NH</w:t>
            </w:r>
            <w:r>
              <w:rPr>
                <w:rFonts w:hint="default" w:ascii="Times New Roman" w:hAnsi="Times New Roman" w:eastAsia="宋体" w:cs="Times New Roman"/>
                <w:snapToGrid w:val="0"/>
                <w:color w:val="FF0000"/>
                <w:sz w:val="21"/>
                <w:szCs w:val="22"/>
                <w:highlight w:val="none"/>
                <w:vertAlign w:val="subscript"/>
                <w:lang w:val="en-US" w:eastAsia="zh-CN" w:bidi="zh-CN"/>
              </w:rPr>
              <w:t>3</w:t>
            </w:r>
          </w:p>
        </w:tc>
        <w:tc>
          <w:tcPr>
            <w:tcW w:w="607" w:type="pct"/>
            <w:noWrap w:val="0"/>
            <w:vAlign w:val="center"/>
          </w:tcPr>
          <w:p w14:paraId="6F940C59">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0.075</w:t>
            </w:r>
          </w:p>
        </w:tc>
        <w:tc>
          <w:tcPr>
            <w:tcW w:w="607" w:type="pct"/>
            <w:noWrap w:val="0"/>
            <w:vAlign w:val="center"/>
          </w:tcPr>
          <w:p w14:paraId="64E1FEA3">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0.009</w:t>
            </w:r>
          </w:p>
        </w:tc>
        <w:tc>
          <w:tcPr>
            <w:tcW w:w="546" w:type="pct"/>
            <w:vMerge w:val="restart"/>
            <w:noWrap w:val="0"/>
            <w:vAlign w:val="center"/>
          </w:tcPr>
          <w:p w14:paraId="66A0766B">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生物过滤除臭系统</w:t>
            </w:r>
          </w:p>
        </w:tc>
        <w:tc>
          <w:tcPr>
            <w:tcW w:w="546" w:type="pct"/>
            <w:noWrap w:val="0"/>
            <w:vAlign w:val="center"/>
          </w:tcPr>
          <w:p w14:paraId="0F2D7F5C">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0.015</w:t>
            </w:r>
          </w:p>
        </w:tc>
        <w:tc>
          <w:tcPr>
            <w:tcW w:w="567" w:type="pct"/>
            <w:noWrap w:val="0"/>
            <w:vAlign w:val="center"/>
          </w:tcPr>
          <w:p w14:paraId="1EEC0C8C">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0.002</w:t>
            </w:r>
          </w:p>
        </w:tc>
        <w:tc>
          <w:tcPr>
            <w:tcW w:w="569" w:type="pct"/>
            <w:noWrap w:val="0"/>
            <w:vAlign w:val="center"/>
          </w:tcPr>
          <w:p w14:paraId="2053B349">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0.017</w:t>
            </w:r>
          </w:p>
        </w:tc>
      </w:tr>
      <w:tr w14:paraId="5F03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exact"/>
          <w:jc w:val="center"/>
        </w:trPr>
        <w:tc>
          <w:tcPr>
            <w:tcW w:w="244" w:type="pct"/>
            <w:noWrap w:val="0"/>
            <w:vAlign w:val="center"/>
          </w:tcPr>
          <w:p w14:paraId="6B9294B8">
            <w:pPr>
              <w:ind w:left="0" w:leftChars="0" w:right="-10"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2</w:t>
            </w:r>
          </w:p>
        </w:tc>
        <w:tc>
          <w:tcPr>
            <w:tcW w:w="509" w:type="pct"/>
            <w:vMerge w:val="continue"/>
            <w:noWrap w:val="0"/>
            <w:vAlign w:val="center"/>
          </w:tcPr>
          <w:p w14:paraId="53F1D1DD">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p>
        </w:tc>
        <w:tc>
          <w:tcPr>
            <w:tcW w:w="400" w:type="pct"/>
            <w:vMerge w:val="continue"/>
            <w:noWrap w:val="0"/>
            <w:vAlign w:val="center"/>
          </w:tcPr>
          <w:p w14:paraId="5DAA937A">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p>
        </w:tc>
        <w:tc>
          <w:tcPr>
            <w:tcW w:w="400" w:type="pct"/>
            <w:noWrap w:val="0"/>
            <w:vAlign w:val="center"/>
          </w:tcPr>
          <w:p w14:paraId="06F3DE24">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H</w:t>
            </w:r>
            <w:r>
              <w:rPr>
                <w:rFonts w:hint="default" w:ascii="Times New Roman" w:hAnsi="Times New Roman" w:eastAsia="宋体" w:cs="Times New Roman"/>
                <w:snapToGrid w:val="0"/>
                <w:color w:val="FF0000"/>
                <w:sz w:val="21"/>
                <w:szCs w:val="22"/>
                <w:highlight w:val="none"/>
                <w:vertAlign w:val="subscript"/>
                <w:lang w:val="en-US" w:eastAsia="zh-CN" w:bidi="zh-CN"/>
              </w:rPr>
              <w:t>2</w:t>
            </w:r>
            <w:r>
              <w:rPr>
                <w:rFonts w:hint="default" w:ascii="Times New Roman" w:hAnsi="Times New Roman" w:eastAsia="宋体" w:cs="Times New Roman"/>
                <w:snapToGrid w:val="0"/>
                <w:color w:val="FF0000"/>
                <w:sz w:val="21"/>
                <w:szCs w:val="22"/>
                <w:highlight w:val="none"/>
                <w:lang w:val="en-US" w:eastAsia="zh-CN" w:bidi="zh-CN"/>
              </w:rPr>
              <w:t>S</w:t>
            </w:r>
          </w:p>
        </w:tc>
        <w:tc>
          <w:tcPr>
            <w:tcW w:w="607" w:type="pct"/>
            <w:noWrap w:val="0"/>
            <w:vAlign w:val="center"/>
          </w:tcPr>
          <w:p w14:paraId="72E947E2">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0.01</w:t>
            </w:r>
          </w:p>
        </w:tc>
        <w:tc>
          <w:tcPr>
            <w:tcW w:w="607" w:type="pct"/>
            <w:noWrap w:val="0"/>
            <w:vAlign w:val="center"/>
          </w:tcPr>
          <w:p w14:paraId="57914820">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0.001</w:t>
            </w:r>
          </w:p>
        </w:tc>
        <w:tc>
          <w:tcPr>
            <w:tcW w:w="546" w:type="pct"/>
            <w:vMerge w:val="continue"/>
            <w:noWrap w:val="0"/>
            <w:vAlign w:val="center"/>
          </w:tcPr>
          <w:p w14:paraId="0FEFD7FC">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p>
        </w:tc>
        <w:tc>
          <w:tcPr>
            <w:tcW w:w="546" w:type="pct"/>
            <w:noWrap w:val="0"/>
            <w:vAlign w:val="center"/>
          </w:tcPr>
          <w:p w14:paraId="40F47392">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0.002</w:t>
            </w:r>
          </w:p>
        </w:tc>
        <w:tc>
          <w:tcPr>
            <w:tcW w:w="567" w:type="pct"/>
            <w:noWrap w:val="0"/>
            <w:vAlign w:val="center"/>
          </w:tcPr>
          <w:p w14:paraId="3E9CDAB3">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0.0002</w:t>
            </w:r>
          </w:p>
        </w:tc>
        <w:tc>
          <w:tcPr>
            <w:tcW w:w="569" w:type="pct"/>
            <w:noWrap w:val="0"/>
            <w:vAlign w:val="center"/>
          </w:tcPr>
          <w:p w14:paraId="5712029F">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0.002</w:t>
            </w:r>
          </w:p>
        </w:tc>
      </w:tr>
      <w:tr w14:paraId="46DB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244" w:type="pct"/>
            <w:noWrap w:val="0"/>
            <w:vAlign w:val="center"/>
          </w:tcPr>
          <w:p w14:paraId="149FC8E0">
            <w:pPr>
              <w:ind w:left="0" w:leftChars="0" w:right="-10"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3</w:t>
            </w:r>
          </w:p>
        </w:tc>
        <w:tc>
          <w:tcPr>
            <w:tcW w:w="509" w:type="pct"/>
            <w:vMerge w:val="continue"/>
            <w:noWrap w:val="0"/>
            <w:vAlign w:val="center"/>
          </w:tcPr>
          <w:p w14:paraId="1E51F11E">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p>
        </w:tc>
        <w:tc>
          <w:tcPr>
            <w:tcW w:w="400" w:type="pct"/>
            <w:vMerge w:val="restart"/>
            <w:noWrap w:val="0"/>
            <w:vAlign w:val="center"/>
          </w:tcPr>
          <w:p w14:paraId="1D75BAEF">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无组织</w:t>
            </w:r>
          </w:p>
        </w:tc>
        <w:tc>
          <w:tcPr>
            <w:tcW w:w="400" w:type="pct"/>
            <w:noWrap w:val="0"/>
            <w:vAlign w:val="center"/>
          </w:tcPr>
          <w:p w14:paraId="40011E00">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NH</w:t>
            </w:r>
            <w:r>
              <w:rPr>
                <w:rFonts w:hint="default" w:ascii="Times New Roman" w:hAnsi="Times New Roman" w:eastAsia="宋体" w:cs="Times New Roman"/>
                <w:snapToGrid w:val="0"/>
                <w:color w:val="FF0000"/>
                <w:sz w:val="21"/>
                <w:szCs w:val="22"/>
                <w:highlight w:val="none"/>
                <w:vertAlign w:val="subscript"/>
                <w:lang w:val="en-US" w:eastAsia="zh-CN" w:bidi="zh-CN"/>
              </w:rPr>
              <w:t>3</w:t>
            </w:r>
          </w:p>
        </w:tc>
        <w:tc>
          <w:tcPr>
            <w:tcW w:w="607" w:type="pct"/>
            <w:noWrap w:val="0"/>
            <w:vAlign w:val="center"/>
          </w:tcPr>
          <w:p w14:paraId="48C63061">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0.0075</w:t>
            </w:r>
          </w:p>
        </w:tc>
        <w:tc>
          <w:tcPr>
            <w:tcW w:w="607" w:type="pct"/>
            <w:noWrap w:val="0"/>
            <w:vAlign w:val="center"/>
          </w:tcPr>
          <w:p w14:paraId="2FCEC080">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0.0009</w:t>
            </w:r>
          </w:p>
        </w:tc>
        <w:tc>
          <w:tcPr>
            <w:tcW w:w="546" w:type="pct"/>
            <w:vMerge w:val="restart"/>
            <w:noWrap w:val="0"/>
            <w:vAlign w:val="center"/>
          </w:tcPr>
          <w:p w14:paraId="681ED1E6">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w:t>
            </w:r>
          </w:p>
        </w:tc>
        <w:tc>
          <w:tcPr>
            <w:tcW w:w="932" w:type="dxa"/>
            <w:noWrap w:val="0"/>
            <w:vAlign w:val="center"/>
          </w:tcPr>
          <w:p w14:paraId="59F63BC2">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0.0075</w:t>
            </w:r>
          </w:p>
        </w:tc>
        <w:tc>
          <w:tcPr>
            <w:tcW w:w="967" w:type="dxa"/>
            <w:noWrap w:val="0"/>
            <w:vAlign w:val="center"/>
          </w:tcPr>
          <w:p w14:paraId="70FFD169">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0.0009</w:t>
            </w:r>
          </w:p>
        </w:tc>
        <w:tc>
          <w:tcPr>
            <w:tcW w:w="569" w:type="pct"/>
            <w:noWrap w:val="0"/>
            <w:vAlign w:val="center"/>
          </w:tcPr>
          <w:p w14:paraId="63FBD77E">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w:t>
            </w:r>
          </w:p>
        </w:tc>
      </w:tr>
      <w:tr w14:paraId="2829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44" w:type="pct"/>
            <w:noWrap w:val="0"/>
            <w:vAlign w:val="center"/>
          </w:tcPr>
          <w:p w14:paraId="67492E94">
            <w:pPr>
              <w:ind w:left="0" w:leftChars="0" w:right="-10"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4</w:t>
            </w:r>
          </w:p>
        </w:tc>
        <w:tc>
          <w:tcPr>
            <w:tcW w:w="509" w:type="pct"/>
            <w:vMerge w:val="continue"/>
            <w:noWrap w:val="0"/>
            <w:vAlign w:val="center"/>
          </w:tcPr>
          <w:p w14:paraId="634172D0">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p>
        </w:tc>
        <w:tc>
          <w:tcPr>
            <w:tcW w:w="400" w:type="pct"/>
            <w:vMerge w:val="continue"/>
            <w:noWrap w:val="0"/>
            <w:vAlign w:val="center"/>
          </w:tcPr>
          <w:p w14:paraId="6E4A2E3D">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p>
        </w:tc>
        <w:tc>
          <w:tcPr>
            <w:tcW w:w="400" w:type="pct"/>
            <w:noWrap w:val="0"/>
            <w:vAlign w:val="center"/>
          </w:tcPr>
          <w:p w14:paraId="68EA5382">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H</w:t>
            </w:r>
            <w:r>
              <w:rPr>
                <w:rFonts w:hint="default" w:ascii="Times New Roman" w:hAnsi="Times New Roman" w:eastAsia="宋体" w:cs="Times New Roman"/>
                <w:snapToGrid w:val="0"/>
                <w:color w:val="FF0000"/>
                <w:sz w:val="21"/>
                <w:szCs w:val="22"/>
                <w:highlight w:val="none"/>
                <w:vertAlign w:val="subscript"/>
                <w:lang w:val="en-US" w:eastAsia="zh-CN" w:bidi="zh-CN"/>
              </w:rPr>
              <w:t>2</w:t>
            </w:r>
            <w:r>
              <w:rPr>
                <w:rFonts w:hint="default" w:ascii="Times New Roman" w:hAnsi="Times New Roman" w:eastAsia="宋体" w:cs="Times New Roman"/>
                <w:snapToGrid w:val="0"/>
                <w:color w:val="FF0000"/>
                <w:sz w:val="21"/>
                <w:szCs w:val="22"/>
                <w:highlight w:val="none"/>
                <w:lang w:val="en-US" w:eastAsia="zh-CN" w:bidi="zh-CN"/>
              </w:rPr>
              <w:t>S</w:t>
            </w:r>
          </w:p>
        </w:tc>
        <w:tc>
          <w:tcPr>
            <w:tcW w:w="607" w:type="pct"/>
            <w:noWrap w:val="0"/>
            <w:vAlign w:val="center"/>
          </w:tcPr>
          <w:p w14:paraId="26FCBBDC">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0.001</w:t>
            </w:r>
          </w:p>
        </w:tc>
        <w:tc>
          <w:tcPr>
            <w:tcW w:w="607" w:type="pct"/>
            <w:noWrap w:val="0"/>
            <w:vAlign w:val="center"/>
          </w:tcPr>
          <w:p w14:paraId="174FD399">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0.0001</w:t>
            </w:r>
          </w:p>
        </w:tc>
        <w:tc>
          <w:tcPr>
            <w:tcW w:w="546" w:type="pct"/>
            <w:vMerge w:val="continue"/>
            <w:noWrap w:val="0"/>
            <w:vAlign w:val="center"/>
          </w:tcPr>
          <w:p w14:paraId="0750082F">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p>
        </w:tc>
        <w:tc>
          <w:tcPr>
            <w:tcW w:w="932" w:type="dxa"/>
            <w:noWrap w:val="0"/>
            <w:vAlign w:val="center"/>
          </w:tcPr>
          <w:p w14:paraId="09896B0A">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0.001</w:t>
            </w:r>
          </w:p>
        </w:tc>
        <w:tc>
          <w:tcPr>
            <w:tcW w:w="967" w:type="dxa"/>
            <w:noWrap w:val="0"/>
            <w:vAlign w:val="center"/>
          </w:tcPr>
          <w:p w14:paraId="22140FAA">
            <w:pPr>
              <w:keepNext w:val="0"/>
              <w:keepLines w:val="0"/>
              <w:widowControl/>
              <w:suppressLineNumbers w:val="0"/>
              <w:jc w:val="center"/>
              <w:textAlignment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0.0001</w:t>
            </w:r>
          </w:p>
        </w:tc>
        <w:tc>
          <w:tcPr>
            <w:tcW w:w="569" w:type="pct"/>
            <w:noWrap w:val="0"/>
            <w:vAlign w:val="center"/>
          </w:tcPr>
          <w:p w14:paraId="66C06CB5">
            <w:pPr>
              <w:ind w:left="-119" w:leftChars="-54" w:right="-109" w:rightChars="0" w:firstLine="0" w:firstLineChars="0"/>
              <w:jc w:val="center"/>
              <w:rPr>
                <w:rFonts w:hint="default" w:ascii="Times New Roman" w:hAnsi="Times New Roman" w:eastAsia="宋体" w:cs="Times New Roman"/>
                <w:snapToGrid w:val="0"/>
                <w:color w:val="FF0000"/>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w:t>
            </w:r>
          </w:p>
        </w:tc>
      </w:tr>
    </w:tbl>
    <w:p w14:paraId="5071E674">
      <w:pPr>
        <w:pStyle w:val="16"/>
        <w:keepNext w:val="0"/>
        <w:keepLines w:val="0"/>
        <w:pageBreakBefore w:val="0"/>
        <w:widowControl w:val="0"/>
        <w:kinsoku/>
        <w:wordWrap/>
        <w:overflowPunct/>
        <w:topLinePunct w:val="0"/>
        <w:bidi w:val="0"/>
        <w:adjustRightInd/>
        <w:snapToGrid/>
        <w:spacing w:before="0" w:line="360" w:lineRule="auto"/>
        <w:ind w:right="0"/>
        <w:textAlignment w:val="auto"/>
        <w:rPr>
          <w:rFonts w:hint="default" w:ascii="Times New Roman" w:hAnsi="Times New Roman" w:cs="Times New Roman"/>
          <w:color w:val="FF0000"/>
          <w:lang w:val="en-US"/>
        </w:rPr>
      </w:pPr>
      <w:r>
        <w:rPr>
          <w:rFonts w:hint="default" w:ascii="Times New Roman" w:hAnsi="Times New Roman" w:cs="Times New Roman"/>
          <w:color w:val="FF0000"/>
          <w:lang w:val="en-US"/>
        </w:rPr>
        <w:t>③污水处理设施恶臭</w:t>
      </w:r>
    </w:p>
    <w:p w14:paraId="616571AF">
      <w:pPr>
        <w:keepNext w:val="0"/>
        <w:keepLines w:val="0"/>
        <w:pageBreakBefore w:val="0"/>
        <w:widowControl w:val="0"/>
        <w:kinsoku/>
        <w:wordWrap/>
        <w:overflowPunct/>
        <w:topLinePunct w:val="0"/>
        <w:bidi w:val="0"/>
        <w:adjustRightInd/>
        <w:snapToGrid/>
        <w:spacing w:line="360" w:lineRule="auto"/>
        <w:ind w:right="0" w:firstLine="480"/>
        <w:textAlignment w:val="auto"/>
        <w:rPr>
          <w:rFonts w:hint="default" w:ascii="Times New Roman" w:hAnsi="Times New Roman" w:cs="Times New Roman"/>
          <w:color w:val="FF0000"/>
          <w:sz w:val="24"/>
          <w:highlight w:val="none"/>
          <w:lang w:val="en-US" w:eastAsia="zh-CN"/>
        </w:rPr>
      </w:pPr>
      <w:r>
        <w:rPr>
          <w:rFonts w:hint="default" w:ascii="Times New Roman" w:hAnsi="Times New Roman" w:cs="Times New Roman"/>
          <w:color w:val="FF0000"/>
          <w:sz w:val="24"/>
          <w:highlight w:val="none"/>
          <w:lang w:val="en-US" w:eastAsia="zh-CN"/>
        </w:rPr>
        <w:t>本项目设置一套废水收集池，主要处理项目区生活污水和</w:t>
      </w:r>
      <w:r>
        <w:rPr>
          <w:rFonts w:hint="default" w:ascii="Times New Roman" w:hAnsi="Times New Roman" w:cs="Times New Roman"/>
          <w:color w:val="FF0000"/>
          <w:sz w:val="24"/>
          <w:lang w:val="en-US" w:eastAsia="zh-CN"/>
        </w:rPr>
        <w:t>鸡舍粪便收集设施（</w:t>
      </w:r>
      <w:r>
        <w:rPr>
          <w:rFonts w:hint="eastAsia" w:ascii="Times New Roman" w:hAnsi="Times New Roman" w:cs="Times New Roman"/>
          <w:color w:val="FF0000"/>
          <w:sz w:val="24"/>
          <w:lang w:val="en-US" w:eastAsia="zh-CN"/>
        </w:rPr>
        <w:t>粪便传送带</w:t>
      </w:r>
      <w:r>
        <w:rPr>
          <w:rFonts w:hint="default" w:ascii="Times New Roman" w:hAnsi="Times New Roman" w:cs="Times New Roman"/>
          <w:color w:val="FF0000"/>
          <w:sz w:val="24"/>
          <w:lang w:val="en-US" w:eastAsia="zh-CN"/>
        </w:rPr>
        <w:t>和清粪机）冲洗废水及少量锅炉排污水</w:t>
      </w:r>
      <w:r>
        <w:rPr>
          <w:rFonts w:hint="default" w:ascii="Times New Roman" w:hAnsi="Times New Roman" w:cs="Times New Roman"/>
          <w:color w:val="FF0000"/>
          <w:sz w:val="24"/>
          <w:highlight w:val="none"/>
          <w:lang w:val="en-US" w:eastAsia="zh-CN"/>
        </w:rPr>
        <w:t>。本项目废水量少，恶臭产生量较小，本环评采用定性分析。</w:t>
      </w:r>
    </w:p>
    <w:p w14:paraId="370757D5">
      <w:pPr>
        <w:keepNext w:val="0"/>
        <w:keepLines w:val="0"/>
        <w:pageBreakBefore w:val="0"/>
        <w:widowControl w:val="0"/>
        <w:kinsoku/>
        <w:wordWrap/>
        <w:overflowPunct/>
        <w:topLinePunct w:val="0"/>
        <w:bidi w:val="0"/>
        <w:adjustRightInd/>
        <w:snapToGrid/>
        <w:spacing w:line="360" w:lineRule="auto"/>
        <w:ind w:right="0" w:firstLine="480"/>
        <w:textAlignment w:val="auto"/>
        <w:rPr>
          <w:rFonts w:hint="default" w:ascii="Times New Roman" w:hAnsi="Times New Roman" w:cs="Times New Roman"/>
          <w:color w:val="FF0000"/>
          <w:sz w:val="24"/>
        </w:rPr>
      </w:pPr>
      <w:r>
        <w:rPr>
          <w:rFonts w:hint="default" w:ascii="Times New Roman" w:hAnsi="Times New Roman" w:cs="Times New Roman"/>
          <w:color w:val="FF0000"/>
          <w:sz w:val="24"/>
          <w:highlight w:val="none"/>
          <w:lang w:val="en-US" w:eastAsia="zh-CN"/>
        </w:rPr>
        <w:t>本项目废水收集池为全封闭设施，且为地埋式，通过定时向产生恶臭较明显的污水处理单元、污泥池内及附近喷洒生物除臭剂除臭，生物除臭剂利用喷洒出的小液滴表面吸附恶臭污染物，并与其发生聚合、取代反应等，改变分子结构，实现除臭，经采取上述措施后恶臭对周围环境影响较小。</w:t>
      </w:r>
    </w:p>
    <w:p w14:paraId="469F636C">
      <w:pPr>
        <w:pStyle w:val="16"/>
        <w:keepNext w:val="0"/>
        <w:keepLines w:val="0"/>
        <w:pageBreakBefore w:val="0"/>
        <w:widowControl w:val="0"/>
        <w:kinsoku/>
        <w:wordWrap/>
        <w:overflowPunct/>
        <w:topLinePunct w:val="0"/>
        <w:bidi w:val="0"/>
        <w:adjustRightInd/>
        <w:snapToGrid/>
        <w:spacing w:before="0" w:line="360" w:lineRule="auto"/>
        <w:ind w:right="0"/>
        <w:textAlignment w:val="auto"/>
        <w:rPr>
          <w:rFonts w:hint="default" w:ascii="Times New Roman" w:hAnsi="Times New Roman" w:cs="Times New Roman"/>
          <w:color w:val="FF0000"/>
        </w:rPr>
      </w:pP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3</w:t>
      </w:r>
      <w:r>
        <w:rPr>
          <w:rFonts w:hint="default" w:ascii="Times New Roman" w:hAnsi="Times New Roman" w:cs="Times New Roman"/>
          <w:color w:val="FF0000"/>
          <w:lang w:eastAsia="zh-CN"/>
        </w:rPr>
        <w:t>）</w:t>
      </w:r>
      <w:r>
        <w:rPr>
          <w:rFonts w:hint="default" w:ascii="Times New Roman" w:hAnsi="Times New Roman" w:cs="Times New Roman"/>
          <w:color w:val="FF0000"/>
        </w:rPr>
        <w:t>食堂油烟</w:t>
      </w:r>
    </w:p>
    <w:bookmarkEnd w:id="63"/>
    <w:p w14:paraId="544D956C">
      <w:pPr>
        <w:keepNext w:val="0"/>
        <w:keepLines w:val="0"/>
        <w:pageBreakBefore w:val="0"/>
        <w:widowControl w:val="0"/>
        <w:kinsoku/>
        <w:wordWrap/>
        <w:overflowPunct/>
        <w:topLinePunct w:val="0"/>
        <w:autoSpaceDE/>
        <w:autoSpaceDN/>
        <w:bidi w:val="0"/>
        <w:adjustRightInd/>
        <w:snapToGrid/>
        <w:spacing w:line="360" w:lineRule="auto"/>
        <w:ind w:right="0" w:firstLine="480"/>
        <w:textAlignment w:val="auto"/>
        <w:rPr>
          <w:rFonts w:hint="default" w:ascii="Times New Roman" w:hAnsi="Times New Roman" w:cs="Times New Roman"/>
          <w:color w:val="FF0000"/>
          <w:sz w:val="24"/>
        </w:rPr>
      </w:pPr>
      <w:bookmarkStart w:id="64" w:name="_Toc11378"/>
      <w:bookmarkStart w:id="65" w:name="_Toc6261"/>
      <w:r>
        <w:rPr>
          <w:rFonts w:hint="default" w:ascii="Times New Roman" w:hAnsi="Times New Roman" w:cs="Times New Roman"/>
          <w:color w:val="FF0000"/>
          <w:sz w:val="24"/>
        </w:rPr>
        <w:t>本项目员工在场区内食宿，项目劳动定员</w:t>
      </w:r>
      <w:r>
        <w:rPr>
          <w:rFonts w:hint="default" w:ascii="Times New Roman" w:hAnsi="Times New Roman" w:cs="Times New Roman"/>
          <w:color w:val="FF0000"/>
          <w:sz w:val="24"/>
          <w:lang w:val="en-US" w:eastAsia="zh-CN"/>
        </w:rPr>
        <w:t>40</w:t>
      </w:r>
      <w:r>
        <w:rPr>
          <w:rFonts w:hint="default" w:ascii="Times New Roman" w:hAnsi="Times New Roman" w:cs="Times New Roman"/>
          <w:color w:val="FF0000"/>
          <w:sz w:val="24"/>
        </w:rPr>
        <w:t>人，每人每日消耗动植物油以30g/d计，则本项目消耗食用油0.</w:t>
      </w:r>
      <w:r>
        <w:rPr>
          <w:rFonts w:hint="default" w:ascii="Times New Roman" w:hAnsi="Times New Roman" w:cs="Times New Roman"/>
          <w:color w:val="FF0000"/>
          <w:sz w:val="24"/>
          <w:lang w:val="en-US" w:eastAsia="zh-CN"/>
        </w:rPr>
        <w:t>438</w:t>
      </w:r>
      <w:r>
        <w:rPr>
          <w:rFonts w:hint="default" w:ascii="Times New Roman" w:hAnsi="Times New Roman" w:cs="Times New Roman"/>
          <w:color w:val="FF0000"/>
          <w:sz w:val="24"/>
        </w:rPr>
        <w:t>t/a。本项目主要为工作人员提供员工餐，</w:t>
      </w:r>
      <w:r>
        <w:rPr>
          <w:rFonts w:hint="default" w:ascii="Times New Roman" w:hAnsi="Times New Roman" w:cs="Times New Roman"/>
          <w:color w:val="FF0000"/>
          <w:sz w:val="24"/>
          <w:lang w:val="zh-CN"/>
        </w:rPr>
        <w:t>食用油耗量和炒、炸、煎等烹调工序均较少，一般油烟挥发量占总耗油量的2%～4%，本</w:t>
      </w:r>
      <w:r>
        <w:rPr>
          <w:rFonts w:hint="default" w:ascii="Times New Roman" w:hAnsi="Times New Roman" w:cs="Times New Roman"/>
          <w:color w:val="FF0000"/>
          <w:sz w:val="24"/>
        </w:rPr>
        <w:t>次评价</w:t>
      </w:r>
      <w:r>
        <w:rPr>
          <w:rFonts w:hint="default" w:ascii="Times New Roman" w:hAnsi="Times New Roman" w:cs="Times New Roman"/>
          <w:color w:val="FF0000"/>
          <w:sz w:val="24"/>
          <w:lang w:val="zh-CN"/>
        </w:rPr>
        <w:t>以</w:t>
      </w:r>
      <w:r>
        <w:rPr>
          <w:rFonts w:hint="default" w:ascii="Times New Roman" w:hAnsi="Times New Roman" w:cs="Times New Roman"/>
          <w:color w:val="FF0000"/>
          <w:sz w:val="24"/>
        </w:rPr>
        <w:t>3</w:t>
      </w:r>
      <w:r>
        <w:rPr>
          <w:rFonts w:hint="default" w:ascii="Times New Roman" w:hAnsi="Times New Roman" w:cs="Times New Roman"/>
          <w:color w:val="FF0000"/>
          <w:sz w:val="24"/>
          <w:lang w:val="zh-CN"/>
        </w:rPr>
        <w:t>%计</w:t>
      </w:r>
      <w:r>
        <w:rPr>
          <w:rFonts w:hint="default" w:ascii="Times New Roman" w:hAnsi="Times New Roman" w:cs="Times New Roman"/>
          <w:color w:val="FF0000"/>
          <w:sz w:val="24"/>
        </w:rPr>
        <w:t>，则本项目餐饮油烟产生量约为</w:t>
      </w:r>
      <w:r>
        <w:rPr>
          <w:rFonts w:hint="default" w:ascii="Times New Roman" w:hAnsi="Times New Roman" w:cs="Times New Roman"/>
          <w:color w:val="FF0000"/>
          <w:sz w:val="24"/>
          <w:lang w:val="en-US" w:eastAsia="zh-CN"/>
        </w:rPr>
        <w:t>0.013</w:t>
      </w:r>
      <w:r>
        <w:rPr>
          <w:rFonts w:hint="default" w:ascii="Times New Roman" w:hAnsi="Times New Roman" w:cs="Times New Roman"/>
          <w:color w:val="FF0000"/>
          <w:sz w:val="24"/>
        </w:rPr>
        <w:t>t/a，</w:t>
      </w:r>
      <w:r>
        <w:rPr>
          <w:rFonts w:hint="default" w:ascii="Times New Roman" w:hAnsi="Times New Roman" w:cs="Times New Roman"/>
          <w:snapToGrid w:val="0"/>
          <w:color w:val="FF0000"/>
          <w:kern w:val="0"/>
          <w:sz w:val="24"/>
        </w:rPr>
        <w:t>食堂油烟采用油烟净化器处理后由专用排烟风道于屋顶排放，风机量为</w:t>
      </w:r>
      <w:r>
        <w:rPr>
          <w:rFonts w:hint="default" w:ascii="Times New Roman" w:hAnsi="Times New Roman" w:cs="Times New Roman"/>
          <w:color w:val="FF0000"/>
          <w:sz w:val="24"/>
          <w:lang w:val="en-US" w:eastAsia="zh-CN"/>
        </w:rPr>
        <w:t>3</w:t>
      </w:r>
      <w:r>
        <w:rPr>
          <w:rFonts w:hint="default" w:ascii="Times New Roman" w:hAnsi="Times New Roman" w:cs="Times New Roman"/>
          <w:color w:val="FF0000"/>
          <w:sz w:val="24"/>
        </w:rPr>
        <w:t>000m</w:t>
      </w:r>
      <w:r>
        <w:rPr>
          <w:rFonts w:hint="default" w:ascii="Times New Roman" w:hAnsi="Times New Roman" w:cs="Times New Roman"/>
          <w:color w:val="FF0000"/>
          <w:sz w:val="24"/>
          <w:vertAlign w:val="superscript"/>
        </w:rPr>
        <w:t>3</w:t>
      </w:r>
      <w:r>
        <w:rPr>
          <w:rFonts w:hint="default" w:ascii="Times New Roman" w:hAnsi="Times New Roman" w:cs="Times New Roman"/>
          <w:color w:val="FF0000"/>
          <w:sz w:val="24"/>
        </w:rPr>
        <w:t>/h，</w:t>
      </w:r>
      <w:r>
        <w:rPr>
          <w:rFonts w:hint="default" w:ascii="Times New Roman" w:hAnsi="Times New Roman" w:cs="Times New Roman"/>
          <w:color w:val="FF0000"/>
          <w:sz w:val="24"/>
          <w:highlight w:val="none"/>
        </w:rPr>
        <w:t>油烟净化效率</w:t>
      </w:r>
      <w:r>
        <w:rPr>
          <w:rFonts w:hint="default" w:ascii="Times New Roman" w:hAnsi="Times New Roman" w:cs="Times New Roman"/>
          <w:color w:val="FF0000"/>
          <w:sz w:val="24"/>
          <w:highlight w:val="none"/>
          <w:lang w:val="en-US" w:eastAsia="zh-CN"/>
        </w:rPr>
        <w:t>为65</w:t>
      </w:r>
      <w:r>
        <w:rPr>
          <w:rFonts w:hint="default" w:ascii="Times New Roman" w:hAnsi="Times New Roman" w:cs="Times New Roman"/>
          <w:color w:val="FF0000"/>
          <w:sz w:val="24"/>
          <w:highlight w:val="none"/>
        </w:rPr>
        <w:t>%，食堂每日烹饪时间按照</w:t>
      </w:r>
      <w:r>
        <w:rPr>
          <w:rFonts w:hint="default" w:ascii="Times New Roman" w:hAnsi="Times New Roman" w:cs="Times New Roman"/>
          <w:color w:val="FF0000"/>
          <w:sz w:val="24"/>
          <w:highlight w:val="none"/>
          <w:lang w:val="en-US" w:eastAsia="zh-CN"/>
        </w:rPr>
        <w:t>4</w:t>
      </w:r>
      <w:r>
        <w:rPr>
          <w:rFonts w:hint="default" w:ascii="Times New Roman" w:hAnsi="Times New Roman" w:cs="Times New Roman"/>
          <w:color w:val="FF0000"/>
          <w:sz w:val="24"/>
          <w:highlight w:val="none"/>
        </w:rPr>
        <w:t>h计算，则油烟排放量</w:t>
      </w:r>
      <w:r>
        <w:rPr>
          <w:rFonts w:hint="default" w:ascii="Times New Roman" w:hAnsi="Times New Roman" w:cs="Times New Roman"/>
          <w:color w:val="FF0000"/>
          <w:sz w:val="24"/>
          <w:highlight w:val="none"/>
          <w:lang w:val="en-US" w:eastAsia="zh-CN"/>
        </w:rPr>
        <w:t>0.005</w:t>
      </w:r>
      <w:r>
        <w:rPr>
          <w:rFonts w:hint="default" w:ascii="Times New Roman" w:hAnsi="Times New Roman" w:cs="Times New Roman"/>
          <w:color w:val="FF0000"/>
          <w:sz w:val="24"/>
          <w:highlight w:val="none"/>
        </w:rPr>
        <w:t>t/a，排放浓度为</w:t>
      </w:r>
      <w:r>
        <w:rPr>
          <w:rFonts w:hint="default" w:ascii="Times New Roman" w:hAnsi="Times New Roman" w:cs="Times New Roman"/>
          <w:color w:val="FF0000"/>
          <w:sz w:val="24"/>
          <w:highlight w:val="none"/>
          <w:lang w:val="en-US" w:eastAsia="zh-CN"/>
        </w:rPr>
        <w:t>1.14</w:t>
      </w:r>
      <w:r>
        <w:rPr>
          <w:rFonts w:hint="default" w:ascii="Times New Roman" w:hAnsi="Times New Roman" w:cs="Times New Roman"/>
          <w:color w:val="FF0000"/>
          <w:sz w:val="24"/>
          <w:highlight w:val="none"/>
        </w:rPr>
        <w:t>mg/m</w:t>
      </w:r>
      <w:r>
        <w:rPr>
          <w:rFonts w:hint="default" w:ascii="Times New Roman" w:hAnsi="Times New Roman" w:cs="Times New Roman"/>
          <w:color w:val="FF0000"/>
          <w:sz w:val="24"/>
          <w:highlight w:val="none"/>
          <w:vertAlign w:val="superscript"/>
        </w:rPr>
        <w:t>3</w:t>
      </w:r>
      <w:r>
        <w:rPr>
          <w:rFonts w:hint="default" w:ascii="Times New Roman" w:hAnsi="Times New Roman" w:cs="Times New Roman"/>
          <w:color w:val="FF0000"/>
          <w:sz w:val="24"/>
          <w:highlight w:val="none"/>
        </w:rPr>
        <w:t>，</w:t>
      </w:r>
      <w:r>
        <w:rPr>
          <w:rFonts w:hint="default" w:ascii="Times New Roman" w:hAnsi="Times New Roman" w:cs="Times New Roman"/>
          <w:color w:val="FF0000"/>
          <w:sz w:val="24"/>
        </w:rPr>
        <w:t>能够满足</w:t>
      </w:r>
      <w:r>
        <w:rPr>
          <w:rFonts w:hint="default" w:ascii="Times New Roman" w:hAnsi="Times New Roman" w:cs="Times New Roman"/>
          <w:color w:val="FF0000"/>
          <w:sz w:val="24"/>
          <w:lang w:eastAsia="zh-CN"/>
        </w:rPr>
        <w:t>《</w:t>
      </w:r>
      <w:r>
        <w:rPr>
          <w:rFonts w:hint="default" w:ascii="Times New Roman" w:hAnsi="Times New Roman" w:cs="Times New Roman"/>
          <w:color w:val="FF0000"/>
          <w:sz w:val="24"/>
        </w:rPr>
        <w:t>饮食业油烟排放标准（试行）</w:t>
      </w:r>
      <w:r>
        <w:rPr>
          <w:rFonts w:hint="default" w:ascii="Times New Roman" w:hAnsi="Times New Roman" w:cs="Times New Roman"/>
          <w:color w:val="FF0000"/>
          <w:sz w:val="24"/>
          <w:lang w:eastAsia="zh-CN"/>
        </w:rPr>
        <w:t>》</w:t>
      </w:r>
      <w:r>
        <w:rPr>
          <w:rFonts w:hint="default" w:ascii="Times New Roman" w:hAnsi="Times New Roman" w:cs="Times New Roman"/>
          <w:color w:val="FF0000"/>
          <w:sz w:val="24"/>
        </w:rPr>
        <w:t>（GB18483-2001），油烟最高允许排放浓度≤2mg/m</w:t>
      </w:r>
      <w:r>
        <w:rPr>
          <w:rFonts w:hint="default" w:ascii="Times New Roman" w:hAnsi="Times New Roman" w:cs="Times New Roman"/>
          <w:color w:val="FF0000"/>
          <w:sz w:val="24"/>
          <w:vertAlign w:val="superscript"/>
        </w:rPr>
        <w:t>3</w:t>
      </w:r>
      <w:r>
        <w:rPr>
          <w:rFonts w:hint="default" w:ascii="Times New Roman" w:hAnsi="Times New Roman" w:cs="Times New Roman"/>
          <w:color w:val="FF0000"/>
          <w:sz w:val="24"/>
        </w:rPr>
        <w:t>标准。</w:t>
      </w:r>
    </w:p>
    <w:p w14:paraId="3C4FDA41">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w:t>
      </w:r>
      <w:bookmarkEnd w:id="64"/>
      <w:bookmarkEnd w:id="65"/>
    </w:p>
    <w:p w14:paraId="39506F2C">
      <w:pPr>
        <w:spacing w:line="360" w:lineRule="auto"/>
        <w:ind w:firstLine="480" w:firstLineChars="200"/>
        <w:jc w:val="left"/>
        <w:rPr>
          <w:rFonts w:hint="default" w:ascii="Times New Roman" w:hAnsi="Times New Roman" w:cs="Times New Roman"/>
          <w:color w:val="auto"/>
          <w:sz w:val="24"/>
        </w:rPr>
      </w:pPr>
      <w:bookmarkStart w:id="66" w:name="_Toc9383"/>
      <w:bookmarkStart w:id="67" w:name="_Toc16395"/>
      <w:r>
        <w:rPr>
          <w:rFonts w:hint="default" w:ascii="Times New Roman" w:hAnsi="Times New Roman" w:cs="Times New Roman"/>
          <w:color w:val="auto"/>
          <w:sz w:val="24"/>
          <w:lang w:val="en-US" w:eastAsia="zh-CN"/>
        </w:rPr>
        <w:t>本项目鸡舍不进行冲洗，不产生圈舍冲洗废水；消毒方式采用喷洒消毒，全部蒸发损耗，不产生废水；本项目运营期废水主要是生活污水和鸡舍粪便收集设施（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和清粪机）冲洗废水和锅炉排水。</w:t>
      </w:r>
    </w:p>
    <w:p w14:paraId="390A5D87">
      <w:pPr>
        <w:numPr>
          <w:ilvl w:val="0"/>
          <w:numId w:val="6"/>
        </w:num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工作人员生活污水</w:t>
      </w:r>
    </w:p>
    <w:p w14:paraId="0D13F118">
      <w:pPr>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lang w:val="en-US" w:eastAsia="zh-CN"/>
        </w:rPr>
        <w:t>项目工作人员生活用水量为730m³/a，</w:t>
      </w:r>
      <w:r>
        <w:rPr>
          <w:rFonts w:hint="default" w:ascii="Times New Roman" w:hAnsi="Times New Roman" w:cs="Times New Roman"/>
          <w:color w:val="auto"/>
          <w:sz w:val="24"/>
        </w:rPr>
        <w:t>生活污水按用水量80%计，则排水量为</w:t>
      </w:r>
      <w:r>
        <w:rPr>
          <w:rFonts w:hint="default" w:ascii="Times New Roman" w:hAnsi="Times New Roman" w:cs="Times New Roman"/>
          <w:color w:val="auto"/>
          <w:sz w:val="24"/>
          <w:lang w:val="en-US" w:eastAsia="zh-CN"/>
        </w:rPr>
        <w:t>1.6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val="en-US" w:eastAsia="zh-CN"/>
        </w:rPr>
        <w:t>584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生活污水</w:t>
      </w:r>
      <w:r>
        <w:rPr>
          <w:rFonts w:hint="default" w:ascii="Times New Roman" w:hAnsi="Times New Roman" w:cs="Times New Roman"/>
          <w:color w:val="auto"/>
          <w:sz w:val="24"/>
        </w:rPr>
        <w:t>废水主要污染物为COD</w:t>
      </w:r>
      <w:r>
        <w:rPr>
          <w:rFonts w:hint="default" w:ascii="Times New Roman" w:hAnsi="Times New Roman" w:cs="Times New Roman"/>
          <w:color w:val="auto"/>
          <w:sz w:val="24"/>
          <w:vertAlign w:val="subscript"/>
        </w:rPr>
        <w:t>Cr</w:t>
      </w:r>
      <w:r>
        <w:rPr>
          <w:rFonts w:hint="default" w:ascii="Times New Roman" w:hAnsi="Times New Roman" w:cs="Times New Roman"/>
          <w:color w:val="auto"/>
          <w:sz w:val="24"/>
        </w:rPr>
        <w:t>、NH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SS</w:t>
      </w:r>
      <w:r>
        <w:rPr>
          <w:rFonts w:hint="default" w:ascii="Times New Roman" w:hAnsi="Times New Roman" w:cs="Times New Roman"/>
          <w:color w:val="auto"/>
          <w:sz w:val="24"/>
        </w:rPr>
        <w:t>等，</w:t>
      </w:r>
      <w:r>
        <w:rPr>
          <w:rFonts w:hint="default" w:ascii="Times New Roman" w:hAnsi="Times New Roman" w:cs="Times New Roman"/>
          <w:bCs/>
          <w:color w:val="auto"/>
          <w:sz w:val="24"/>
          <w:szCs w:val="24"/>
          <w:lang w:eastAsia="zh-CN"/>
        </w:rPr>
        <w:t>生活污水</w:t>
      </w:r>
      <w:r>
        <w:rPr>
          <w:rFonts w:hint="default" w:ascii="Times New Roman" w:hAnsi="Times New Roman" w:cs="Times New Roman"/>
          <w:bCs/>
          <w:color w:val="auto"/>
          <w:sz w:val="24"/>
          <w:szCs w:val="24"/>
        </w:rPr>
        <w:t>产生量较少，可生化性高，</w:t>
      </w:r>
      <w:r>
        <w:rPr>
          <w:rFonts w:hint="default" w:ascii="Times New Roman" w:hAnsi="Times New Roman" w:cs="Times New Roman"/>
          <w:color w:val="auto"/>
          <w:sz w:val="24"/>
        </w:rPr>
        <w:t>本项目职工生活污水</w:t>
      </w:r>
      <w:r>
        <w:rPr>
          <w:rFonts w:hint="default" w:ascii="Times New Roman" w:hAnsi="Times New Roman" w:cs="Times New Roman"/>
          <w:color w:val="auto"/>
          <w:sz w:val="24"/>
          <w:lang w:val="en-US" w:eastAsia="zh-CN"/>
        </w:rPr>
        <w:t>排入废水收集池发酵处理后用于农田灌溉</w:t>
      </w:r>
      <w:r>
        <w:rPr>
          <w:rFonts w:hint="default" w:ascii="Times New Roman" w:hAnsi="Times New Roman" w:cs="Times New Roman"/>
          <w:color w:val="auto"/>
          <w:sz w:val="24"/>
          <w:lang w:eastAsia="zh-CN"/>
        </w:rPr>
        <w:t>，</w:t>
      </w:r>
      <w:r>
        <w:rPr>
          <w:rFonts w:hint="default" w:ascii="Times New Roman" w:hAnsi="Times New Roman" w:cs="Times New Roman"/>
          <w:color w:val="auto"/>
          <w:kern w:val="0"/>
          <w:sz w:val="24"/>
          <w:szCs w:val="24"/>
        </w:rPr>
        <w:t>排放浓度满足《污水综合排放标准》（GB8978-1996）中三级标准</w:t>
      </w:r>
      <w:r>
        <w:rPr>
          <w:rFonts w:hint="default" w:ascii="Times New Roman" w:hAnsi="Times New Roman" w:cs="Times New Roman"/>
          <w:color w:val="auto"/>
          <w:sz w:val="24"/>
          <w:szCs w:val="24"/>
        </w:rPr>
        <w:t>。本项目生活污水污染物浓度见下表</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p>
    <w:p w14:paraId="5484CFC4">
      <w:pPr>
        <w:pStyle w:val="14"/>
        <w:widowControl/>
        <w:autoSpaceDE w:val="0"/>
        <w:autoSpaceDN w:val="0"/>
        <w:spacing w:line="240" w:lineRule="auto"/>
        <w:jc w:val="center"/>
        <w:textAlignment w:val="bottom"/>
        <w:rPr>
          <w:rFonts w:hint="default" w:ascii="Times New Roman" w:hAnsi="Times New Roman" w:cs="Times New Roman"/>
          <w:b/>
          <w:color w:val="auto"/>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b/>
          <w:color w:val="auto"/>
          <w:szCs w:val="21"/>
        </w:rPr>
        <w:t>项目生活污水污染物产生</w:t>
      </w:r>
      <w:r>
        <w:rPr>
          <w:rFonts w:hint="default" w:ascii="Times New Roman" w:hAnsi="Times New Roman" w:cs="Times New Roman"/>
          <w:b/>
          <w:color w:val="auto"/>
          <w:szCs w:val="21"/>
          <w:lang w:eastAsia="zh-CN"/>
        </w:rPr>
        <w:t>及排放</w:t>
      </w:r>
      <w:r>
        <w:rPr>
          <w:rFonts w:hint="default" w:ascii="Times New Roman" w:hAnsi="Times New Roman" w:cs="Times New Roman"/>
          <w:b/>
          <w:color w:val="auto"/>
          <w:szCs w:val="21"/>
        </w:rPr>
        <w:t>量</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4"/>
        <w:gridCol w:w="2152"/>
        <w:gridCol w:w="1737"/>
        <w:gridCol w:w="1305"/>
        <w:gridCol w:w="1109"/>
        <w:gridCol w:w="1222"/>
      </w:tblGrid>
      <w:tr w14:paraId="2F0437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850" w:type="pct"/>
            <w:gridSpan w:val="2"/>
            <w:tcBorders>
              <w:tl2br w:val="single" w:color="auto" w:sz="4" w:space="0"/>
            </w:tcBorders>
            <w:noWrap w:val="0"/>
            <w:vAlign w:val="center"/>
          </w:tcPr>
          <w:p w14:paraId="0CA2A4E4">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污染物种类</w:t>
            </w:r>
          </w:p>
          <w:p w14:paraId="157BCA25">
            <w:pPr>
              <w:jc w:val="both"/>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排放指标</w:t>
            </w:r>
          </w:p>
        </w:tc>
        <w:tc>
          <w:tcPr>
            <w:tcW w:w="1018" w:type="pct"/>
            <w:noWrap w:val="0"/>
            <w:vAlign w:val="center"/>
          </w:tcPr>
          <w:p w14:paraId="31015F9E">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COD</w:t>
            </w:r>
          </w:p>
        </w:tc>
        <w:tc>
          <w:tcPr>
            <w:tcW w:w="765" w:type="pct"/>
            <w:noWrap w:val="0"/>
            <w:vAlign w:val="center"/>
          </w:tcPr>
          <w:p w14:paraId="0AEC111E">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BOD</w:t>
            </w:r>
          </w:p>
        </w:tc>
        <w:tc>
          <w:tcPr>
            <w:tcW w:w="650" w:type="pct"/>
            <w:noWrap w:val="0"/>
            <w:vAlign w:val="center"/>
          </w:tcPr>
          <w:p w14:paraId="3D39A545">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SS</w:t>
            </w:r>
          </w:p>
        </w:tc>
        <w:tc>
          <w:tcPr>
            <w:tcW w:w="716" w:type="pct"/>
            <w:noWrap w:val="0"/>
            <w:vAlign w:val="center"/>
          </w:tcPr>
          <w:p w14:paraId="745BD2FA">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NH</w:t>
            </w:r>
            <w:r>
              <w:rPr>
                <w:rFonts w:hint="default" w:ascii="Times New Roman" w:hAnsi="Times New Roman" w:cs="Times New Roman"/>
                <w:b/>
                <w:color w:val="auto"/>
                <w:sz w:val="21"/>
                <w:szCs w:val="21"/>
                <w:vertAlign w:val="subscript"/>
              </w:rPr>
              <w:t>3</w:t>
            </w:r>
            <w:r>
              <w:rPr>
                <w:rFonts w:hint="default" w:ascii="Times New Roman" w:hAnsi="Times New Roman" w:cs="Times New Roman"/>
                <w:b/>
                <w:color w:val="auto"/>
                <w:sz w:val="21"/>
                <w:szCs w:val="21"/>
              </w:rPr>
              <w:t>-N</w:t>
            </w:r>
          </w:p>
        </w:tc>
      </w:tr>
      <w:tr w14:paraId="3690FF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9" w:hRule="atLeast"/>
        </w:trPr>
        <w:tc>
          <w:tcPr>
            <w:tcW w:w="589" w:type="pct"/>
            <w:vMerge w:val="restart"/>
            <w:tcBorders>
              <w:right w:val="single" w:color="auto" w:sz="4" w:space="0"/>
            </w:tcBorders>
            <w:noWrap w:val="0"/>
            <w:vAlign w:val="center"/>
          </w:tcPr>
          <w:p w14:paraId="080398A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r>
              <w:rPr>
                <w:rFonts w:hint="default" w:ascii="Times New Roman" w:hAnsi="Times New Roman" w:cs="Times New Roman"/>
                <w:color w:val="auto"/>
                <w:sz w:val="21"/>
                <w:szCs w:val="21"/>
                <w:lang w:val="en-US" w:eastAsia="zh-CN"/>
              </w:rPr>
              <w:t>584</w:t>
            </w:r>
            <w:r>
              <w:rPr>
                <w:rFonts w:hint="default" w:ascii="Times New Roman" w:hAnsi="Times New Roman" w:cs="Times New Roman"/>
                <w:color w:val="auto"/>
                <w:sz w:val="21"/>
                <w:szCs w:val="21"/>
              </w:rPr>
              <w:t>t/a</w:t>
            </w:r>
          </w:p>
        </w:tc>
        <w:tc>
          <w:tcPr>
            <w:tcW w:w="1260" w:type="pct"/>
            <w:tcBorders>
              <w:left w:val="single" w:color="auto" w:sz="4" w:space="0"/>
            </w:tcBorders>
            <w:noWrap w:val="0"/>
            <w:vAlign w:val="center"/>
          </w:tcPr>
          <w:p w14:paraId="5A269D1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产生浓度（mg/L）</w:t>
            </w:r>
          </w:p>
        </w:tc>
        <w:tc>
          <w:tcPr>
            <w:tcW w:w="1018" w:type="pct"/>
            <w:noWrap w:val="0"/>
            <w:vAlign w:val="center"/>
          </w:tcPr>
          <w:p w14:paraId="5C16813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765" w:type="pct"/>
            <w:noWrap w:val="0"/>
            <w:vAlign w:val="center"/>
          </w:tcPr>
          <w:p w14:paraId="6183965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650" w:type="pct"/>
            <w:noWrap w:val="0"/>
            <w:vAlign w:val="center"/>
          </w:tcPr>
          <w:p w14:paraId="29D9B42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220</w:t>
            </w:r>
          </w:p>
        </w:tc>
        <w:tc>
          <w:tcPr>
            <w:tcW w:w="716" w:type="pct"/>
            <w:noWrap w:val="0"/>
            <w:vAlign w:val="center"/>
          </w:tcPr>
          <w:p w14:paraId="656853F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r>
      <w:tr w14:paraId="754511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1" w:hRule="atLeast"/>
        </w:trPr>
        <w:tc>
          <w:tcPr>
            <w:tcW w:w="589" w:type="pct"/>
            <w:vMerge w:val="continue"/>
            <w:tcBorders>
              <w:right w:val="single" w:color="auto" w:sz="4" w:space="0"/>
            </w:tcBorders>
            <w:noWrap w:val="0"/>
            <w:vAlign w:val="center"/>
          </w:tcPr>
          <w:p w14:paraId="4A5DB8B5">
            <w:pPr>
              <w:jc w:val="center"/>
              <w:rPr>
                <w:rFonts w:hint="default" w:ascii="Times New Roman" w:hAnsi="Times New Roman" w:cs="Times New Roman"/>
                <w:color w:val="auto"/>
                <w:sz w:val="21"/>
                <w:szCs w:val="21"/>
              </w:rPr>
            </w:pPr>
          </w:p>
        </w:tc>
        <w:tc>
          <w:tcPr>
            <w:tcW w:w="1260" w:type="pct"/>
            <w:tcBorders>
              <w:left w:val="single" w:color="auto" w:sz="4" w:space="0"/>
            </w:tcBorders>
            <w:noWrap w:val="0"/>
            <w:vAlign w:val="center"/>
          </w:tcPr>
          <w:p w14:paraId="45522AA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1018" w:type="pct"/>
            <w:noWrap w:val="0"/>
            <w:vAlign w:val="center"/>
          </w:tcPr>
          <w:p w14:paraId="74EDF47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0.204</w:t>
            </w:r>
          </w:p>
        </w:tc>
        <w:tc>
          <w:tcPr>
            <w:tcW w:w="765" w:type="pct"/>
            <w:noWrap w:val="0"/>
            <w:vAlign w:val="center"/>
          </w:tcPr>
          <w:p w14:paraId="0E63F9D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0.117</w:t>
            </w:r>
          </w:p>
        </w:tc>
        <w:tc>
          <w:tcPr>
            <w:tcW w:w="650" w:type="pct"/>
            <w:noWrap w:val="0"/>
            <w:vAlign w:val="center"/>
          </w:tcPr>
          <w:p w14:paraId="4C38CBE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0.128</w:t>
            </w:r>
          </w:p>
        </w:tc>
        <w:tc>
          <w:tcPr>
            <w:tcW w:w="716" w:type="pct"/>
            <w:noWrap w:val="0"/>
            <w:vAlign w:val="center"/>
          </w:tcPr>
          <w:p w14:paraId="286654A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0.020</w:t>
            </w:r>
          </w:p>
        </w:tc>
      </w:tr>
      <w:tr w14:paraId="1242AD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89" w:type="pct"/>
            <w:vMerge w:val="continue"/>
            <w:tcBorders>
              <w:right w:val="single" w:color="auto" w:sz="4" w:space="0"/>
            </w:tcBorders>
            <w:noWrap w:val="0"/>
            <w:vAlign w:val="center"/>
          </w:tcPr>
          <w:p w14:paraId="1E776C8B">
            <w:pPr>
              <w:jc w:val="center"/>
              <w:rPr>
                <w:rFonts w:hint="default" w:ascii="Times New Roman" w:hAnsi="Times New Roman" w:cs="Times New Roman"/>
                <w:color w:val="auto"/>
                <w:sz w:val="21"/>
                <w:szCs w:val="21"/>
              </w:rPr>
            </w:pPr>
          </w:p>
        </w:tc>
        <w:tc>
          <w:tcPr>
            <w:tcW w:w="1260" w:type="pct"/>
            <w:tcBorders>
              <w:left w:val="single" w:color="auto" w:sz="4" w:space="0"/>
            </w:tcBorders>
            <w:noWrap w:val="0"/>
            <w:vAlign w:val="center"/>
          </w:tcPr>
          <w:p w14:paraId="3B50587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排放浓度（mg/L）</w:t>
            </w:r>
          </w:p>
        </w:tc>
        <w:tc>
          <w:tcPr>
            <w:tcW w:w="1018" w:type="pct"/>
            <w:noWrap w:val="0"/>
            <w:vAlign w:val="center"/>
          </w:tcPr>
          <w:p w14:paraId="52F8D5C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765" w:type="pct"/>
            <w:noWrap w:val="0"/>
            <w:vAlign w:val="center"/>
          </w:tcPr>
          <w:p w14:paraId="7AD9E5C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650" w:type="pct"/>
            <w:noWrap w:val="0"/>
            <w:vAlign w:val="center"/>
          </w:tcPr>
          <w:p w14:paraId="37CFD4D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220</w:t>
            </w:r>
          </w:p>
        </w:tc>
        <w:tc>
          <w:tcPr>
            <w:tcW w:w="716" w:type="pct"/>
            <w:noWrap w:val="0"/>
            <w:vAlign w:val="center"/>
          </w:tcPr>
          <w:p w14:paraId="574C1CB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r>
      <w:tr w14:paraId="410F6B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89" w:type="pct"/>
            <w:vMerge w:val="continue"/>
            <w:tcBorders>
              <w:right w:val="single" w:color="auto" w:sz="4" w:space="0"/>
            </w:tcBorders>
            <w:noWrap w:val="0"/>
            <w:vAlign w:val="center"/>
          </w:tcPr>
          <w:p w14:paraId="02E78AE2">
            <w:pPr>
              <w:jc w:val="center"/>
              <w:rPr>
                <w:rFonts w:hint="default" w:ascii="Times New Roman" w:hAnsi="Times New Roman" w:cs="Times New Roman"/>
                <w:color w:val="auto"/>
                <w:sz w:val="21"/>
                <w:szCs w:val="21"/>
              </w:rPr>
            </w:pPr>
          </w:p>
        </w:tc>
        <w:tc>
          <w:tcPr>
            <w:tcW w:w="1260" w:type="pct"/>
            <w:tcBorders>
              <w:left w:val="single" w:color="auto" w:sz="4" w:space="0"/>
            </w:tcBorders>
            <w:noWrap w:val="0"/>
            <w:vAlign w:val="center"/>
          </w:tcPr>
          <w:p w14:paraId="3EB6F44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1018" w:type="pct"/>
            <w:noWrap w:val="0"/>
            <w:vAlign w:val="center"/>
          </w:tcPr>
          <w:p w14:paraId="2552E4E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0.204</w:t>
            </w:r>
          </w:p>
        </w:tc>
        <w:tc>
          <w:tcPr>
            <w:tcW w:w="765" w:type="pct"/>
            <w:noWrap w:val="0"/>
            <w:vAlign w:val="center"/>
          </w:tcPr>
          <w:p w14:paraId="137D678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0.117</w:t>
            </w:r>
          </w:p>
        </w:tc>
        <w:tc>
          <w:tcPr>
            <w:tcW w:w="650" w:type="pct"/>
            <w:noWrap w:val="0"/>
            <w:vAlign w:val="center"/>
          </w:tcPr>
          <w:p w14:paraId="7004213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0.128</w:t>
            </w:r>
          </w:p>
        </w:tc>
        <w:tc>
          <w:tcPr>
            <w:tcW w:w="716" w:type="pct"/>
            <w:noWrap w:val="0"/>
            <w:vAlign w:val="center"/>
          </w:tcPr>
          <w:p w14:paraId="656B444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0.020</w:t>
            </w:r>
          </w:p>
        </w:tc>
      </w:tr>
    </w:tbl>
    <w:p w14:paraId="075035FD">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和清粪机）清洗废水</w:t>
      </w:r>
    </w:p>
    <w:p w14:paraId="5BBC1DDC">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和清粪机）总清洗用水量为1920m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/a，项目仅用清水进行冲洗，未添加洗涤剂，废水产生量</w:t>
      </w:r>
      <w:r>
        <w:rPr>
          <w:rFonts w:hint="default" w:ascii="Times New Roman" w:hAnsi="Times New Roman" w:cs="Times New Roman"/>
          <w:color w:val="auto"/>
          <w:sz w:val="24"/>
        </w:rPr>
        <w:t>按用水量80%计，则</w:t>
      </w:r>
      <w:r>
        <w:rPr>
          <w:rFonts w:hint="default" w:ascii="Times New Roman" w:hAnsi="Times New Roman" w:cs="Times New Roman"/>
          <w:color w:val="auto"/>
          <w:sz w:val="24"/>
          <w:lang w:val="en-US" w:eastAsia="zh-CN"/>
        </w:rPr>
        <w:t>清洗废水</w:t>
      </w:r>
      <w:r>
        <w:rPr>
          <w:rFonts w:hint="default" w:ascii="Times New Roman" w:hAnsi="Times New Roman" w:cs="Times New Roman"/>
          <w:color w:val="auto"/>
          <w:sz w:val="24"/>
        </w:rPr>
        <w:t>量为</w:t>
      </w:r>
      <w:r>
        <w:rPr>
          <w:rFonts w:hint="default" w:ascii="Times New Roman" w:hAnsi="Times New Roman" w:cs="Times New Roman"/>
          <w:color w:val="auto"/>
          <w:sz w:val="24"/>
          <w:lang w:val="en-US" w:eastAsia="zh-CN"/>
        </w:rPr>
        <w:t>1560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（每次废水产生量为</w:t>
      </w:r>
      <w:r>
        <w:rPr>
          <w:rFonts w:hint="default" w:ascii="Times New Roman" w:hAnsi="Times New Roman" w:cs="Times New Roman"/>
          <w:color w:val="auto"/>
          <w:sz w:val="24"/>
          <w:lang w:val="en-US" w:eastAsia="zh-CN"/>
        </w:rPr>
        <w:t>40m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eastAsia="zh-CN"/>
        </w:rPr>
        <w:t>，共清洗</w:t>
      </w:r>
      <w:r>
        <w:rPr>
          <w:rFonts w:hint="default" w:ascii="Times New Roman" w:hAnsi="Times New Roman" w:cs="Times New Roman"/>
          <w:color w:val="auto"/>
          <w:sz w:val="24"/>
          <w:lang w:val="en-US" w:eastAsia="zh-CN"/>
        </w:rPr>
        <w:t>48次</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废水中主要含有少量残留的鸡粪便</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根据《畜禽养殖业污染物排放标准》（GB18596-2001）中表4集约化畜禽养殖业干清粪工艺最高允许排水量（冬季鸡0.5m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/千只·d，项目鸡最高允许排水量为200m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/d，以冬季最低计），本项目污水排放量为4.27m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/d，满足其最高允许排水量要求。</w:t>
      </w:r>
    </w:p>
    <w:p w14:paraId="1F8A896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根据《规模化养鸡场冲洗废水三段式处理达标排放可行性试验研究》（环境工程，2013年第31卷增刊），养殖棚冲洗废水主要污染物产生浓度为COD：1415mg/L、BOD</w:t>
      </w:r>
      <w:r>
        <w:rPr>
          <w:rFonts w:hint="default" w:ascii="Times New Roman" w:hAnsi="Times New Roman" w:cs="Times New Roman"/>
          <w:color w:val="auto"/>
          <w:sz w:val="24"/>
          <w:vertAlign w:val="subscript"/>
          <w:lang w:val="en-US" w:eastAsia="zh-CN"/>
        </w:rPr>
        <w:t>5</w:t>
      </w:r>
      <w:r>
        <w:rPr>
          <w:rFonts w:hint="default" w:ascii="Times New Roman" w:hAnsi="Times New Roman" w:cs="Times New Roman"/>
          <w:color w:val="auto"/>
          <w:sz w:val="24"/>
          <w:lang w:val="en-US" w:eastAsia="zh-CN"/>
        </w:rPr>
        <w:t>：958mg/L、氨氮：236mg/L、SS：967mg/L。根据《畜禽规模养殖对环境的污染与对策》（江浩军、上海畜牧兽医通讯，2010年第6期），废水中粪大肠菌群约为3.0×10</w:t>
      </w:r>
      <w:r>
        <w:rPr>
          <w:rFonts w:hint="default" w:ascii="Times New Roman" w:hAnsi="Times New Roman" w:cs="Times New Roman"/>
          <w:color w:val="auto"/>
          <w:sz w:val="24"/>
          <w:vertAlign w:val="superscript"/>
          <w:lang w:val="en-US" w:eastAsia="zh-CN"/>
        </w:rPr>
        <w:t>7</w:t>
      </w:r>
      <w:r>
        <w:rPr>
          <w:rFonts w:hint="default" w:ascii="Times New Roman" w:hAnsi="Times New Roman" w:cs="Times New Roman"/>
          <w:color w:val="auto"/>
          <w:sz w:val="24"/>
          <w:lang w:val="en-US" w:eastAsia="zh-CN"/>
        </w:rPr>
        <w:t>个/L、蛔虫卵190个/L，则污染物产生量分别为粪大肠菌群4.68×10</w:t>
      </w:r>
      <w:r>
        <w:rPr>
          <w:rFonts w:hint="default" w:ascii="Times New Roman" w:hAnsi="Times New Roman" w:cs="Times New Roman"/>
          <w:color w:val="auto"/>
          <w:sz w:val="24"/>
          <w:vertAlign w:val="superscript"/>
          <w:lang w:val="en-US" w:eastAsia="zh-CN"/>
        </w:rPr>
        <w:t>13</w:t>
      </w:r>
      <w:r>
        <w:rPr>
          <w:rFonts w:hint="default" w:ascii="Times New Roman" w:hAnsi="Times New Roman" w:cs="Times New Roman"/>
          <w:color w:val="auto"/>
          <w:sz w:val="24"/>
          <w:lang w:val="en-US" w:eastAsia="zh-CN"/>
        </w:rPr>
        <w:t>个，蛔</w:t>
      </w:r>
      <w:r>
        <w:rPr>
          <w:rFonts w:hint="default" w:ascii="Times New Roman" w:hAnsi="Times New Roman" w:cs="Times New Roman"/>
          <w:color w:val="auto"/>
          <w:sz w:val="24"/>
          <w:highlight w:val="none"/>
          <w:lang w:val="en-US" w:eastAsia="zh-CN"/>
        </w:rPr>
        <w:t>虫卵2.96×10</w:t>
      </w:r>
      <w:r>
        <w:rPr>
          <w:rFonts w:hint="default" w:ascii="Times New Roman" w:hAnsi="Times New Roman" w:cs="Times New Roman"/>
          <w:color w:val="auto"/>
          <w:sz w:val="24"/>
          <w:highlight w:val="none"/>
          <w:vertAlign w:val="superscript"/>
          <w:lang w:val="en-US" w:eastAsia="zh-CN"/>
        </w:rPr>
        <w:t>8</w:t>
      </w:r>
      <w:r>
        <w:rPr>
          <w:rFonts w:hint="default" w:ascii="Times New Roman" w:hAnsi="Times New Roman" w:cs="Times New Roman"/>
          <w:color w:val="auto"/>
          <w:sz w:val="24"/>
          <w:highlight w:val="none"/>
          <w:lang w:val="en-US" w:eastAsia="zh-CN"/>
        </w:rPr>
        <w:t>个</w:t>
      </w:r>
      <w:r>
        <w:rPr>
          <w:rFonts w:hint="default" w:ascii="Times New Roman" w:hAnsi="Times New Roman" w:cs="Times New Roman"/>
          <w:color w:val="auto"/>
          <w:sz w:val="24"/>
          <w:lang w:val="en-US" w:eastAsia="zh-CN"/>
        </w:rPr>
        <w:t>。</w:t>
      </w:r>
    </w:p>
    <w:p w14:paraId="44E1945B">
      <w:pPr>
        <w:pStyle w:val="14"/>
        <w:widowControl/>
        <w:autoSpaceDE w:val="0"/>
        <w:autoSpaceDN w:val="0"/>
        <w:spacing w:line="240" w:lineRule="auto"/>
        <w:jc w:val="center"/>
        <w:textAlignment w:val="bottom"/>
        <w:rPr>
          <w:rFonts w:hint="default" w:ascii="Times New Roman" w:hAnsi="Times New Roman" w:cs="Times New Roman"/>
          <w:b/>
          <w:color w:val="auto"/>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b/>
          <w:color w:val="auto"/>
          <w:szCs w:val="21"/>
        </w:rPr>
        <w:t>项目</w:t>
      </w:r>
      <w:r>
        <w:rPr>
          <w:rFonts w:hint="default" w:ascii="Times New Roman" w:hAnsi="Times New Roman" w:cs="Times New Roman"/>
          <w:b/>
          <w:color w:val="auto"/>
          <w:szCs w:val="21"/>
          <w:lang w:val="en-US" w:eastAsia="zh-CN"/>
        </w:rPr>
        <w:t>冲洗废水</w:t>
      </w:r>
      <w:r>
        <w:rPr>
          <w:rFonts w:hint="default" w:ascii="Times New Roman" w:hAnsi="Times New Roman" w:cs="Times New Roman"/>
          <w:b/>
          <w:color w:val="auto"/>
          <w:szCs w:val="21"/>
        </w:rPr>
        <w:t>污染物产生量</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83"/>
        <w:gridCol w:w="1710"/>
        <w:gridCol w:w="766"/>
        <w:gridCol w:w="785"/>
        <w:gridCol w:w="819"/>
        <w:gridCol w:w="848"/>
        <w:gridCol w:w="1278"/>
        <w:gridCol w:w="1138"/>
      </w:tblGrid>
      <w:tr w14:paraId="144E03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95" w:type="pct"/>
            <w:gridSpan w:val="2"/>
            <w:tcBorders>
              <w:tl2br w:val="single" w:color="auto" w:sz="4" w:space="0"/>
            </w:tcBorders>
            <w:noWrap w:val="0"/>
            <w:vAlign w:val="center"/>
          </w:tcPr>
          <w:p w14:paraId="5590FEFD">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污染物种类</w:t>
            </w:r>
          </w:p>
          <w:p w14:paraId="00B6388E">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排放指标</w:t>
            </w:r>
          </w:p>
        </w:tc>
        <w:tc>
          <w:tcPr>
            <w:tcW w:w="449" w:type="pct"/>
            <w:noWrap w:val="0"/>
            <w:vAlign w:val="center"/>
          </w:tcPr>
          <w:p w14:paraId="4E554FE2">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COD</w:t>
            </w:r>
          </w:p>
        </w:tc>
        <w:tc>
          <w:tcPr>
            <w:tcW w:w="460" w:type="pct"/>
            <w:noWrap w:val="0"/>
            <w:vAlign w:val="center"/>
          </w:tcPr>
          <w:p w14:paraId="6AF61CF4">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BOD</w:t>
            </w:r>
            <w:r>
              <w:rPr>
                <w:rFonts w:hint="default" w:ascii="Times New Roman" w:hAnsi="Times New Roman" w:cs="Times New Roman"/>
                <w:b/>
                <w:color w:val="auto"/>
                <w:sz w:val="21"/>
                <w:szCs w:val="21"/>
                <w:vertAlign w:val="subscript"/>
                <w:lang w:val="en-US" w:eastAsia="zh-CN"/>
              </w:rPr>
              <w:t>5</w:t>
            </w:r>
          </w:p>
        </w:tc>
        <w:tc>
          <w:tcPr>
            <w:tcW w:w="480" w:type="pct"/>
            <w:noWrap w:val="0"/>
            <w:vAlign w:val="center"/>
          </w:tcPr>
          <w:p w14:paraId="68257A0C">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SS</w:t>
            </w:r>
          </w:p>
        </w:tc>
        <w:tc>
          <w:tcPr>
            <w:tcW w:w="497" w:type="pct"/>
            <w:noWrap w:val="0"/>
            <w:vAlign w:val="center"/>
          </w:tcPr>
          <w:p w14:paraId="1E2CFCBA">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NH</w:t>
            </w:r>
            <w:r>
              <w:rPr>
                <w:rFonts w:hint="default" w:ascii="Times New Roman" w:hAnsi="Times New Roman" w:eastAsia="宋体" w:cs="Times New Roman"/>
                <w:b/>
                <w:color w:val="auto"/>
                <w:sz w:val="21"/>
                <w:szCs w:val="21"/>
                <w:vertAlign w:val="subscript"/>
              </w:rPr>
              <w:t>3</w:t>
            </w:r>
            <w:r>
              <w:rPr>
                <w:rFonts w:hint="default" w:ascii="Times New Roman" w:hAnsi="Times New Roman" w:eastAsia="宋体" w:cs="Times New Roman"/>
                <w:b/>
                <w:color w:val="auto"/>
                <w:sz w:val="21"/>
                <w:szCs w:val="21"/>
              </w:rPr>
              <w:t>-N</w:t>
            </w:r>
          </w:p>
        </w:tc>
        <w:tc>
          <w:tcPr>
            <w:tcW w:w="749" w:type="pct"/>
            <w:noWrap w:val="0"/>
            <w:vAlign w:val="center"/>
          </w:tcPr>
          <w:p w14:paraId="02311B4B">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粪大肠菌群</w:t>
            </w:r>
          </w:p>
        </w:tc>
        <w:tc>
          <w:tcPr>
            <w:tcW w:w="667" w:type="pct"/>
            <w:noWrap w:val="0"/>
            <w:vAlign w:val="center"/>
          </w:tcPr>
          <w:p w14:paraId="1C225B3C">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蛔虫卵</w:t>
            </w:r>
          </w:p>
        </w:tc>
      </w:tr>
      <w:tr w14:paraId="5CA929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693" w:type="pct"/>
            <w:vMerge w:val="restart"/>
            <w:tcBorders>
              <w:right w:val="single" w:color="auto" w:sz="4" w:space="0"/>
            </w:tcBorders>
            <w:noWrap w:val="0"/>
            <w:vAlign w:val="center"/>
          </w:tcPr>
          <w:p w14:paraId="2715BAA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收集设施冲洗废水1560</w:t>
            </w:r>
            <w:r>
              <w:rPr>
                <w:rFonts w:hint="default" w:ascii="Times New Roman" w:hAnsi="Times New Roman" w:cs="Times New Roman"/>
                <w:color w:val="auto"/>
                <w:sz w:val="21"/>
                <w:szCs w:val="21"/>
              </w:rPr>
              <w:t>t/a</w:t>
            </w:r>
          </w:p>
        </w:tc>
        <w:tc>
          <w:tcPr>
            <w:tcW w:w="1002" w:type="pct"/>
            <w:tcBorders>
              <w:left w:val="single" w:color="auto" w:sz="4" w:space="0"/>
            </w:tcBorders>
            <w:noWrap w:val="0"/>
            <w:vAlign w:val="center"/>
          </w:tcPr>
          <w:p w14:paraId="26D22D8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产生浓度（mg/L）</w:t>
            </w:r>
          </w:p>
        </w:tc>
        <w:tc>
          <w:tcPr>
            <w:tcW w:w="449" w:type="pct"/>
            <w:noWrap w:val="0"/>
            <w:vAlign w:val="center"/>
          </w:tcPr>
          <w:p w14:paraId="1F129FB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1415</w:t>
            </w:r>
          </w:p>
        </w:tc>
        <w:tc>
          <w:tcPr>
            <w:tcW w:w="460" w:type="pct"/>
            <w:noWrap w:val="0"/>
            <w:vAlign w:val="center"/>
          </w:tcPr>
          <w:p w14:paraId="6086393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958</w:t>
            </w:r>
          </w:p>
        </w:tc>
        <w:tc>
          <w:tcPr>
            <w:tcW w:w="480" w:type="pct"/>
            <w:noWrap w:val="0"/>
            <w:vAlign w:val="center"/>
          </w:tcPr>
          <w:p w14:paraId="2BBAC77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967</w:t>
            </w:r>
          </w:p>
        </w:tc>
        <w:tc>
          <w:tcPr>
            <w:tcW w:w="497" w:type="pct"/>
            <w:noWrap w:val="0"/>
            <w:vAlign w:val="center"/>
          </w:tcPr>
          <w:p w14:paraId="63A5B3C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236</w:t>
            </w:r>
          </w:p>
        </w:tc>
        <w:tc>
          <w:tcPr>
            <w:tcW w:w="749" w:type="pct"/>
            <w:noWrap w:val="0"/>
            <w:vAlign w:val="center"/>
          </w:tcPr>
          <w:p w14:paraId="594DFC13">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3×10</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lang w:val="en-US" w:eastAsia="zh-CN"/>
              </w:rPr>
              <w:t>个/L</w:t>
            </w:r>
          </w:p>
        </w:tc>
        <w:tc>
          <w:tcPr>
            <w:tcW w:w="667" w:type="pct"/>
            <w:noWrap w:val="0"/>
            <w:vAlign w:val="center"/>
          </w:tcPr>
          <w:p w14:paraId="324DD71A">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190个/L</w:t>
            </w:r>
          </w:p>
        </w:tc>
      </w:tr>
      <w:tr w14:paraId="4D56D3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1" w:hRule="atLeast"/>
        </w:trPr>
        <w:tc>
          <w:tcPr>
            <w:tcW w:w="693" w:type="pct"/>
            <w:vMerge w:val="continue"/>
            <w:tcBorders>
              <w:right w:val="single" w:color="auto" w:sz="4" w:space="0"/>
            </w:tcBorders>
            <w:noWrap w:val="0"/>
            <w:vAlign w:val="center"/>
          </w:tcPr>
          <w:p w14:paraId="799F7035">
            <w:pPr>
              <w:jc w:val="center"/>
              <w:rPr>
                <w:rFonts w:hint="default" w:ascii="Times New Roman" w:hAnsi="Times New Roman" w:cs="Times New Roman"/>
                <w:color w:val="auto"/>
                <w:sz w:val="21"/>
                <w:szCs w:val="21"/>
              </w:rPr>
            </w:pPr>
          </w:p>
        </w:tc>
        <w:tc>
          <w:tcPr>
            <w:tcW w:w="1002" w:type="pct"/>
            <w:tcBorders>
              <w:left w:val="single" w:color="auto" w:sz="4" w:space="0"/>
            </w:tcBorders>
            <w:noWrap w:val="0"/>
            <w:vAlign w:val="center"/>
          </w:tcPr>
          <w:p w14:paraId="514C51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449" w:type="pct"/>
            <w:noWrap w:val="0"/>
            <w:vAlign w:val="center"/>
          </w:tcPr>
          <w:p w14:paraId="6C81C61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w:t>
            </w:r>
          </w:p>
        </w:tc>
        <w:tc>
          <w:tcPr>
            <w:tcW w:w="460" w:type="pct"/>
            <w:noWrap w:val="0"/>
            <w:vAlign w:val="center"/>
          </w:tcPr>
          <w:p w14:paraId="0C6BDC7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1.49</w:t>
            </w:r>
          </w:p>
        </w:tc>
        <w:tc>
          <w:tcPr>
            <w:tcW w:w="480" w:type="pct"/>
            <w:noWrap w:val="0"/>
            <w:vAlign w:val="center"/>
          </w:tcPr>
          <w:p w14:paraId="4A14A7B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w:t>
            </w:r>
          </w:p>
        </w:tc>
        <w:tc>
          <w:tcPr>
            <w:tcW w:w="497" w:type="pct"/>
            <w:noWrap w:val="0"/>
            <w:vAlign w:val="center"/>
          </w:tcPr>
          <w:p w14:paraId="426DAFB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0.368</w:t>
            </w:r>
          </w:p>
        </w:tc>
        <w:tc>
          <w:tcPr>
            <w:tcW w:w="749" w:type="pct"/>
            <w:noWrap w:val="0"/>
            <w:vAlign w:val="center"/>
          </w:tcPr>
          <w:p w14:paraId="498FE5E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4.68</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13</w:t>
            </w:r>
          </w:p>
        </w:tc>
        <w:tc>
          <w:tcPr>
            <w:tcW w:w="667" w:type="pct"/>
            <w:noWrap w:val="0"/>
            <w:vAlign w:val="center"/>
          </w:tcPr>
          <w:p w14:paraId="4091882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2.96</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8</w:t>
            </w:r>
          </w:p>
        </w:tc>
      </w:tr>
    </w:tbl>
    <w:p w14:paraId="6F6490C2">
      <w:pPr>
        <w:keepLines w:val="0"/>
        <w:pageBreakBefore w:val="0"/>
        <w:widowControl w:val="0"/>
        <w:kinsoku/>
        <w:wordWrap/>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lang w:val="en-US" w:eastAsia="zh-CN"/>
        </w:rPr>
        <w:t>2）锅炉排水</w:t>
      </w:r>
    </w:p>
    <w:p w14:paraId="397B7066">
      <w:pPr>
        <w:keepLines w:val="0"/>
        <w:pageBreakBefore w:val="0"/>
        <w:widowControl w:val="0"/>
        <w:kinsoku/>
        <w:wordWrap/>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FF0000"/>
          <w:sz w:val="24"/>
          <w:szCs w:val="32"/>
          <w:lang w:eastAsia="zh-CN"/>
        </w:rPr>
      </w:pPr>
      <w:r>
        <w:rPr>
          <w:rFonts w:hint="default" w:ascii="Times New Roman" w:hAnsi="Times New Roman" w:cs="Times New Roman"/>
          <w:color w:val="FF0000"/>
          <w:sz w:val="24"/>
          <w:szCs w:val="32"/>
        </w:rPr>
        <w:t>本工程锅炉房的水源为</w:t>
      </w:r>
      <w:r>
        <w:rPr>
          <w:rFonts w:hint="default" w:ascii="Times New Roman" w:hAnsi="Times New Roman" w:cs="Times New Roman"/>
          <w:color w:val="FF0000"/>
          <w:sz w:val="24"/>
          <w:szCs w:val="32"/>
          <w:lang w:val="en-US" w:eastAsia="zh-CN"/>
        </w:rPr>
        <w:t>市政</w:t>
      </w:r>
      <w:r>
        <w:rPr>
          <w:rFonts w:hint="default" w:ascii="Times New Roman" w:hAnsi="Times New Roman" w:cs="Times New Roman"/>
          <w:color w:val="FF0000"/>
          <w:sz w:val="24"/>
          <w:szCs w:val="32"/>
          <w:lang w:eastAsia="zh-CN"/>
        </w:rPr>
        <w:t>供水</w:t>
      </w:r>
      <w:r>
        <w:rPr>
          <w:rFonts w:hint="default" w:ascii="Times New Roman" w:hAnsi="Times New Roman" w:cs="Times New Roman"/>
          <w:color w:val="FF0000"/>
          <w:sz w:val="24"/>
          <w:szCs w:val="32"/>
        </w:rPr>
        <w:t>。</w:t>
      </w:r>
      <w:r>
        <w:rPr>
          <w:rFonts w:hint="default" w:ascii="Times New Roman" w:hAnsi="Times New Roman" w:cs="Times New Roman"/>
          <w:color w:val="FF0000"/>
          <w:sz w:val="24"/>
          <w:szCs w:val="32"/>
          <w:lang w:eastAsia="zh-CN"/>
        </w:rPr>
        <w:t>项目区用水主要为锅炉用水，通常情况下，锅炉的用水量一般为蒸发量、锅炉排污损失和管道汽水损失的总和。管道汽水损失一般都为3%。</w:t>
      </w:r>
      <w:r>
        <w:rPr>
          <w:rFonts w:hint="default" w:ascii="Times New Roman" w:hAnsi="Times New Roman" w:cs="Times New Roman"/>
          <w:color w:val="FF0000"/>
          <w:sz w:val="24"/>
          <w:szCs w:val="32"/>
          <w:lang w:val="en-US" w:eastAsia="zh-CN"/>
        </w:rPr>
        <w:t>冷凝水的回收率为90%，生产工序损耗为10%，</w:t>
      </w:r>
      <w:r>
        <w:rPr>
          <w:rFonts w:hint="default" w:ascii="Times New Roman" w:hAnsi="Times New Roman" w:cs="Times New Roman"/>
          <w:color w:val="FF0000"/>
          <w:sz w:val="24"/>
          <w:szCs w:val="32"/>
          <w:lang w:eastAsia="zh-CN"/>
        </w:rPr>
        <w:t>按这个计算，热水锅炉用水量5856</w:t>
      </w:r>
      <w:r>
        <w:rPr>
          <w:rFonts w:hint="default" w:ascii="Times New Roman" w:hAnsi="Times New Roman" w:eastAsia="宋体" w:cs="Times New Roman"/>
          <w:b w:val="0"/>
          <w:bCs w:val="0"/>
          <w:color w:val="FF0000"/>
          <w:sz w:val="24"/>
          <w:szCs w:val="24"/>
          <w:lang w:val="en-US" w:eastAsia="zh-CN"/>
        </w:rPr>
        <w:t>m</w:t>
      </w:r>
      <w:r>
        <w:rPr>
          <w:rFonts w:hint="default" w:ascii="Times New Roman" w:hAnsi="Times New Roman" w:eastAsia="宋体" w:cs="Times New Roman"/>
          <w:b w:val="0"/>
          <w:bCs w:val="0"/>
          <w:color w:val="FF0000"/>
          <w:sz w:val="24"/>
          <w:szCs w:val="24"/>
          <w:vertAlign w:val="superscript"/>
          <w:lang w:val="en-US" w:eastAsia="zh-CN"/>
        </w:rPr>
        <w:t>3</w:t>
      </w:r>
      <w:r>
        <w:rPr>
          <w:rFonts w:hint="default" w:ascii="Times New Roman" w:hAnsi="Times New Roman" w:eastAsia="宋体" w:cs="Times New Roman"/>
          <w:b w:val="0"/>
          <w:bCs w:val="0"/>
          <w:color w:val="FF0000"/>
          <w:sz w:val="24"/>
          <w:szCs w:val="24"/>
          <w:lang w:val="en-US" w:eastAsia="zh-CN"/>
        </w:rPr>
        <w:t>/a</w:t>
      </w:r>
      <w:r>
        <w:rPr>
          <w:rFonts w:hint="default" w:ascii="Times New Roman" w:hAnsi="Times New Roman" w:cs="Times New Roman"/>
          <w:color w:val="FF0000"/>
          <w:sz w:val="24"/>
          <w:szCs w:val="32"/>
          <w:lang w:eastAsia="zh-CN"/>
        </w:rPr>
        <w:t>。</w:t>
      </w:r>
    </w:p>
    <w:p w14:paraId="677AB0D1">
      <w:pPr>
        <w:keepLines w:val="0"/>
        <w:pageBreakBefore w:val="0"/>
        <w:widowControl w:val="0"/>
        <w:kinsoku/>
        <w:wordWrap/>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FF0000"/>
          <w:lang w:val="en-US" w:eastAsia="zh-CN"/>
        </w:rPr>
      </w:pPr>
      <w:r>
        <w:rPr>
          <w:rFonts w:hint="default" w:ascii="Times New Roman" w:hAnsi="Times New Roman" w:eastAsia="宋体" w:cs="Times New Roman"/>
          <w:b w:val="0"/>
          <w:bCs w:val="0"/>
          <w:color w:val="FF0000"/>
          <w:sz w:val="24"/>
          <w:szCs w:val="24"/>
          <w:lang w:val="en-US" w:eastAsia="zh-CN"/>
        </w:rPr>
        <w:t>根据《4430工业锅炉（热力生产和供应行业）产污系数表-工业废水量》，天然气锅炉（锅炉排污水＋软化处理废水）的产污系数为13.56吨/万立方米-原料，故锅炉排污水和软化处理废水的排放量为7.94m</w:t>
      </w:r>
      <w:r>
        <w:rPr>
          <w:rFonts w:hint="default" w:ascii="Times New Roman" w:hAnsi="Times New Roman" w:eastAsia="宋体" w:cs="Times New Roman"/>
          <w:b w:val="0"/>
          <w:bCs w:val="0"/>
          <w:color w:val="FF0000"/>
          <w:sz w:val="24"/>
          <w:szCs w:val="24"/>
          <w:vertAlign w:val="superscript"/>
          <w:lang w:val="en-US" w:eastAsia="zh-CN"/>
        </w:rPr>
        <w:t>3</w:t>
      </w:r>
      <w:r>
        <w:rPr>
          <w:rFonts w:hint="default" w:ascii="Times New Roman" w:hAnsi="Times New Roman" w:eastAsia="宋体" w:cs="Times New Roman"/>
          <w:b w:val="0"/>
          <w:bCs w:val="0"/>
          <w:color w:val="FF0000"/>
          <w:sz w:val="24"/>
          <w:szCs w:val="24"/>
          <w:lang w:val="en-US" w:eastAsia="zh-CN"/>
        </w:rPr>
        <w:t>/a，经沉淀处理后，用于鸡舍</w:t>
      </w:r>
      <w:r>
        <w:rPr>
          <w:rFonts w:hint="eastAsia" w:ascii="Times New Roman" w:hAnsi="Times New Roman" w:cs="Times New Roman"/>
          <w:b w:val="0"/>
          <w:bCs w:val="0"/>
          <w:color w:val="FF0000"/>
          <w:sz w:val="24"/>
          <w:szCs w:val="24"/>
          <w:lang w:val="en-US" w:eastAsia="zh-CN"/>
        </w:rPr>
        <w:t>粪便传送带</w:t>
      </w:r>
      <w:r>
        <w:rPr>
          <w:rFonts w:hint="default" w:ascii="Times New Roman" w:hAnsi="Times New Roman" w:eastAsia="宋体" w:cs="Times New Roman"/>
          <w:b w:val="0"/>
          <w:bCs w:val="0"/>
          <w:color w:val="FF0000"/>
          <w:sz w:val="24"/>
          <w:szCs w:val="24"/>
          <w:lang w:val="en-US" w:eastAsia="zh-CN"/>
        </w:rPr>
        <w:t>清洗。</w:t>
      </w:r>
    </w:p>
    <w:p w14:paraId="186F25AA">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噪声</w:t>
      </w:r>
      <w:bookmarkEnd w:id="66"/>
      <w:bookmarkEnd w:id="67"/>
    </w:p>
    <w:p w14:paraId="495FD9D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本项目属于畜禽养殖业，主要噪声源包括设备噪声、饲料搅拌车、水泵、</w:t>
      </w:r>
      <w:r>
        <w:rPr>
          <w:rFonts w:hint="default" w:ascii="Times New Roman" w:hAnsi="Times New Roman" w:cs="Times New Roman"/>
          <w:color w:val="auto"/>
          <w:lang w:val="en-US" w:eastAsia="zh-CN"/>
        </w:rPr>
        <w:t>鸡</w:t>
      </w:r>
      <w:r>
        <w:rPr>
          <w:rFonts w:hint="default" w:ascii="Times New Roman" w:hAnsi="Times New Roman" w:cs="Times New Roman"/>
          <w:color w:val="auto"/>
        </w:rPr>
        <w:t>的叫声以及出入场区的车辆噪声。具体见表3.</w:t>
      </w:r>
      <w:r>
        <w:rPr>
          <w:rFonts w:hint="default" w:ascii="Times New Roman" w:hAnsi="Times New Roman" w:cs="Times New Roman"/>
          <w:color w:val="auto"/>
          <w:lang w:val="en-US" w:eastAsia="zh-CN"/>
        </w:rPr>
        <w:t>5-9</w:t>
      </w:r>
      <w:r>
        <w:rPr>
          <w:rFonts w:hint="default" w:ascii="Times New Roman" w:hAnsi="Times New Roman" w:cs="Times New Roman"/>
          <w:color w:val="auto"/>
          <w:lang w:eastAsia="zh-CN"/>
        </w:rPr>
        <w:t>。</w:t>
      </w:r>
    </w:p>
    <w:p w14:paraId="3E9F1500">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t>主要噪声源产生的噪声源强一览表</w:t>
      </w:r>
    </w:p>
    <w:tbl>
      <w:tblPr>
        <w:tblStyle w:val="76"/>
        <w:tblW w:w="5002"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297"/>
        <w:gridCol w:w="803"/>
        <w:gridCol w:w="428"/>
        <w:gridCol w:w="595"/>
        <w:gridCol w:w="608"/>
        <w:gridCol w:w="1520"/>
        <w:gridCol w:w="985"/>
        <w:gridCol w:w="613"/>
        <w:gridCol w:w="1696"/>
        <w:gridCol w:w="778"/>
      </w:tblGrid>
      <w:tr w14:paraId="6F2A1AE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178" w:type="pct"/>
            <w:vMerge w:val="restart"/>
            <w:tcBorders>
              <w:tl2br w:val="nil"/>
              <w:tr2bl w:val="nil"/>
            </w:tcBorders>
            <w:vAlign w:val="center"/>
          </w:tcPr>
          <w:p w14:paraId="4F414DB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序号</w:t>
            </w:r>
          </w:p>
        </w:tc>
        <w:tc>
          <w:tcPr>
            <w:tcW w:w="482" w:type="pct"/>
            <w:vMerge w:val="restart"/>
            <w:tcBorders>
              <w:tl2br w:val="nil"/>
              <w:tr2bl w:val="nil"/>
            </w:tcBorders>
            <w:vAlign w:val="center"/>
          </w:tcPr>
          <w:p w14:paraId="02C955B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6"/>
                <w:sz w:val="21"/>
                <w:szCs w:val="21"/>
              </w:rPr>
              <w:t>建筑物名称</w:t>
            </w:r>
          </w:p>
        </w:tc>
        <w:tc>
          <w:tcPr>
            <w:tcW w:w="257" w:type="pct"/>
            <w:vMerge w:val="restart"/>
            <w:tcBorders>
              <w:tl2br w:val="nil"/>
              <w:tr2bl w:val="nil"/>
            </w:tcBorders>
            <w:vAlign w:val="center"/>
          </w:tcPr>
          <w:p w14:paraId="003E0D0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声源名称</w:t>
            </w:r>
          </w:p>
        </w:tc>
        <w:tc>
          <w:tcPr>
            <w:tcW w:w="357" w:type="pct"/>
            <w:vMerge w:val="restart"/>
            <w:tcBorders>
              <w:tl2br w:val="nil"/>
              <w:tr2bl w:val="nil"/>
            </w:tcBorders>
            <w:vAlign w:val="center"/>
          </w:tcPr>
          <w:p w14:paraId="5B0417B0">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1"/>
                <w:szCs w:val="21"/>
              </w:rPr>
              <w:t>型号</w:t>
            </w:r>
          </w:p>
        </w:tc>
        <w:tc>
          <w:tcPr>
            <w:tcW w:w="365" w:type="pct"/>
            <w:vMerge w:val="restart"/>
            <w:tcBorders>
              <w:tl2br w:val="nil"/>
              <w:tr2bl w:val="nil"/>
            </w:tcBorders>
            <w:vAlign w:val="center"/>
          </w:tcPr>
          <w:p w14:paraId="57A11D4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设备数量</w:t>
            </w:r>
            <w:r>
              <w:rPr>
                <w:rFonts w:hint="default" w:ascii="Times New Roman" w:hAnsi="Times New Roman" w:eastAsia="宋体" w:cs="Times New Roman"/>
                <w:b/>
                <w:bCs/>
                <w:spacing w:val="-2"/>
                <w:sz w:val="21"/>
                <w:szCs w:val="21"/>
              </w:rPr>
              <w:t>（台）</w:t>
            </w:r>
          </w:p>
        </w:tc>
        <w:tc>
          <w:tcPr>
            <w:tcW w:w="912" w:type="pct"/>
            <w:tcBorders>
              <w:tl2br w:val="nil"/>
              <w:tr2bl w:val="nil"/>
            </w:tcBorders>
            <w:vAlign w:val="center"/>
          </w:tcPr>
          <w:p w14:paraId="4634AEB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b/>
                <w:bCs/>
                <w:spacing w:val="5"/>
                <w:sz w:val="21"/>
                <w:szCs w:val="21"/>
              </w:rPr>
              <w:t>空间相对位置</w:t>
            </w:r>
            <w:r>
              <w:rPr>
                <w:rFonts w:hint="default" w:ascii="Times New Roman" w:hAnsi="Times New Roman" w:cs="Times New Roman"/>
                <w:b/>
                <w:bCs/>
                <w:spacing w:val="5"/>
                <w:sz w:val="21"/>
                <w:szCs w:val="21"/>
              </w:rPr>
              <w:t>/m</w:t>
            </w:r>
          </w:p>
        </w:tc>
        <w:tc>
          <w:tcPr>
            <w:tcW w:w="959" w:type="pct"/>
            <w:gridSpan w:val="2"/>
            <w:tcBorders>
              <w:tl2br w:val="nil"/>
              <w:tr2bl w:val="nil"/>
            </w:tcBorders>
            <w:vAlign w:val="center"/>
          </w:tcPr>
          <w:p w14:paraId="7A2B9C0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声</w:t>
            </w:r>
            <w:r>
              <w:rPr>
                <w:rFonts w:hint="eastAsia" w:ascii="Times New Roman" w:hAnsi="Times New Roman" w:cs="Times New Roman"/>
                <w:b/>
                <w:bCs/>
                <w:spacing w:val="5"/>
                <w:sz w:val="21"/>
                <w:szCs w:val="21"/>
                <w:lang w:eastAsia="zh-CN"/>
              </w:rPr>
              <w:t>源</w:t>
            </w:r>
            <w:r>
              <w:rPr>
                <w:rFonts w:hint="default" w:ascii="Times New Roman" w:hAnsi="Times New Roman" w:eastAsia="宋体" w:cs="Times New Roman"/>
                <w:b/>
                <w:bCs/>
                <w:spacing w:val="5"/>
                <w:sz w:val="21"/>
                <w:szCs w:val="21"/>
              </w:rPr>
              <w:t>强</w:t>
            </w:r>
          </w:p>
        </w:tc>
        <w:tc>
          <w:tcPr>
            <w:tcW w:w="1018" w:type="pct"/>
            <w:vMerge w:val="restart"/>
            <w:tcBorders>
              <w:tl2br w:val="nil"/>
              <w:tr2bl w:val="nil"/>
            </w:tcBorders>
            <w:vAlign w:val="center"/>
          </w:tcPr>
          <w:p w14:paraId="79DAA6A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6"/>
                <w:sz w:val="21"/>
                <w:szCs w:val="21"/>
              </w:rPr>
              <w:t>声源控制措施</w:t>
            </w:r>
          </w:p>
        </w:tc>
        <w:tc>
          <w:tcPr>
            <w:tcW w:w="467" w:type="pct"/>
            <w:vMerge w:val="restart"/>
            <w:tcBorders>
              <w:tl2br w:val="nil"/>
              <w:tr2bl w:val="nil"/>
            </w:tcBorders>
            <w:vAlign w:val="center"/>
          </w:tcPr>
          <w:p w14:paraId="1F6CF3A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6"/>
                <w:sz w:val="21"/>
                <w:szCs w:val="21"/>
              </w:rPr>
              <w:t>运行时段</w:t>
            </w:r>
            <w:r>
              <w:rPr>
                <w:rFonts w:hint="default" w:ascii="Times New Roman" w:hAnsi="Times New Roman" w:eastAsia="宋体" w:cs="Times New Roman"/>
                <w:b/>
                <w:bCs/>
                <w:spacing w:val="-1"/>
                <w:sz w:val="21"/>
                <w:szCs w:val="21"/>
              </w:rPr>
              <w:t>（</w:t>
            </w:r>
            <w:r>
              <w:rPr>
                <w:rFonts w:hint="default" w:ascii="Times New Roman" w:hAnsi="Times New Roman" w:cs="Times New Roman"/>
                <w:b/>
                <w:bCs/>
                <w:spacing w:val="-1"/>
                <w:sz w:val="21"/>
                <w:szCs w:val="21"/>
              </w:rPr>
              <w:t>h/d</w:t>
            </w:r>
            <w:r>
              <w:rPr>
                <w:rFonts w:hint="default" w:ascii="Times New Roman" w:hAnsi="Times New Roman" w:eastAsia="宋体" w:cs="Times New Roman"/>
                <w:b/>
                <w:bCs/>
                <w:spacing w:val="-1"/>
                <w:sz w:val="21"/>
                <w:szCs w:val="21"/>
              </w:rPr>
              <w:t>）</w:t>
            </w:r>
          </w:p>
        </w:tc>
      </w:tr>
      <w:tr w14:paraId="7EEECB0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178" w:type="pct"/>
            <w:vMerge w:val="continue"/>
            <w:tcBorders>
              <w:tl2br w:val="nil"/>
              <w:tr2bl w:val="nil"/>
            </w:tcBorders>
            <w:vAlign w:val="center"/>
          </w:tcPr>
          <w:p w14:paraId="50B894C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482" w:type="pct"/>
            <w:vMerge w:val="continue"/>
            <w:tcBorders>
              <w:tl2br w:val="nil"/>
              <w:tr2bl w:val="nil"/>
            </w:tcBorders>
            <w:vAlign w:val="center"/>
          </w:tcPr>
          <w:p w14:paraId="7588DEE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57" w:type="pct"/>
            <w:vMerge w:val="continue"/>
            <w:tcBorders>
              <w:tl2br w:val="nil"/>
              <w:tr2bl w:val="nil"/>
            </w:tcBorders>
            <w:vAlign w:val="center"/>
          </w:tcPr>
          <w:p w14:paraId="69FF57B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357" w:type="pct"/>
            <w:vMerge w:val="continue"/>
            <w:tcBorders>
              <w:tl2br w:val="nil"/>
              <w:tr2bl w:val="nil"/>
            </w:tcBorders>
            <w:vAlign w:val="center"/>
          </w:tcPr>
          <w:p w14:paraId="52376D1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365" w:type="pct"/>
            <w:vMerge w:val="continue"/>
            <w:tcBorders>
              <w:tl2br w:val="nil"/>
              <w:tr2bl w:val="nil"/>
            </w:tcBorders>
            <w:vAlign w:val="center"/>
          </w:tcPr>
          <w:p w14:paraId="422B43E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12" w:type="pct"/>
            <w:tcBorders>
              <w:tl2br w:val="nil"/>
              <w:tr2bl w:val="nil"/>
            </w:tcBorders>
            <w:vAlign w:val="center"/>
          </w:tcPr>
          <w:p w14:paraId="3275AF9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b/>
                <w:bCs/>
                <w:spacing w:val="4"/>
                <w:sz w:val="21"/>
                <w:szCs w:val="21"/>
              </w:rPr>
              <w:t>X,Y,Z</w:t>
            </w:r>
          </w:p>
        </w:tc>
        <w:tc>
          <w:tcPr>
            <w:tcW w:w="591" w:type="pct"/>
            <w:tcBorders>
              <w:tl2br w:val="nil"/>
              <w:tr2bl w:val="nil"/>
            </w:tcBorders>
            <w:vAlign w:val="center"/>
          </w:tcPr>
          <w:p w14:paraId="4D18525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6"/>
                <w:sz w:val="21"/>
                <w:szCs w:val="21"/>
              </w:rPr>
              <w:t>（声压级</w:t>
            </w:r>
            <w:r>
              <w:rPr>
                <w:rFonts w:hint="default" w:ascii="Times New Roman" w:hAnsi="Times New Roman" w:cs="Times New Roman"/>
                <w:b/>
                <w:bCs/>
                <w:spacing w:val="6"/>
                <w:sz w:val="21"/>
                <w:szCs w:val="21"/>
              </w:rPr>
              <w:t>/</w:t>
            </w:r>
            <w:r>
              <w:rPr>
                <w:rFonts w:hint="default" w:ascii="Times New Roman" w:hAnsi="Times New Roman" w:eastAsia="宋体" w:cs="Times New Roman"/>
                <w:b/>
                <w:bCs/>
                <w:spacing w:val="6"/>
                <w:sz w:val="21"/>
                <w:szCs w:val="21"/>
              </w:rPr>
              <w:t>距声源距</w:t>
            </w:r>
            <w:r>
              <w:rPr>
                <w:rFonts w:hint="default" w:ascii="Times New Roman" w:hAnsi="Times New Roman" w:eastAsia="宋体" w:cs="Times New Roman"/>
                <w:b/>
                <w:bCs/>
                <w:spacing w:val="5"/>
                <w:sz w:val="21"/>
                <w:szCs w:val="21"/>
              </w:rPr>
              <w:t>离）</w:t>
            </w:r>
            <w:r>
              <w:rPr>
                <w:rFonts w:hint="default" w:ascii="Times New Roman" w:hAnsi="Times New Roman" w:cs="Times New Roman"/>
                <w:b/>
                <w:bCs/>
                <w:spacing w:val="5"/>
                <w:sz w:val="21"/>
                <w:szCs w:val="21"/>
              </w:rPr>
              <w:t>/</w:t>
            </w:r>
            <w:r>
              <w:rPr>
                <w:rFonts w:hint="default" w:ascii="Times New Roman" w:hAnsi="Times New Roman" w:eastAsia="宋体" w:cs="Times New Roman"/>
                <w:b/>
                <w:bCs/>
                <w:spacing w:val="5"/>
                <w:sz w:val="21"/>
                <w:szCs w:val="21"/>
              </w:rPr>
              <w:t>（</w:t>
            </w:r>
            <w:r>
              <w:rPr>
                <w:rFonts w:hint="default" w:ascii="Times New Roman" w:hAnsi="Times New Roman" w:cs="Times New Roman"/>
                <w:b/>
                <w:bCs/>
                <w:sz w:val="21"/>
                <w:szCs w:val="21"/>
              </w:rPr>
              <w:t>dB</w:t>
            </w:r>
            <w:r>
              <w:rPr>
                <w:rFonts w:hint="eastAsia" w:ascii="Times New Roman" w:hAnsi="Times New Roman" w:eastAsia="宋体" w:cs="Times New Roman"/>
                <w:b/>
                <w:bCs/>
                <w:spacing w:val="5"/>
                <w:sz w:val="21"/>
                <w:szCs w:val="21"/>
                <w:lang w:eastAsia="zh-CN"/>
              </w:rPr>
              <w:t>（</w:t>
            </w:r>
            <w:r>
              <w:rPr>
                <w:rFonts w:hint="default" w:ascii="Times New Roman" w:hAnsi="Times New Roman" w:cs="Times New Roman"/>
                <w:b/>
                <w:bCs/>
                <w:spacing w:val="5"/>
                <w:sz w:val="21"/>
                <w:szCs w:val="21"/>
              </w:rPr>
              <w:t>A)/m</w:t>
            </w:r>
            <w:r>
              <w:rPr>
                <w:rFonts w:hint="default" w:ascii="Times New Roman" w:hAnsi="Times New Roman" w:eastAsia="宋体" w:cs="Times New Roman"/>
                <w:b/>
                <w:bCs/>
                <w:spacing w:val="5"/>
                <w:sz w:val="21"/>
                <w:szCs w:val="21"/>
              </w:rPr>
              <w:t>）</w:t>
            </w:r>
          </w:p>
        </w:tc>
        <w:tc>
          <w:tcPr>
            <w:tcW w:w="368" w:type="pct"/>
            <w:tcBorders>
              <w:tl2br w:val="nil"/>
              <w:tr2bl w:val="nil"/>
            </w:tcBorders>
            <w:vAlign w:val="center"/>
          </w:tcPr>
          <w:p w14:paraId="140E1C9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b/>
                <w:bCs/>
                <w:spacing w:val="5"/>
                <w:sz w:val="21"/>
                <w:szCs w:val="21"/>
              </w:rPr>
              <w:t>声功率级</w:t>
            </w:r>
            <w:r>
              <w:rPr>
                <w:rFonts w:hint="default" w:ascii="Times New Roman" w:hAnsi="Times New Roman" w:cs="Times New Roman"/>
                <w:b/>
                <w:bCs/>
                <w:spacing w:val="6"/>
                <w:sz w:val="21"/>
                <w:szCs w:val="21"/>
              </w:rPr>
              <w:t>/</w:t>
            </w:r>
            <w:r>
              <w:rPr>
                <w:rFonts w:hint="default" w:ascii="Times New Roman" w:hAnsi="Times New Roman" w:cs="Times New Roman"/>
                <w:b/>
                <w:bCs/>
                <w:sz w:val="21"/>
                <w:szCs w:val="21"/>
              </w:rPr>
              <w:t>dB</w:t>
            </w:r>
            <w:r>
              <w:rPr>
                <w:rFonts w:hint="eastAsia" w:ascii="Times New Roman" w:hAnsi="Times New Roman" w:eastAsia="宋体" w:cs="Times New Roman"/>
                <w:b/>
                <w:bCs/>
                <w:spacing w:val="6"/>
                <w:sz w:val="21"/>
                <w:szCs w:val="21"/>
                <w:lang w:eastAsia="zh-CN"/>
              </w:rPr>
              <w:t>（</w:t>
            </w:r>
            <w:r>
              <w:rPr>
                <w:rFonts w:hint="default" w:ascii="Times New Roman" w:hAnsi="Times New Roman" w:cs="Times New Roman"/>
                <w:b/>
                <w:bCs/>
                <w:spacing w:val="6"/>
                <w:sz w:val="21"/>
                <w:szCs w:val="21"/>
              </w:rPr>
              <w:t>A)</w:t>
            </w:r>
          </w:p>
        </w:tc>
        <w:tc>
          <w:tcPr>
            <w:tcW w:w="1018" w:type="pct"/>
            <w:vMerge w:val="continue"/>
            <w:tcBorders>
              <w:tl2br w:val="nil"/>
              <w:tr2bl w:val="nil"/>
            </w:tcBorders>
            <w:vAlign w:val="center"/>
          </w:tcPr>
          <w:p w14:paraId="3843BBC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467" w:type="pct"/>
            <w:vMerge w:val="continue"/>
            <w:tcBorders>
              <w:tl2br w:val="nil"/>
              <w:tr2bl w:val="nil"/>
            </w:tcBorders>
            <w:vAlign w:val="center"/>
          </w:tcPr>
          <w:p w14:paraId="3FD9AD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59CD26F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178" w:type="pct"/>
            <w:tcBorders>
              <w:tl2br w:val="nil"/>
              <w:tr2bl w:val="nil"/>
            </w:tcBorders>
            <w:vAlign w:val="center"/>
          </w:tcPr>
          <w:p w14:paraId="1F1FCF8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1"/>
                <w:sz w:val="21"/>
                <w:szCs w:val="21"/>
              </w:rPr>
              <w:t>1</w:t>
            </w:r>
          </w:p>
        </w:tc>
        <w:tc>
          <w:tcPr>
            <w:tcW w:w="482" w:type="pct"/>
            <w:tcBorders>
              <w:tl2br w:val="nil"/>
              <w:tr2bl w:val="nil"/>
            </w:tcBorders>
            <w:vAlign w:val="center"/>
          </w:tcPr>
          <w:p w14:paraId="74B056F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spacing w:val="2"/>
                <w:position w:val="1"/>
                <w:sz w:val="21"/>
                <w:szCs w:val="21"/>
              </w:rPr>
              <w:t>1#</w:t>
            </w:r>
            <w:r>
              <w:rPr>
                <w:rFonts w:hint="default" w:ascii="Times New Roman" w:hAnsi="Times New Roman" w:eastAsia="宋体" w:cs="Times New Roman"/>
                <w:spacing w:val="2"/>
                <w:position w:val="1"/>
                <w:sz w:val="21"/>
                <w:szCs w:val="21"/>
              </w:rPr>
              <w:t>蛋鸡舍</w:t>
            </w:r>
          </w:p>
        </w:tc>
        <w:tc>
          <w:tcPr>
            <w:tcW w:w="257" w:type="pct"/>
            <w:tcBorders>
              <w:tl2br w:val="nil"/>
              <w:tr2bl w:val="nil"/>
            </w:tcBorders>
            <w:vAlign w:val="center"/>
          </w:tcPr>
          <w:p w14:paraId="3A26411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风机</w:t>
            </w:r>
          </w:p>
        </w:tc>
        <w:tc>
          <w:tcPr>
            <w:tcW w:w="357" w:type="pct"/>
            <w:vMerge w:val="restart"/>
            <w:tcBorders>
              <w:tl2br w:val="nil"/>
              <w:tr2bl w:val="nil"/>
            </w:tcBorders>
            <w:vAlign w:val="center"/>
          </w:tcPr>
          <w:p w14:paraId="7B4D65F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50</w:t>
            </w:r>
            <w:r>
              <w:rPr>
                <w:rFonts w:hint="default" w:ascii="Times New Roman" w:hAnsi="Times New Roman" w:eastAsia="宋体" w:cs="Times New Roman"/>
                <w:spacing w:val="-4"/>
                <w:sz w:val="21"/>
                <w:szCs w:val="21"/>
              </w:rPr>
              <w:t>寸风机，</w:t>
            </w:r>
            <w:r>
              <w:rPr>
                <w:rFonts w:hint="default" w:ascii="Times New Roman" w:hAnsi="Times New Roman" w:eastAsia="宋体" w:cs="Times New Roman"/>
                <w:spacing w:val="1"/>
                <w:sz w:val="21"/>
                <w:szCs w:val="21"/>
              </w:rPr>
              <w:t>电机功率＞</w:t>
            </w:r>
            <w:r>
              <w:rPr>
                <w:rFonts w:hint="default" w:ascii="Times New Roman" w:hAnsi="Times New Roman" w:cs="Times New Roman"/>
                <w:position w:val="2"/>
                <w:sz w:val="21"/>
                <w:szCs w:val="21"/>
              </w:rPr>
              <w:t>1.1</w:t>
            </w:r>
            <w:r>
              <w:rPr>
                <w:rFonts w:hint="default" w:ascii="Times New Roman" w:hAnsi="Times New Roman" w:eastAsia="宋体" w:cs="Times New Roman"/>
                <w:position w:val="2"/>
                <w:sz w:val="21"/>
                <w:szCs w:val="21"/>
                <w:lang w:eastAsia="zh-CN"/>
              </w:rPr>
              <w:t>kW</w:t>
            </w:r>
          </w:p>
        </w:tc>
        <w:tc>
          <w:tcPr>
            <w:tcW w:w="365" w:type="pct"/>
            <w:tcBorders>
              <w:tl2br w:val="nil"/>
              <w:tr2bl w:val="nil"/>
            </w:tcBorders>
            <w:vAlign w:val="center"/>
          </w:tcPr>
          <w:p w14:paraId="7F4D232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6</w:t>
            </w:r>
          </w:p>
        </w:tc>
        <w:tc>
          <w:tcPr>
            <w:tcW w:w="912" w:type="pct"/>
            <w:tcBorders>
              <w:tl2br w:val="nil"/>
              <w:tr2bl w:val="nil"/>
            </w:tcBorders>
            <w:vAlign w:val="center"/>
          </w:tcPr>
          <w:p w14:paraId="3DD4BA9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-22.05,92.13,1</w:t>
            </w:r>
          </w:p>
        </w:tc>
        <w:tc>
          <w:tcPr>
            <w:tcW w:w="591" w:type="pct"/>
            <w:tcBorders>
              <w:tl2br w:val="nil"/>
              <w:tr2bl w:val="nil"/>
            </w:tcBorders>
            <w:vAlign w:val="center"/>
          </w:tcPr>
          <w:p w14:paraId="2B5F17C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68" w:type="pct"/>
            <w:tcBorders>
              <w:tl2br w:val="nil"/>
              <w:tr2bl w:val="nil"/>
            </w:tcBorders>
            <w:vAlign w:val="center"/>
          </w:tcPr>
          <w:p w14:paraId="540E9AF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1018" w:type="pct"/>
            <w:tcBorders>
              <w:tl2br w:val="nil"/>
              <w:tr2bl w:val="nil"/>
            </w:tcBorders>
            <w:vAlign w:val="center"/>
          </w:tcPr>
          <w:p w14:paraId="521658F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加强设备维护、选用低噪声风机</w:t>
            </w:r>
          </w:p>
        </w:tc>
        <w:tc>
          <w:tcPr>
            <w:tcW w:w="467" w:type="pct"/>
            <w:tcBorders>
              <w:tl2br w:val="nil"/>
              <w:tr2bl w:val="nil"/>
            </w:tcBorders>
            <w:vAlign w:val="center"/>
          </w:tcPr>
          <w:p w14:paraId="617E399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position w:val="1"/>
                <w:sz w:val="21"/>
                <w:szCs w:val="21"/>
              </w:rPr>
              <w:t>24</w:t>
            </w:r>
          </w:p>
        </w:tc>
      </w:tr>
      <w:tr w14:paraId="6C759BE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7E80FFA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1"/>
                <w:sz w:val="21"/>
                <w:szCs w:val="21"/>
              </w:rPr>
              <w:t>2</w:t>
            </w:r>
          </w:p>
        </w:tc>
        <w:tc>
          <w:tcPr>
            <w:tcW w:w="482" w:type="pct"/>
            <w:tcBorders>
              <w:tl2br w:val="nil"/>
              <w:tr2bl w:val="nil"/>
            </w:tcBorders>
            <w:vAlign w:val="center"/>
          </w:tcPr>
          <w:p w14:paraId="28FF66B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spacing w:val="6"/>
                <w:position w:val="1"/>
                <w:sz w:val="21"/>
                <w:szCs w:val="21"/>
              </w:rPr>
              <w:t>2#</w:t>
            </w:r>
            <w:r>
              <w:rPr>
                <w:rFonts w:hint="default" w:ascii="Times New Roman" w:hAnsi="Times New Roman" w:eastAsia="宋体" w:cs="Times New Roman"/>
                <w:spacing w:val="6"/>
                <w:position w:val="1"/>
                <w:sz w:val="21"/>
                <w:szCs w:val="21"/>
              </w:rPr>
              <w:t>蛋鸡舍</w:t>
            </w:r>
          </w:p>
        </w:tc>
        <w:tc>
          <w:tcPr>
            <w:tcW w:w="257" w:type="pct"/>
            <w:tcBorders>
              <w:tl2br w:val="nil"/>
              <w:tr2bl w:val="nil"/>
            </w:tcBorders>
            <w:vAlign w:val="center"/>
          </w:tcPr>
          <w:p w14:paraId="1792684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风机</w:t>
            </w:r>
          </w:p>
        </w:tc>
        <w:tc>
          <w:tcPr>
            <w:tcW w:w="357" w:type="pct"/>
            <w:vMerge w:val="continue"/>
            <w:tcBorders>
              <w:tl2br w:val="nil"/>
              <w:tr2bl w:val="nil"/>
            </w:tcBorders>
            <w:vAlign w:val="center"/>
          </w:tcPr>
          <w:p w14:paraId="6B3238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365" w:type="pct"/>
            <w:tcBorders>
              <w:tl2br w:val="nil"/>
              <w:tr2bl w:val="nil"/>
            </w:tcBorders>
            <w:vAlign w:val="center"/>
          </w:tcPr>
          <w:p w14:paraId="5B1BDDE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6</w:t>
            </w:r>
          </w:p>
        </w:tc>
        <w:tc>
          <w:tcPr>
            <w:tcW w:w="912" w:type="pct"/>
            <w:tcBorders>
              <w:tl2br w:val="nil"/>
              <w:tr2bl w:val="nil"/>
            </w:tcBorders>
            <w:vAlign w:val="center"/>
          </w:tcPr>
          <w:p w14:paraId="56FA233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-21.62,74.97,1</w:t>
            </w:r>
          </w:p>
        </w:tc>
        <w:tc>
          <w:tcPr>
            <w:tcW w:w="591" w:type="pct"/>
            <w:tcBorders>
              <w:tl2br w:val="nil"/>
              <w:tr2bl w:val="nil"/>
            </w:tcBorders>
            <w:vAlign w:val="center"/>
          </w:tcPr>
          <w:p w14:paraId="39ABB7A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68" w:type="pct"/>
            <w:tcBorders>
              <w:tl2br w:val="nil"/>
              <w:tr2bl w:val="nil"/>
            </w:tcBorders>
            <w:vAlign w:val="center"/>
          </w:tcPr>
          <w:p w14:paraId="5708CC5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1018" w:type="pct"/>
            <w:tcBorders>
              <w:tl2br w:val="nil"/>
              <w:tr2bl w:val="nil"/>
            </w:tcBorders>
            <w:vAlign w:val="center"/>
          </w:tcPr>
          <w:p w14:paraId="656C45A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加强设备维护、选用低噪声风机</w:t>
            </w:r>
          </w:p>
        </w:tc>
        <w:tc>
          <w:tcPr>
            <w:tcW w:w="467" w:type="pct"/>
            <w:tcBorders>
              <w:tl2br w:val="nil"/>
              <w:tr2bl w:val="nil"/>
            </w:tcBorders>
            <w:vAlign w:val="center"/>
          </w:tcPr>
          <w:p w14:paraId="1B489DB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position w:val="1"/>
                <w:sz w:val="21"/>
                <w:szCs w:val="21"/>
              </w:rPr>
              <w:t>24</w:t>
            </w:r>
          </w:p>
        </w:tc>
      </w:tr>
      <w:tr w14:paraId="4BD8A97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0D3C75A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3</w:t>
            </w:r>
          </w:p>
        </w:tc>
        <w:tc>
          <w:tcPr>
            <w:tcW w:w="482" w:type="pct"/>
            <w:tcBorders>
              <w:tl2br w:val="nil"/>
              <w:tr2bl w:val="nil"/>
            </w:tcBorders>
            <w:vAlign w:val="center"/>
          </w:tcPr>
          <w:p w14:paraId="6AD003E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spacing w:val="5"/>
                <w:position w:val="1"/>
                <w:sz w:val="21"/>
                <w:szCs w:val="21"/>
              </w:rPr>
              <w:t>3#</w:t>
            </w:r>
            <w:r>
              <w:rPr>
                <w:rFonts w:hint="default" w:ascii="Times New Roman" w:hAnsi="Times New Roman" w:eastAsia="宋体" w:cs="Times New Roman"/>
                <w:spacing w:val="5"/>
                <w:position w:val="1"/>
                <w:sz w:val="21"/>
                <w:szCs w:val="21"/>
              </w:rPr>
              <w:t>蛋鸡舍</w:t>
            </w:r>
          </w:p>
        </w:tc>
        <w:tc>
          <w:tcPr>
            <w:tcW w:w="257" w:type="pct"/>
            <w:tcBorders>
              <w:tl2br w:val="nil"/>
              <w:tr2bl w:val="nil"/>
            </w:tcBorders>
            <w:vAlign w:val="center"/>
          </w:tcPr>
          <w:p w14:paraId="7B4A927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风机</w:t>
            </w:r>
          </w:p>
        </w:tc>
        <w:tc>
          <w:tcPr>
            <w:tcW w:w="357" w:type="pct"/>
            <w:vMerge w:val="continue"/>
            <w:tcBorders>
              <w:tl2br w:val="nil"/>
              <w:tr2bl w:val="nil"/>
            </w:tcBorders>
            <w:vAlign w:val="center"/>
          </w:tcPr>
          <w:p w14:paraId="7BB25E7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365" w:type="pct"/>
            <w:tcBorders>
              <w:tl2br w:val="nil"/>
              <w:tr2bl w:val="nil"/>
            </w:tcBorders>
            <w:vAlign w:val="center"/>
          </w:tcPr>
          <w:p w14:paraId="3FE5F22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6</w:t>
            </w:r>
          </w:p>
        </w:tc>
        <w:tc>
          <w:tcPr>
            <w:tcW w:w="912" w:type="pct"/>
            <w:tcBorders>
              <w:tl2br w:val="nil"/>
              <w:tr2bl w:val="nil"/>
            </w:tcBorders>
            <w:vAlign w:val="center"/>
          </w:tcPr>
          <w:p w14:paraId="70EACFF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-21.4,60.63,1</w:t>
            </w:r>
          </w:p>
        </w:tc>
        <w:tc>
          <w:tcPr>
            <w:tcW w:w="591" w:type="pct"/>
            <w:tcBorders>
              <w:tl2br w:val="nil"/>
              <w:tr2bl w:val="nil"/>
            </w:tcBorders>
            <w:vAlign w:val="center"/>
          </w:tcPr>
          <w:p w14:paraId="0AA71BB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68" w:type="pct"/>
            <w:tcBorders>
              <w:tl2br w:val="nil"/>
              <w:tr2bl w:val="nil"/>
            </w:tcBorders>
            <w:vAlign w:val="center"/>
          </w:tcPr>
          <w:p w14:paraId="50234D6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1018" w:type="pct"/>
            <w:tcBorders>
              <w:tl2br w:val="nil"/>
              <w:tr2bl w:val="nil"/>
            </w:tcBorders>
            <w:vAlign w:val="center"/>
          </w:tcPr>
          <w:p w14:paraId="6A062CD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加强设备维护、选用低噪声风机</w:t>
            </w:r>
          </w:p>
        </w:tc>
        <w:tc>
          <w:tcPr>
            <w:tcW w:w="467" w:type="pct"/>
            <w:tcBorders>
              <w:tl2br w:val="nil"/>
              <w:tr2bl w:val="nil"/>
            </w:tcBorders>
            <w:vAlign w:val="center"/>
          </w:tcPr>
          <w:p w14:paraId="298F036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position w:val="1"/>
                <w:sz w:val="21"/>
                <w:szCs w:val="21"/>
              </w:rPr>
              <w:t>24</w:t>
            </w:r>
          </w:p>
        </w:tc>
      </w:tr>
      <w:tr w14:paraId="55E3295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178" w:type="pct"/>
            <w:tcBorders>
              <w:tl2br w:val="nil"/>
              <w:tr2bl w:val="nil"/>
            </w:tcBorders>
            <w:vAlign w:val="center"/>
          </w:tcPr>
          <w:p w14:paraId="3BE2711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position w:val="1"/>
                <w:sz w:val="21"/>
                <w:szCs w:val="21"/>
              </w:rPr>
              <w:t>4</w:t>
            </w:r>
          </w:p>
        </w:tc>
        <w:tc>
          <w:tcPr>
            <w:tcW w:w="482" w:type="pct"/>
            <w:tcBorders>
              <w:tl2br w:val="nil"/>
              <w:tr2bl w:val="nil"/>
            </w:tcBorders>
            <w:vAlign w:val="center"/>
          </w:tcPr>
          <w:p w14:paraId="6A2AE7D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spacing w:val="6"/>
                <w:position w:val="1"/>
                <w:sz w:val="21"/>
                <w:szCs w:val="21"/>
              </w:rPr>
              <w:t>4#</w:t>
            </w:r>
            <w:r>
              <w:rPr>
                <w:rFonts w:hint="default" w:ascii="Times New Roman" w:hAnsi="Times New Roman" w:eastAsia="宋体" w:cs="Times New Roman"/>
                <w:spacing w:val="6"/>
                <w:position w:val="1"/>
                <w:sz w:val="21"/>
                <w:szCs w:val="21"/>
              </w:rPr>
              <w:t>蛋鸡舍</w:t>
            </w:r>
          </w:p>
        </w:tc>
        <w:tc>
          <w:tcPr>
            <w:tcW w:w="257" w:type="pct"/>
            <w:tcBorders>
              <w:tl2br w:val="nil"/>
              <w:tr2bl w:val="nil"/>
            </w:tcBorders>
            <w:vAlign w:val="center"/>
          </w:tcPr>
          <w:p w14:paraId="22ED97D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风机</w:t>
            </w:r>
          </w:p>
        </w:tc>
        <w:tc>
          <w:tcPr>
            <w:tcW w:w="357" w:type="pct"/>
            <w:vMerge w:val="continue"/>
            <w:tcBorders>
              <w:tl2br w:val="nil"/>
              <w:tr2bl w:val="nil"/>
            </w:tcBorders>
            <w:vAlign w:val="center"/>
          </w:tcPr>
          <w:p w14:paraId="514EBAC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365" w:type="pct"/>
            <w:tcBorders>
              <w:tl2br w:val="nil"/>
              <w:tr2bl w:val="nil"/>
            </w:tcBorders>
            <w:vAlign w:val="center"/>
          </w:tcPr>
          <w:p w14:paraId="2A73CCB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6</w:t>
            </w:r>
          </w:p>
        </w:tc>
        <w:tc>
          <w:tcPr>
            <w:tcW w:w="912" w:type="pct"/>
            <w:tcBorders>
              <w:tl2br w:val="nil"/>
              <w:tr2bl w:val="nil"/>
            </w:tcBorders>
            <w:vAlign w:val="center"/>
          </w:tcPr>
          <w:p w14:paraId="0D9273F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-21.83,43.9,1</w:t>
            </w:r>
          </w:p>
        </w:tc>
        <w:tc>
          <w:tcPr>
            <w:tcW w:w="591" w:type="pct"/>
            <w:tcBorders>
              <w:tl2br w:val="nil"/>
              <w:tr2bl w:val="nil"/>
            </w:tcBorders>
            <w:vAlign w:val="center"/>
          </w:tcPr>
          <w:p w14:paraId="0F2A5B8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68" w:type="pct"/>
            <w:tcBorders>
              <w:tl2br w:val="nil"/>
              <w:tr2bl w:val="nil"/>
            </w:tcBorders>
            <w:vAlign w:val="center"/>
          </w:tcPr>
          <w:p w14:paraId="57CBDEA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1018" w:type="pct"/>
            <w:tcBorders>
              <w:tl2br w:val="nil"/>
              <w:tr2bl w:val="nil"/>
            </w:tcBorders>
            <w:vAlign w:val="center"/>
          </w:tcPr>
          <w:p w14:paraId="3B543A0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加强设备维护、选用低噪声风机</w:t>
            </w:r>
          </w:p>
        </w:tc>
        <w:tc>
          <w:tcPr>
            <w:tcW w:w="467" w:type="pct"/>
            <w:tcBorders>
              <w:tl2br w:val="nil"/>
              <w:tr2bl w:val="nil"/>
            </w:tcBorders>
            <w:vAlign w:val="center"/>
          </w:tcPr>
          <w:p w14:paraId="2E29155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position w:val="1"/>
                <w:sz w:val="21"/>
                <w:szCs w:val="21"/>
              </w:rPr>
              <w:t>24</w:t>
            </w:r>
          </w:p>
        </w:tc>
      </w:tr>
      <w:tr w14:paraId="51A885F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3603AC4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482" w:type="pct"/>
            <w:tcBorders>
              <w:tl2br w:val="nil"/>
              <w:tr2bl w:val="nil"/>
            </w:tcBorders>
            <w:vAlign w:val="center"/>
          </w:tcPr>
          <w:p w14:paraId="5CC7F72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spacing w:val="5"/>
                <w:position w:val="1"/>
                <w:sz w:val="21"/>
                <w:szCs w:val="21"/>
              </w:rPr>
              <w:t>5#</w:t>
            </w:r>
            <w:r>
              <w:rPr>
                <w:rFonts w:hint="default" w:ascii="Times New Roman" w:hAnsi="Times New Roman" w:eastAsia="宋体" w:cs="Times New Roman"/>
                <w:spacing w:val="5"/>
                <w:position w:val="1"/>
                <w:sz w:val="21"/>
                <w:szCs w:val="21"/>
              </w:rPr>
              <w:t>蛋鸡舍</w:t>
            </w:r>
          </w:p>
        </w:tc>
        <w:tc>
          <w:tcPr>
            <w:tcW w:w="257" w:type="pct"/>
            <w:tcBorders>
              <w:tl2br w:val="nil"/>
              <w:tr2bl w:val="nil"/>
            </w:tcBorders>
            <w:vAlign w:val="center"/>
          </w:tcPr>
          <w:p w14:paraId="6978743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风机</w:t>
            </w:r>
          </w:p>
        </w:tc>
        <w:tc>
          <w:tcPr>
            <w:tcW w:w="357" w:type="pct"/>
            <w:vMerge w:val="continue"/>
            <w:tcBorders>
              <w:tl2br w:val="nil"/>
              <w:tr2bl w:val="nil"/>
            </w:tcBorders>
            <w:vAlign w:val="center"/>
          </w:tcPr>
          <w:p w14:paraId="6FEE21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365" w:type="pct"/>
            <w:tcBorders>
              <w:tl2br w:val="nil"/>
              <w:tr2bl w:val="nil"/>
            </w:tcBorders>
            <w:vAlign w:val="center"/>
          </w:tcPr>
          <w:p w14:paraId="26095DB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6</w:t>
            </w:r>
          </w:p>
        </w:tc>
        <w:tc>
          <w:tcPr>
            <w:tcW w:w="912" w:type="pct"/>
            <w:tcBorders>
              <w:tl2br w:val="nil"/>
              <w:tr2bl w:val="nil"/>
            </w:tcBorders>
            <w:vAlign w:val="center"/>
          </w:tcPr>
          <w:p w14:paraId="7224E44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-21.62,28.7,1</w:t>
            </w:r>
          </w:p>
        </w:tc>
        <w:tc>
          <w:tcPr>
            <w:tcW w:w="591" w:type="pct"/>
            <w:tcBorders>
              <w:tl2br w:val="nil"/>
              <w:tr2bl w:val="nil"/>
            </w:tcBorders>
            <w:vAlign w:val="center"/>
          </w:tcPr>
          <w:p w14:paraId="7DEC148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68" w:type="pct"/>
            <w:tcBorders>
              <w:tl2br w:val="nil"/>
              <w:tr2bl w:val="nil"/>
            </w:tcBorders>
            <w:vAlign w:val="center"/>
          </w:tcPr>
          <w:p w14:paraId="6E290B7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1018" w:type="pct"/>
            <w:tcBorders>
              <w:tl2br w:val="nil"/>
              <w:tr2bl w:val="nil"/>
            </w:tcBorders>
            <w:vAlign w:val="center"/>
          </w:tcPr>
          <w:p w14:paraId="1D81DA0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加强设备维护、选用低噪声风机</w:t>
            </w:r>
          </w:p>
        </w:tc>
        <w:tc>
          <w:tcPr>
            <w:tcW w:w="467" w:type="pct"/>
            <w:tcBorders>
              <w:tl2br w:val="nil"/>
              <w:tr2bl w:val="nil"/>
            </w:tcBorders>
            <w:vAlign w:val="center"/>
          </w:tcPr>
          <w:p w14:paraId="4D10BF1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position w:val="1"/>
                <w:sz w:val="21"/>
                <w:szCs w:val="21"/>
              </w:rPr>
              <w:t>24</w:t>
            </w:r>
          </w:p>
        </w:tc>
      </w:tr>
      <w:tr w14:paraId="3B10BC6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77B05A5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6</w:t>
            </w:r>
          </w:p>
        </w:tc>
        <w:tc>
          <w:tcPr>
            <w:tcW w:w="482" w:type="pct"/>
            <w:tcBorders>
              <w:tl2br w:val="nil"/>
              <w:tr2bl w:val="nil"/>
            </w:tcBorders>
            <w:vAlign w:val="center"/>
          </w:tcPr>
          <w:p w14:paraId="2391EDB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spacing w:val="5"/>
                <w:position w:val="1"/>
                <w:sz w:val="21"/>
                <w:szCs w:val="21"/>
              </w:rPr>
              <w:t>6#</w:t>
            </w:r>
            <w:r>
              <w:rPr>
                <w:rFonts w:hint="default" w:ascii="Times New Roman" w:hAnsi="Times New Roman" w:eastAsia="宋体" w:cs="Times New Roman"/>
                <w:spacing w:val="5"/>
                <w:position w:val="1"/>
                <w:sz w:val="21"/>
                <w:szCs w:val="21"/>
              </w:rPr>
              <w:t>蛋鸡舍</w:t>
            </w:r>
          </w:p>
        </w:tc>
        <w:tc>
          <w:tcPr>
            <w:tcW w:w="257" w:type="pct"/>
            <w:tcBorders>
              <w:tl2br w:val="nil"/>
              <w:tr2bl w:val="nil"/>
            </w:tcBorders>
            <w:vAlign w:val="center"/>
          </w:tcPr>
          <w:p w14:paraId="27675E4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风机</w:t>
            </w:r>
          </w:p>
        </w:tc>
        <w:tc>
          <w:tcPr>
            <w:tcW w:w="357" w:type="pct"/>
            <w:vMerge w:val="continue"/>
            <w:tcBorders>
              <w:tl2br w:val="nil"/>
              <w:tr2bl w:val="nil"/>
            </w:tcBorders>
            <w:vAlign w:val="center"/>
          </w:tcPr>
          <w:p w14:paraId="2221734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365" w:type="pct"/>
            <w:tcBorders>
              <w:tl2br w:val="nil"/>
              <w:tr2bl w:val="nil"/>
            </w:tcBorders>
            <w:vAlign w:val="center"/>
          </w:tcPr>
          <w:p w14:paraId="503EEBB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6</w:t>
            </w:r>
          </w:p>
        </w:tc>
        <w:tc>
          <w:tcPr>
            <w:tcW w:w="912" w:type="pct"/>
            <w:tcBorders>
              <w:tl2br w:val="nil"/>
              <w:tr2bl w:val="nil"/>
            </w:tcBorders>
            <w:vAlign w:val="center"/>
          </w:tcPr>
          <w:p w14:paraId="33B8075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-21.83,13.71,1</w:t>
            </w:r>
          </w:p>
        </w:tc>
        <w:tc>
          <w:tcPr>
            <w:tcW w:w="591" w:type="pct"/>
            <w:tcBorders>
              <w:tl2br w:val="nil"/>
              <w:tr2bl w:val="nil"/>
            </w:tcBorders>
            <w:vAlign w:val="center"/>
          </w:tcPr>
          <w:p w14:paraId="5774E10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68" w:type="pct"/>
            <w:tcBorders>
              <w:tl2br w:val="nil"/>
              <w:tr2bl w:val="nil"/>
            </w:tcBorders>
            <w:vAlign w:val="center"/>
          </w:tcPr>
          <w:p w14:paraId="55F3EB0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1018" w:type="pct"/>
            <w:tcBorders>
              <w:tl2br w:val="nil"/>
              <w:tr2bl w:val="nil"/>
            </w:tcBorders>
            <w:vAlign w:val="center"/>
          </w:tcPr>
          <w:p w14:paraId="274D4D7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加强设备维护、选用低噪声风机</w:t>
            </w:r>
          </w:p>
        </w:tc>
        <w:tc>
          <w:tcPr>
            <w:tcW w:w="467" w:type="pct"/>
            <w:tcBorders>
              <w:tl2br w:val="nil"/>
              <w:tr2bl w:val="nil"/>
            </w:tcBorders>
            <w:vAlign w:val="center"/>
          </w:tcPr>
          <w:p w14:paraId="501CEA5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position w:val="1"/>
                <w:sz w:val="21"/>
                <w:szCs w:val="21"/>
              </w:rPr>
              <w:t>24</w:t>
            </w:r>
          </w:p>
        </w:tc>
      </w:tr>
      <w:tr w14:paraId="2020871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8" w:type="pct"/>
            <w:tcBorders>
              <w:tl2br w:val="nil"/>
              <w:tr2bl w:val="nil"/>
            </w:tcBorders>
            <w:vAlign w:val="center"/>
          </w:tcPr>
          <w:p w14:paraId="07542A9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482" w:type="pct"/>
            <w:tcBorders>
              <w:tl2br w:val="nil"/>
              <w:tr2bl w:val="nil"/>
            </w:tcBorders>
            <w:shd w:val="clear" w:color="auto" w:fill="auto"/>
            <w:vAlign w:val="center"/>
          </w:tcPr>
          <w:p w14:paraId="4C414FB1">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cs="Times New Roman"/>
                <w:spacing w:val="2"/>
                <w:position w:val="1"/>
                <w:sz w:val="21"/>
                <w:szCs w:val="21"/>
              </w:rPr>
              <w:t>1#</w:t>
            </w:r>
            <w:r>
              <w:rPr>
                <w:rFonts w:hint="default" w:ascii="Times New Roman" w:hAnsi="Times New Roman" w:eastAsia="宋体" w:cs="Times New Roman"/>
                <w:spacing w:val="2"/>
                <w:position w:val="1"/>
                <w:sz w:val="21"/>
                <w:szCs w:val="21"/>
              </w:rPr>
              <w:t>育雏舍</w:t>
            </w:r>
          </w:p>
        </w:tc>
        <w:tc>
          <w:tcPr>
            <w:tcW w:w="257" w:type="pct"/>
            <w:tcBorders>
              <w:tl2br w:val="nil"/>
              <w:tr2bl w:val="nil"/>
            </w:tcBorders>
            <w:shd w:val="clear" w:color="auto" w:fill="auto"/>
            <w:vAlign w:val="center"/>
          </w:tcPr>
          <w:p w14:paraId="19EC51A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pacing w:val="4"/>
                <w:sz w:val="21"/>
                <w:szCs w:val="21"/>
              </w:rPr>
              <w:t>风机</w:t>
            </w:r>
          </w:p>
        </w:tc>
        <w:tc>
          <w:tcPr>
            <w:tcW w:w="357" w:type="pct"/>
            <w:vMerge w:val="continue"/>
            <w:tcBorders>
              <w:tl2br w:val="nil"/>
              <w:tr2bl w:val="nil"/>
            </w:tcBorders>
            <w:shd w:val="clear" w:color="auto" w:fill="auto"/>
            <w:vAlign w:val="center"/>
          </w:tcPr>
          <w:p w14:paraId="73F616D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365" w:type="pct"/>
            <w:tcBorders>
              <w:tl2br w:val="nil"/>
              <w:tr2bl w:val="nil"/>
            </w:tcBorders>
            <w:shd w:val="clear" w:color="auto" w:fill="auto"/>
            <w:vAlign w:val="center"/>
          </w:tcPr>
          <w:p w14:paraId="3B080268">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cs="Times New Roman"/>
                <w:position w:val="2"/>
                <w:sz w:val="21"/>
                <w:szCs w:val="21"/>
              </w:rPr>
              <w:t>8</w:t>
            </w:r>
          </w:p>
        </w:tc>
        <w:tc>
          <w:tcPr>
            <w:tcW w:w="912" w:type="pct"/>
            <w:tcBorders>
              <w:tl2br w:val="nil"/>
              <w:tr2bl w:val="nil"/>
            </w:tcBorders>
            <w:shd w:val="clear" w:color="auto" w:fill="auto"/>
            <w:vAlign w:val="center"/>
          </w:tcPr>
          <w:p w14:paraId="11F3543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-33.02,-82.05,1</w:t>
            </w:r>
          </w:p>
        </w:tc>
        <w:tc>
          <w:tcPr>
            <w:tcW w:w="591" w:type="pct"/>
            <w:tcBorders>
              <w:tl2br w:val="nil"/>
              <w:tr2bl w:val="nil"/>
            </w:tcBorders>
            <w:shd w:val="clear" w:color="auto" w:fill="auto"/>
            <w:vAlign w:val="center"/>
          </w:tcPr>
          <w:p w14:paraId="6B2CA14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w:t>
            </w:r>
          </w:p>
        </w:tc>
        <w:tc>
          <w:tcPr>
            <w:tcW w:w="368" w:type="pct"/>
            <w:tcBorders>
              <w:tl2br w:val="nil"/>
              <w:tr2bl w:val="nil"/>
            </w:tcBorders>
            <w:shd w:val="clear" w:color="auto" w:fill="auto"/>
            <w:vAlign w:val="center"/>
          </w:tcPr>
          <w:p w14:paraId="18D13D5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64</w:t>
            </w:r>
          </w:p>
        </w:tc>
        <w:tc>
          <w:tcPr>
            <w:tcW w:w="1018" w:type="pct"/>
            <w:tcBorders>
              <w:tl2br w:val="nil"/>
              <w:tr2bl w:val="nil"/>
            </w:tcBorders>
            <w:shd w:val="clear" w:color="auto" w:fill="auto"/>
            <w:vAlign w:val="center"/>
          </w:tcPr>
          <w:p w14:paraId="549BAA3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pacing w:val="9"/>
                <w:sz w:val="21"/>
                <w:szCs w:val="21"/>
              </w:rPr>
              <w:t>加强设备维护、选用低噪声风机</w:t>
            </w:r>
          </w:p>
        </w:tc>
        <w:tc>
          <w:tcPr>
            <w:tcW w:w="467" w:type="pct"/>
            <w:tcBorders>
              <w:tl2br w:val="nil"/>
              <w:tr2bl w:val="nil"/>
            </w:tcBorders>
            <w:shd w:val="clear" w:color="auto" w:fill="auto"/>
            <w:vAlign w:val="center"/>
          </w:tcPr>
          <w:p w14:paraId="423F3E11">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cs="Times New Roman"/>
                <w:spacing w:val="2"/>
                <w:position w:val="1"/>
                <w:sz w:val="21"/>
                <w:szCs w:val="21"/>
              </w:rPr>
              <w:t>24</w:t>
            </w:r>
          </w:p>
        </w:tc>
      </w:tr>
      <w:tr w14:paraId="1A94397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3CF5610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position w:val="2"/>
                <w:sz w:val="21"/>
                <w:szCs w:val="21"/>
              </w:rPr>
              <w:t>8</w:t>
            </w:r>
          </w:p>
        </w:tc>
        <w:tc>
          <w:tcPr>
            <w:tcW w:w="482" w:type="pct"/>
            <w:tcBorders>
              <w:tl2br w:val="nil"/>
              <w:tr2bl w:val="nil"/>
            </w:tcBorders>
            <w:shd w:val="clear" w:color="auto" w:fill="auto"/>
            <w:vAlign w:val="center"/>
          </w:tcPr>
          <w:p w14:paraId="7AE11960">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cs="Times New Roman"/>
                <w:spacing w:val="6"/>
                <w:position w:val="1"/>
                <w:sz w:val="21"/>
                <w:szCs w:val="21"/>
              </w:rPr>
              <w:t>2#</w:t>
            </w:r>
            <w:r>
              <w:rPr>
                <w:rFonts w:hint="default" w:ascii="Times New Roman" w:hAnsi="Times New Roman" w:eastAsia="宋体" w:cs="Times New Roman"/>
                <w:spacing w:val="6"/>
                <w:position w:val="1"/>
                <w:sz w:val="21"/>
                <w:szCs w:val="21"/>
              </w:rPr>
              <w:t>育雏舍</w:t>
            </w:r>
          </w:p>
        </w:tc>
        <w:tc>
          <w:tcPr>
            <w:tcW w:w="257" w:type="pct"/>
            <w:tcBorders>
              <w:tl2br w:val="nil"/>
              <w:tr2bl w:val="nil"/>
            </w:tcBorders>
            <w:shd w:val="clear" w:color="auto" w:fill="auto"/>
            <w:vAlign w:val="center"/>
          </w:tcPr>
          <w:p w14:paraId="19701C3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pacing w:val="4"/>
                <w:sz w:val="21"/>
                <w:szCs w:val="21"/>
              </w:rPr>
              <w:t>风机</w:t>
            </w:r>
          </w:p>
        </w:tc>
        <w:tc>
          <w:tcPr>
            <w:tcW w:w="357" w:type="pct"/>
            <w:vMerge w:val="continue"/>
            <w:tcBorders>
              <w:tl2br w:val="nil"/>
              <w:tr2bl w:val="nil"/>
            </w:tcBorders>
            <w:vAlign w:val="center"/>
          </w:tcPr>
          <w:p w14:paraId="18EE1B4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365" w:type="pct"/>
            <w:tcBorders>
              <w:tl2br w:val="nil"/>
              <w:tr2bl w:val="nil"/>
            </w:tcBorders>
            <w:shd w:val="clear" w:color="auto" w:fill="auto"/>
            <w:vAlign w:val="center"/>
          </w:tcPr>
          <w:p w14:paraId="7A386756">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cs="Times New Roman"/>
                <w:position w:val="2"/>
                <w:sz w:val="21"/>
                <w:szCs w:val="21"/>
              </w:rPr>
              <w:t>8</w:t>
            </w:r>
          </w:p>
        </w:tc>
        <w:tc>
          <w:tcPr>
            <w:tcW w:w="912" w:type="pct"/>
            <w:tcBorders>
              <w:tl2br w:val="nil"/>
              <w:tr2bl w:val="nil"/>
            </w:tcBorders>
            <w:shd w:val="clear" w:color="auto" w:fill="auto"/>
            <w:vAlign w:val="center"/>
          </w:tcPr>
          <w:p w14:paraId="5DAF1C2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-33.61,-97.31,1</w:t>
            </w:r>
          </w:p>
        </w:tc>
        <w:tc>
          <w:tcPr>
            <w:tcW w:w="591" w:type="pct"/>
            <w:tcBorders>
              <w:tl2br w:val="nil"/>
              <w:tr2bl w:val="nil"/>
            </w:tcBorders>
            <w:shd w:val="clear" w:color="auto" w:fill="auto"/>
            <w:vAlign w:val="center"/>
          </w:tcPr>
          <w:p w14:paraId="4D55C69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w:t>
            </w:r>
          </w:p>
        </w:tc>
        <w:tc>
          <w:tcPr>
            <w:tcW w:w="368" w:type="pct"/>
            <w:tcBorders>
              <w:tl2br w:val="nil"/>
              <w:tr2bl w:val="nil"/>
            </w:tcBorders>
            <w:shd w:val="clear" w:color="auto" w:fill="auto"/>
            <w:vAlign w:val="center"/>
          </w:tcPr>
          <w:p w14:paraId="60E6769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64</w:t>
            </w:r>
          </w:p>
        </w:tc>
        <w:tc>
          <w:tcPr>
            <w:tcW w:w="1018" w:type="pct"/>
            <w:tcBorders>
              <w:tl2br w:val="nil"/>
              <w:tr2bl w:val="nil"/>
            </w:tcBorders>
            <w:shd w:val="clear" w:color="auto" w:fill="auto"/>
            <w:vAlign w:val="center"/>
          </w:tcPr>
          <w:p w14:paraId="1A7EF2E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000000"/>
                <w:kern w:val="0"/>
                <w:sz w:val="21"/>
                <w:szCs w:val="21"/>
                <w:lang w:val="en-US" w:eastAsia="en-US" w:bidi="ar-SA"/>
              </w:rPr>
            </w:pPr>
            <w:r>
              <w:rPr>
                <w:rFonts w:hint="default" w:ascii="Times New Roman" w:hAnsi="Times New Roman" w:eastAsia="宋体" w:cs="Times New Roman"/>
                <w:spacing w:val="9"/>
                <w:sz w:val="21"/>
                <w:szCs w:val="21"/>
              </w:rPr>
              <w:t>加强设备维护、选用低噪声风机</w:t>
            </w:r>
          </w:p>
        </w:tc>
        <w:tc>
          <w:tcPr>
            <w:tcW w:w="467" w:type="pct"/>
            <w:tcBorders>
              <w:tl2br w:val="nil"/>
              <w:tr2bl w:val="nil"/>
            </w:tcBorders>
            <w:shd w:val="clear" w:color="auto" w:fill="auto"/>
            <w:vAlign w:val="center"/>
          </w:tcPr>
          <w:p w14:paraId="1409DC93">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Times New Roman" w:cs="Times New Roman"/>
                <w:snapToGrid w:val="0"/>
                <w:color w:val="000000"/>
                <w:kern w:val="0"/>
                <w:sz w:val="21"/>
                <w:szCs w:val="21"/>
                <w:lang w:val="en-US" w:eastAsia="en-US" w:bidi="ar-SA"/>
              </w:rPr>
            </w:pPr>
            <w:r>
              <w:rPr>
                <w:rFonts w:hint="default" w:ascii="Times New Roman" w:hAnsi="Times New Roman" w:cs="Times New Roman"/>
                <w:spacing w:val="2"/>
                <w:position w:val="1"/>
                <w:sz w:val="21"/>
                <w:szCs w:val="21"/>
              </w:rPr>
              <w:t>24</w:t>
            </w:r>
          </w:p>
        </w:tc>
      </w:tr>
    </w:tbl>
    <w:p w14:paraId="7302A11A">
      <w:pPr>
        <w:pStyle w:val="14"/>
        <w:spacing w:before="36" w:line="212" w:lineRule="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表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STYLEREF 2 \s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3.5</w:t>
      </w:r>
      <w:r>
        <w:rPr>
          <w:rFonts w:hint="default" w:ascii="Times New Roman" w:hAnsi="Times New Roman" w:cs="Times New Roman"/>
          <w:sz w:val="21"/>
          <w:szCs w:val="21"/>
        </w:rPr>
        <w:fldChar w:fldCharType="end"/>
      </w:r>
      <w:r>
        <w:rPr>
          <w:rFonts w:hint="default" w:ascii="Times New Roman" w:hAnsi="Times New Roman" w:cs="Times New Roman"/>
          <w:sz w:val="21"/>
          <w:szCs w:val="21"/>
          <w:lang w:eastAsia="zh-CN"/>
        </w:rPr>
        <w:t>-</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SEQ 表 \* ARABIC \s 2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10</w:t>
      </w:r>
      <w:r>
        <w:rPr>
          <w:rFonts w:hint="default" w:ascii="Times New Roman" w:hAnsi="Times New Roman" w:cs="Times New Roman"/>
          <w:sz w:val="21"/>
          <w:szCs w:val="21"/>
        </w:rPr>
        <w:fldChar w:fldCharType="end"/>
      </w:r>
      <w:r>
        <w:rPr>
          <w:rFonts w:hint="default" w:ascii="Times New Roman" w:hAnsi="Times New Roman" w:eastAsia="宋体" w:cs="Times New Roman"/>
          <w:b/>
          <w:bCs/>
          <w:spacing w:val="-2"/>
          <w:sz w:val="21"/>
          <w:szCs w:val="21"/>
        </w:rPr>
        <w:t>项目工业企业噪声源强调查清单（室内声源）</w:t>
      </w:r>
    </w:p>
    <w:tbl>
      <w:tblPr>
        <w:tblStyle w:val="76"/>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
        <w:gridCol w:w="195"/>
        <w:gridCol w:w="374"/>
        <w:gridCol w:w="440"/>
        <w:gridCol w:w="1177"/>
        <w:gridCol w:w="614"/>
        <w:gridCol w:w="1097"/>
        <w:gridCol w:w="1312"/>
        <w:gridCol w:w="330"/>
        <w:gridCol w:w="609"/>
        <w:gridCol w:w="582"/>
        <w:gridCol w:w="542"/>
        <w:gridCol w:w="434"/>
        <w:gridCol w:w="387"/>
      </w:tblGrid>
      <w:tr w14:paraId="65AD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3" w:type="pct"/>
            <w:vMerge w:val="restart"/>
            <w:tcBorders>
              <w:bottom w:val="nil"/>
            </w:tcBorders>
            <w:vAlign w:val="center"/>
          </w:tcPr>
          <w:p w14:paraId="52E509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序号</w:t>
            </w:r>
          </w:p>
        </w:tc>
        <w:tc>
          <w:tcPr>
            <w:tcW w:w="117" w:type="pct"/>
            <w:vMerge w:val="restart"/>
            <w:tcBorders>
              <w:bottom w:val="nil"/>
            </w:tcBorders>
            <w:vAlign w:val="center"/>
          </w:tcPr>
          <w:p w14:paraId="2182190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声源名</w:t>
            </w:r>
            <w:r>
              <w:rPr>
                <w:rFonts w:hint="default" w:ascii="Times New Roman" w:hAnsi="Times New Roman" w:eastAsia="宋体" w:cs="Times New Roman"/>
                <w:sz w:val="21"/>
                <w:szCs w:val="21"/>
              </w:rPr>
              <w:t xml:space="preserve"> </w:t>
            </w:r>
            <w:r>
              <w:rPr>
                <w:rFonts w:hint="default" w:ascii="Times New Roman" w:hAnsi="Times New Roman" w:eastAsia="宋体" w:cs="Times New Roman"/>
                <w:b/>
                <w:bCs/>
                <w:spacing w:val="-1"/>
                <w:sz w:val="21"/>
                <w:szCs w:val="21"/>
              </w:rPr>
              <w:t>称</w:t>
            </w:r>
          </w:p>
        </w:tc>
        <w:tc>
          <w:tcPr>
            <w:tcW w:w="224" w:type="pct"/>
            <w:vMerge w:val="restart"/>
            <w:tcBorders>
              <w:bottom w:val="nil"/>
            </w:tcBorders>
            <w:vAlign w:val="center"/>
          </w:tcPr>
          <w:p w14:paraId="5012311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型号</w:t>
            </w:r>
          </w:p>
        </w:tc>
        <w:tc>
          <w:tcPr>
            <w:tcW w:w="264" w:type="pct"/>
            <w:vMerge w:val="restart"/>
            <w:tcBorders>
              <w:bottom w:val="nil"/>
            </w:tcBorders>
            <w:vAlign w:val="center"/>
          </w:tcPr>
          <w:p w14:paraId="3F61794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设备</w:t>
            </w:r>
          </w:p>
          <w:p w14:paraId="714D11B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3"/>
                <w:sz w:val="21"/>
                <w:szCs w:val="21"/>
              </w:rPr>
              <w:t>数量</w:t>
            </w:r>
          </w:p>
        </w:tc>
        <w:tc>
          <w:tcPr>
            <w:tcW w:w="1074" w:type="pct"/>
            <w:gridSpan w:val="2"/>
            <w:vAlign w:val="center"/>
          </w:tcPr>
          <w:p w14:paraId="6AC7B06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声</w:t>
            </w:r>
            <w:r>
              <w:rPr>
                <w:rFonts w:hint="eastAsia" w:ascii="Times New Roman" w:hAnsi="Times New Roman" w:cs="Times New Roman"/>
                <w:b/>
                <w:bCs/>
                <w:spacing w:val="5"/>
                <w:sz w:val="21"/>
                <w:szCs w:val="21"/>
                <w:lang w:eastAsia="zh-CN"/>
              </w:rPr>
              <w:t>源</w:t>
            </w:r>
            <w:r>
              <w:rPr>
                <w:rFonts w:hint="default" w:ascii="Times New Roman" w:hAnsi="Times New Roman" w:eastAsia="宋体" w:cs="Times New Roman"/>
                <w:b/>
                <w:bCs/>
                <w:spacing w:val="5"/>
                <w:sz w:val="21"/>
                <w:szCs w:val="21"/>
              </w:rPr>
              <w:t>强</w:t>
            </w:r>
          </w:p>
        </w:tc>
        <w:tc>
          <w:tcPr>
            <w:tcW w:w="657" w:type="pct"/>
            <w:vMerge w:val="restart"/>
            <w:tcBorders>
              <w:bottom w:val="nil"/>
            </w:tcBorders>
            <w:vAlign w:val="center"/>
          </w:tcPr>
          <w:p w14:paraId="60D3B05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6"/>
                <w:sz w:val="21"/>
                <w:szCs w:val="21"/>
              </w:rPr>
              <w:t>声源控制措施</w:t>
            </w:r>
          </w:p>
        </w:tc>
        <w:tc>
          <w:tcPr>
            <w:tcW w:w="787" w:type="pct"/>
            <w:vAlign w:val="center"/>
          </w:tcPr>
          <w:p w14:paraId="4C5D287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r>
              <w:rPr>
                <w:rFonts w:hint="default" w:ascii="Times New Roman" w:hAnsi="Times New Roman" w:eastAsia="宋体" w:cs="Times New Roman"/>
                <w:b/>
                <w:bCs/>
                <w:spacing w:val="5"/>
                <w:sz w:val="21"/>
                <w:szCs w:val="21"/>
              </w:rPr>
              <w:t>空间相对位置</w:t>
            </w:r>
            <w:r>
              <w:rPr>
                <w:rFonts w:hint="default" w:ascii="Times New Roman" w:hAnsi="Times New Roman" w:cs="Times New Roman"/>
                <w:b/>
                <w:bCs/>
                <w:spacing w:val="5"/>
                <w:sz w:val="21"/>
                <w:szCs w:val="21"/>
              </w:rPr>
              <w:t>/m</w:t>
            </w:r>
          </w:p>
        </w:tc>
        <w:tc>
          <w:tcPr>
            <w:tcW w:w="198" w:type="pct"/>
            <w:vMerge w:val="restart"/>
            <w:tcBorders>
              <w:bottom w:val="nil"/>
            </w:tcBorders>
            <w:vAlign w:val="center"/>
          </w:tcPr>
          <w:p w14:paraId="2EF105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距室内</w:t>
            </w:r>
          </w:p>
          <w:p w14:paraId="311964D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边界距</w:t>
            </w:r>
          </w:p>
          <w:p w14:paraId="2C17198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r>
              <w:rPr>
                <w:rFonts w:hint="default" w:ascii="Times New Roman" w:hAnsi="Times New Roman" w:eastAsia="宋体" w:cs="Times New Roman"/>
                <w:b/>
                <w:bCs/>
                <w:spacing w:val="1"/>
                <w:sz w:val="21"/>
                <w:szCs w:val="21"/>
              </w:rPr>
              <w:t>离</w:t>
            </w:r>
            <w:r>
              <w:rPr>
                <w:rFonts w:hint="default" w:ascii="Times New Roman" w:hAnsi="Times New Roman" w:cs="Times New Roman"/>
                <w:b/>
                <w:bCs/>
                <w:spacing w:val="1"/>
                <w:sz w:val="21"/>
                <w:szCs w:val="21"/>
              </w:rPr>
              <w:t>/m</w:t>
            </w:r>
          </w:p>
        </w:tc>
        <w:tc>
          <w:tcPr>
            <w:tcW w:w="365" w:type="pct"/>
            <w:vMerge w:val="restart"/>
            <w:tcBorders>
              <w:bottom w:val="nil"/>
            </w:tcBorders>
            <w:vAlign w:val="center"/>
          </w:tcPr>
          <w:p w14:paraId="339C248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室内边界</w:t>
            </w:r>
          </w:p>
          <w:p w14:paraId="7165BBE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声级</w:t>
            </w:r>
          </w:p>
          <w:p w14:paraId="18CCE74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r>
              <w:rPr>
                <w:rFonts w:hint="default" w:ascii="Times New Roman" w:hAnsi="Times New Roman" w:cs="Times New Roman"/>
                <w:b/>
                <w:bCs/>
                <w:spacing w:val="6"/>
                <w:sz w:val="21"/>
                <w:szCs w:val="21"/>
              </w:rPr>
              <w:t>/</w:t>
            </w:r>
            <w:r>
              <w:rPr>
                <w:rFonts w:hint="default" w:ascii="Times New Roman" w:hAnsi="Times New Roman" w:cs="Times New Roman"/>
                <w:b/>
                <w:bCs/>
                <w:sz w:val="21"/>
                <w:szCs w:val="21"/>
              </w:rPr>
              <w:t>dB</w:t>
            </w:r>
            <w:r>
              <w:rPr>
                <w:rFonts w:hint="eastAsia" w:ascii="Times New Roman" w:hAnsi="Times New Roman" w:eastAsia="宋体" w:cs="Times New Roman"/>
                <w:b/>
                <w:bCs/>
                <w:spacing w:val="6"/>
                <w:sz w:val="21"/>
                <w:szCs w:val="21"/>
                <w:lang w:eastAsia="zh-CN"/>
              </w:rPr>
              <w:t>（</w:t>
            </w:r>
            <w:r>
              <w:rPr>
                <w:rFonts w:hint="default" w:ascii="Times New Roman" w:hAnsi="Times New Roman" w:cs="Times New Roman"/>
                <w:b/>
                <w:bCs/>
                <w:spacing w:val="6"/>
                <w:sz w:val="21"/>
                <w:szCs w:val="21"/>
              </w:rPr>
              <w:t>A)</w:t>
            </w:r>
          </w:p>
        </w:tc>
        <w:tc>
          <w:tcPr>
            <w:tcW w:w="349" w:type="pct"/>
            <w:vMerge w:val="restart"/>
            <w:tcBorders>
              <w:bottom w:val="nil"/>
            </w:tcBorders>
            <w:vAlign w:val="center"/>
          </w:tcPr>
          <w:p w14:paraId="26CC0AE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p w14:paraId="2D1BAE3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13"/>
                <w:sz w:val="21"/>
                <w:szCs w:val="21"/>
              </w:rPr>
              <w:t>运行时</w:t>
            </w:r>
            <w:r>
              <w:rPr>
                <w:rFonts w:hint="default" w:ascii="Times New Roman" w:hAnsi="Times New Roman" w:eastAsia="宋体" w:cs="Times New Roman"/>
                <w:sz w:val="21"/>
                <w:szCs w:val="21"/>
              </w:rPr>
              <w:t xml:space="preserve">  </w:t>
            </w:r>
            <w:r>
              <w:rPr>
                <w:rFonts w:hint="default" w:ascii="Times New Roman" w:hAnsi="Times New Roman" w:eastAsia="宋体" w:cs="Times New Roman"/>
                <w:b/>
                <w:bCs/>
                <w:spacing w:val="-21"/>
                <w:sz w:val="21"/>
                <w:szCs w:val="21"/>
              </w:rPr>
              <w:t>段（</w:t>
            </w:r>
            <w:r>
              <w:rPr>
                <w:rFonts w:hint="default" w:ascii="Times New Roman" w:hAnsi="Times New Roman" w:cs="Times New Roman"/>
                <w:b/>
                <w:bCs/>
                <w:spacing w:val="-21"/>
                <w:sz w:val="21"/>
                <w:szCs w:val="21"/>
              </w:rPr>
              <w:t>h/d</w:t>
            </w:r>
            <w:r>
              <w:rPr>
                <w:rFonts w:hint="default" w:ascii="Times New Roman" w:hAnsi="Times New Roman" w:eastAsia="宋体" w:cs="Times New Roman"/>
                <w:b/>
                <w:bCs/>
                <w:spacing w:val="-21"/>
                <w:sz w:val="21"/>
                <w:szCs w:val="21"/>
              </w:rPr>
              <w:t>）</w:t>
            </w:r>
          </w:p>
        </w:tc>
        <w:tc>
          <w:tcPr>
            <w:tcW w:w="325" w:type="pct"/>
            <w:vMerge w:val="restart"/>
            <w:tcBorders>
              <w:bottom w:val="nil"/>
            </w:tcBorders>
            <w:vAlign w:val="center"/>
          </w:tcPr>
          <w:p w14:paraId="2788C67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建筑物插</w:t>
            </w:r>
          </w:p>
          <w:p w14:paraId="5DA604E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r>
              <w:rPr>
                <w:rFonts w:hint="default" w:ascii="Times New Roman" w:hAnsi="Times New Roman" w:eastAsia="宋体" w:cs="Times New Roman"/>
                <w:b/>
                <w:bCs/>
                <w:spacing w:val="5"/>
                <w:sz w:val="21"/>
                <w:szCs w:val="21"/>
              </w:rPr>
              <w:t>入损失</w:t>
            </w:r>
            <w:r>
              <w:rPr>
                <w:rFonts w:hint="default" w:ascii="Times New Roman" w:hAnsi="Times New Roman" w:eastAsia="宋体" w:cs="Times New Roman"/>
                <w:spacing w:val="5"/>
                <w:sz w:val="21"/>
                <w:szCs w:val="21"/>
              </w:rPr>
              <w:t xml:space="preserve"> </w:t>
            </w:r>
            <w:r>
              <w:rPr>
                <w:rFonts w:hint="default" w:ascii="Times New Roman" w:hAnsi="Times New Roman" w:cs="Times New Roman"/>
                <w:b/>
                <w:bCs/>
                <w:spacing w:val="5"/>
                <w:sz w:val="21"/>
                <w:szCs w:val="21"/>
              </w:rPr>
              <w:t>/</w:t>
            </w:r>
            <w:r>
              <w:rPr>
                <w:rFonts w:hint="default" w:ascii="Times New Roman" w:hAnsi="Times New Roman" w:cs="Times New Roman"/>
                <w:b/>
                <w:bCs/>
                <w:sz w:val="21"/>
                <w:szCs w:val="21"/>
              </w:rPr>
              <w:t xml:space="preserve"> dB</w:t>
            </w:r>
            <w:r>
              <w:rPr>
                <w:rFonts w:hint="eastAsia" w:ascii="Times New Roman" w:hAnsi="Times New Roman" w:eastAsia="宋体" w:cs="Times New Roman"/>
                <w:b/>
                <w:bCs/>
                <w:spacing w:val="4"/>
                <w:sz w:val="21"/>
                <w:szCs w:val="21"/>
                <w:lang w:eastAsia="zh-CN"/>
              </w:rPr>
              <w:t>（</w:t>
            </w:r>
            <w:r>
              <w:rPr>
                <w:rFonts w:hint="default" w:ascii="Times New Roman" w:hAnsi="Times New Roman" w:cs="Times New Roman"/>
                <w:b/>
                <w:bCs/>
                <w:spacing w:val="4"/>
                <w:sz w:val="21"/>
                <w:szCs w:val="21"/>
              </w:rPr>
              <w:t>A)</w:t>
            </w:r>
          </w:p>
        </w:tc>
        <w:tc>
          <w:tcPr>
            <w:tcW w:w="492" w:type="pct"/>
            <w:gridSpan w:val="2"/>
            <w:vAlign w:val="center"/>
          </w:tcPr>
          <w:p w14:paraId="7AC41F0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6"/>
                <w:sz w:val="21"/>
                <w:szCs w:val="21"/>
              </w:rPr>
              <w:t>建筑外噪声</w:t>
            </w:r>
          </w:p>
        </w:tc>
      </w:tr>
      <w:tr w14:paraId="483BE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143" w:type="pct"/>
            <w:vMerge w:val="continue"/>
            <w:tcBorders>
              <w:top w:val="nil"/>
            </w:tcBorders>
            <w:vAlign w:val="center"/>
          </w:tcPr>
          <w:p w14:paraId="6B57892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tc>
        <w:tc>
          <w:tcPr>
            <w:tcW w:w="117" w:type="pct"/>
            <w:vMerge w:val="continue"/>
            <w:tcBorders>
              <w:top w:val="nil"/>
            </w:tcBorders>
            <w:vAlign w:val="center"/>
          </w:tcPr>
          <w:p w14:paraId="1C70CA9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tc>
        <w:tc>
          <w:tcPr>
            <w:tcW w:w="224" w:type="pct"/>
            <w:vMerge w:val="continue"/>
            <w:tcBorders>
              <w:top w:val="nil"/>
            </w:tcBorders>
            <w:vAlign w:val="center"/>
          </w:tcPr>
          <w:p w14:paraId="036ABA4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tc>
        <w:tc>
          <w:tcPr>
            <w:tcW w:w="264" w:type="pct"/>
            <w:vMerge w:val="continue"/>
            <w:tcBorders>
              <w:top w:val="nil"/>
            </w:tcBorders>
            <w:vAlign w:val="center"/>
          </w:tcPr>
          <w:p w14:paraId="5667A40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tc>
        <w:tc>
          <w:tcPr>
            <w:tcW w:w="705" w:type="pct"/>
            <w:vAlign w:val="center"/>
          </w:tcPr>
          <w:p w14:paraId="64E7B39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（声压级</w:t>
            </w:r>
            <w:r>
              <w:rPr>
                <w:rFonts w:hint="default" w:ascii="Times New Roman" w:hAnsi="Times New Roman" w:cs="Times New Roman"/>
                <w:b/>
                <w:bCs/>
                <w:spacing w:val="4"/>
                <w:sz w:val="21"/>
                <w:szCs w:val="21"/>
              </w:rPr>
              <w:t>/</w:t>
            </w:r>
            <w:r>
              <w:rPr>
                <w:rFonts w:hint="default" w:ascii="Times New Roman" w:hAnsi="Times New Roman" w:eastAsia="宋体" w:cs="Times New Roman"/>
                <w:b/>
                <w:bCs/>
                <w:spacing w:val="4"/>
                <w:sz w:val="21"/>
                <w:szCs w:val="21"/>
              </w:rPr>
              <w:t>距</w:t>
            </w:r>
          </w:p>
          <w:p w14:paraId="77F3868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r>
              <w:rPr>
                <w:rFonts w:hint="default" w:ascii="Times New Roman" w:hAnsi="Times New Roman" w:eastAsia="宋体" w:cs="Times New Roman"/>
                <w:b/>
                <w:bCs/>
                <w:spacing w:val="5"/>
                <w:sz w:val="21"/>
                <w:szCs w:val="21"/>
              </w:rPr>
              <w:t>声源距离）</w:t>
            </w:r>
            <w:r>
              <w:rPr>
                <w:rFonts w:hint="default" w:ascii="Times New Roman" w:hAnsi="Times New Roman" w:cs="Times New Roman"/>
                <w:b/>
                <w:bCs/>
                <w:spacing w:val="5"/>
                <w:sz w:val="21"/>
                <w:szCs w:val="21"/>
              </w:rPr>
              <w:t>/</w:t>
            </w:r>
          </w:p>
          <w:p w14:paraId="0E1C19B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3"/>
                <w:sz w:val="21"/>
                <w:szCs w:val="21"/>
              </w:rPr>
              <w:t>（</w:t>
            </w:r>
            <w:r>
              <w:rPr>
                <w:rFonts w:hint="default" w:ascii="Times New Roman" w:hAnsi="Times New Roman" w:cs="Times New Roman"/>
                <w:b/>
                <w:bCs/>
                <w:sz w:val="21"/>
                <w:szCs w:val="21"/>
              </w:rPr>
              <w:t>dB</w:t>
            </w:r>
            <w:r>
              <w:rPr>
                <w:rFonts w:hint="eastAsia" w:ascii="Times New Roman" w:hAnsi="Times New Roman" w:eastAsia="宋体" w:cs="Times New Roman"/>
                <w:b/>
                <w:bCs/>
                <w:spacing w:val="3"/>
                <w:sz w:val="21"/>
                <w:szCs w:val="21"/>
                <w:lang w:eastAsia="zh-CN"/>
              </w:rPr>
              <w:t>（</w:t>
            </w:r>
            <w:r>
              <w:rPr>
                <w:rFonts w:hint="default" w:ascii="Times New Roman" w:hAnsi="Times New Roman" w:cs="Times New Roman"/>
                <w:b/>
                <w:bCs/>
                <w:spacing w:val="3"/>
                <w:sz w:val="21"/>
                <w:szCs w:val="21"/>
              </w:rPr>
              <w:t>A)/m</w:t>
            </w:r>
            <w:r>
              <w:rPr>
                <w:rFonts w:hint="default" w:ascii="Times New Roman" w:hAnsi="Times New Roman" w:eastAsia="宋体" w:cs="Times New Roman"/>
                <w:b/>
                <w:bCs/>
                <w:spacing w:val="3"/>
                <w:sz w:val="21"/>
                <w:szCs w:val="21"/>
              </w:rPr>
              <w:t>）</w:t>
            </w:r>
          </w:p>
        </w:tc>
        <w:tc>
          <w:tcPr>
            <w:tcW w:w="368" w:type="pct"/>
            <w:vAlign w:val="center"/>
          </w:tcPr>
          <w:p w14:paraId="283246B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声功率</w:t>
            </w:r>
          </w:p>
          <w:p w14:paraId="0201158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3"/>
                <w:sz w:val="21"/>
                <w:szCs w:val="21"/>
              </w:rPr>
              <w:t>级</w:t>
            </w:r>
          </w:p>
          <w:p w14:paraId="253A038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r>
              <w:rPr>
                <w:rFonts w:hint="default" w:ascii="Times New Roman" w:hAnsi="Times New Roman" w:cs="Times New Roman"/>
                <w:b/>
                <w:bCs/>
                <w:spacing w:val="6"/>
                <w:sz w:val="21"/>
                <w:szCs w:val="21"/>
              </w:rPr>
              <w:t>/</w:t>
            </w:r>
            <w:r>
              <w:rPr>
                <w:rFonts w:hint="default" w:ascii="Times New Roman" w:hAnsi="Times New Roman" w:cs="Times New Roman"/>
                <w:b/>
                <w:bCs/>
                <w:sz w:val="21"/>
                <w:szCs w:val="21"/>
              </w:rPr>
              <w:t>dB</w:t>
            </w:r>
            <w:r>
              <w:rPr>
                <w:rFonts w:hint="eastAsia" w:ascii="Times New Roman" w:hAnsi="Times New Roman" w:eastAsia="宋体" w:cs="Times New Roman"/>
                <w:b/>
                <w:bCs/>
                <w:spacing w:val="6"/>
                <w:sz w:val="21"/>
                <w:szCs w:val="21"/>
                <w:lang w:eastAsia="zh-CN"/>
              </w:rPr>
              <w:t>（</w:t>
            </w:r>
            <w:r>
              <w:rPr>
                <w:rFonts w:hint="default" w:ascii="Times New Roman" w:hAnsi="Times New Roman" w:cs="Times New Roman"/>
                <w:b/>
                <w:bCs/>
                <w:spacing w:val="6"/>
                <w:sz w:val="21"/>
                <w:szCs w:val="21"/>
              </w:rPr>
              <w:t>A)</w:t>
            </w:r>
          </w:p>
        </w:tc>
        <w:tc>
          <w:tcPr>
            <w:tcW w:w="657" w:type="pct"/>
            <w:vMerge w:val="continue"/>
            <w:tcBorders>
              <w:top w:val="nil"/>
            </w:tcBorders>
            <w:vAlign w:val="center"/>
          </w:tcPr>
          <w:p w14:paraId="0927D70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tc>
        <w:tc>
          <w:tcPr>
            <w:tcW w:w="787" w:type="pct"/>
            <w:vAlign w:val="center"/>
          </w:tcPr>
          <w:p w14:paraId="6D1E899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r>
              <w:rPr>
                <w:rFonts w:hint="default" w:ascii="Times New Roman" w:hAnsi="Times New Roman" w:cs="Times New Roman"/>
                <w:b/>
                <w:bCs/>
                <w:spacing w:val="4"/>
                <w:sz w:val="21"/>
                <w:szCs w:val="21"/>
              </w:rPr>
              <w:t>X,Y,Z</w:t>
            </w:r>
          </w:p>
        </w:tc>
        <w:tc>
          <w:tcPr>
            <w:tcW w:w="198" w:type="pct"/>
            <w:vMerge w:val="continue"/>
            <w:tcBorders>
              <w:top w:val="nil"/>
            </w:tcBorders>
            <w:vAlign w:val="center"/>
          </w:tcPr>
          <w:p w14:paraId="6938A6E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tc>
        <w:tc>
          <w:tcPr>
            <w:tcW w:w="365" w:type="pct"/>
            <w:vMerge w:val="continue"/>
            <w:tcBorders>
              <w:top w:val="nil"/>
            </w:tcBorders>
            <w:vAlign w:val="center"/>
          </w:tcPr>
          <w:p w14:paraId="195A594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tc>
        <w:tc>
          <w:tcPr>
            <w:tcW w:w="349" w:type="pct"/>
            <w:vMerge w:val="continue"/>
            <w:tcBorders>
              <w:top w:val="nil"/>
            </w:tcBorders>
            <w:vAlign w:val="center"/>
          </w:tcPr>
          <w:p w14:paraId="0C56A6F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tc>
        <w:tc>
          <w:tcPr>
            <w:tcW w:w="325" w:type="pct"/>
            <w:vMerge w:val="continue"/>
            <w:tcBorders>
              <w:top w:val="nil"/>
            </w:tcBorders>
            <w:vAlign w:val="center"/>
          </w:tcPr>
          <w:p w14:paraId="7BD310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p>
        </w:tc>
        <w:tc>
          <w:tcPr>
            <w:tcW w:w="260" w:type="pct"/>
            <w:vAlign w:val="center"/>
          </w:tcPr>
          <w:p w14:paraId="2366A12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sz w:val="21"/>
                <w:szCs w:val="21"/>
              </w:rPr>
            </w:pPr>
            <w:r>
              <w:rPr>
                <w:rFonts w:hint="default" w:ascii="Times New Roman" w:hAnsi="Times New Roman" w:eastAsia="宋体" w:cs="Times New Roman"/>
                <w:b/>
                <w:bCs/>
                <w:spacing w:val="4"/>
                <w:sz w:val="21"/>
                <w:szCs w:val="21"/>
              </w:rPr>
              <w:t>声压级</w:t>
            </w:r>
            <w:r>
              <w:rPr>
                <w:rFonts w:hint="default" w:ascii="Times New Roman" w:hAnsi="Times New Roman" w:eastAsia="宋体" w:cs="Times New Roman"/>
                <w:sz w:val="21"/>
                <w:szCs w:val="21"/>
              </w:rPr>
              <w:t xml:space="preserve"> </w:t>
            </w:r>
            <w:r>
              <w:rPr>
                <w:rFonts w:hint="default" w:ascii="Times New Roman" w:hAnsi="Times New Roman" w:cs="Times New Roman"/>
                <w:b/>
                <w:bCs/>
                <w:spacing w:val="6"/>
                <w:sz w:val="21"/>
                <w:szCs w:val="21"/>
              </w:rPr>
              <w:t>/</w:t>
            </w:r>
            <w:r>
              <w:rPr>
                <w:rFonts w:hint="default" w:ascii="Times New Roman" w:hAnsi="Times New Roman" w:cs="Times New Roman"/>
                <w:b/>
                <w:bCs/>
                <w:sz w:val="21"/>
                <w:szCs w:val="21"/>
              </w:rPr>
              <w:t>dB</w:t>
            </w:r>
            <w:r>
              <w:rPr>
                <w:rFonts w:hint="eastAsia" w:ascii="Times New Roman" w:hAnsi="Times New Roman" w:eastAsia="宋体" w:cs="Times New Roman"/>
                <w:b/>
                <w:bCs/>
                <w:spacing w:val="6"/>
                <w:sz w:val="21"/>
                <w:szCs w:val="21"/>
                <w:lang w:eastAsia="zh-CN"/>
              </w:rPr>
              <w:t>（</w:t>
            </w:r>
            <w:r>
              <w:rPr>
                <w:rFonts w:hint="default" w:ascii="Times New Roman" w:hAnsi="Times New Roman" w:cs="Times New Roman"/>
                <w:b/>
                <w:bCs/>
                <w:spacing w:val="6"/>
                <w:sz w:val="21"/>
                <w:szCs w:val="21"/>
              </w:rPr>
              <w:t>A)</w:t>
            </w:r>
          </w:p>
        </w:tc>
        <w:tc>
          <w:tcPr>
            <w:tcW w:w="232" w:type="pct"/>
            <w:vAlign w:val="center"/>
          </w:tcPr>
          <w:p w14:paraId="3A94A1D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建筑物</w:t>
            </w:r>
          </w:p>
          <w:p w14:paraId="2AD396C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外距离</w:t>
            </w:r>
          </w:p>
        </w:tc>
      </w:tr>
      <w:tr w14:paraId="31F95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43" w:type="pct"/>
            <w:vAlign w:val="center"/>
          </w:tcPr>
          <w:p w14:paraId="58BEA24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7" w:type="pct"/>
            <w:vAlign w:val="center"/>
          </w:tcPr>
          <w:p w14:paraId="021B4B4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粉碎机</w:t>
            </w:r>
          </w:p>
        </w:tc>
        <w:tc>
          <w:tcPr>
            <w:tcW w:w="224" w:type="pct"/>
            <w:vAlign w:val="center"/>
          </w:tcPr>
          <w:p w14:paraId="02FBE18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64" w:type="pct"/>
            <w:vAlign w:val="center"/>
          </w:tcPr>
          <w:p w14:paraId="7FE9667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05" w:type="pct"/>
            <w:vAlign w:val="center"/>
          </w:tcPr>
          <w:p w14:paraId="09E3677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68" w:type="pct"/>
            <w:vAlign w:val="center"/>
          </w:tcPr>
          <w:p w14:paraId="74004A5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657" w:type="pct"/>
            <w:vAlign w:val="center"/>
          </w:tcPr>
          <w:p w14:paraId="6AF0363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建筑隔声、距离衰减</w:t>
            </w:r>
          </w:p>
        </w:tc>
        <w:tc>
          <w:tcPr>
            <w:tcW w:w="787" w:type="pct"/>
            <w:vAlign w:val="center"/>
          </w:tcPr>
          <w:p w14:paraId="0632EEC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-127.18,53.84, 1</w:t>
            </w:r>
          </w:p>
        </w:tc>
        <w:tc>
          <w:tcPr>
            <w:tcW w:w="198" w:type="pct"/>
            <w:vAlign w:val="center"/>
          </w:tcPr>
          <w:p w14:paraId="68C4E50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65" w:type="pct"/>
            <w:vAlign w:val="center"/>
          </w:tcPr>
          <w:p w14:paraId="70C3361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w:t>
            </w:r>
          </w:p>
        </w:tc>
        <w:tc>
          <w:tcPr>
            <w:tcW w:w="349" w:type="pct"/>
            <w:vAlign w:val="center"/>
          </w:tcPr>
          <w:p w14:paraId="0DBEE98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325" w:type="pct"/>
            <w:vAlign w:val="center"/>
          </w:tcPr>
          <w:p w14:paraId="5783302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60" w:type="pct"/>
            <w:vAlign w:val="center"/>
          </w:tcPr>
          <w:p w14:paraId="7DE1F63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232" w:type="pct"/>
            <w:vAlign w:val="center"/>
          </w:tcPr>
          <w:p w14:paraId="0C3D5BE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r>
      <w:tr w14:paraId="4105D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43" w:type="pct"/>
            <w:vAlign w:val="center"/>
          </w:tcPr>
          <w:p w14:paraId="0904847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7" w:type="pct"/>
            <w:vAlign w:val="center"/>
          </w:tcPr>
          <w:p w14:paraId="6C3E177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FF0000"/>
                <w:sz w:val="21"/>
                <w:szCs w:val="21"/>
                <w:lang w:val="en-US" w:eastAsia="zh-CN" w:bidi="ar-SA"/>
              </w:rPr>
              <w:t>搅拌机</w:t>
            </w:r>
          </w:p>
        </w:tc>
        <w:tc>
          <w:tcPr>
            <w:tcW w:w="224" w:type="pct"/>
            <w:vAlign w:val="center"/>
          </w:tcPr>
          <w:p w14:paraId="2300BB7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64" w:type="pct"/>
            <w:vAlign w:val="center"/>
          </w:tcPr>
          <w:p w14:paraId="0A66ABE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c>
          <w:tcPr>
            <w:tcW w:w="705" w:type="pct"/>
            <w:vAlign w:val="center"/>
          </w:tcPr>
          <w:p w14:paraId="34B8E4D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68" w:type="pct"/>
            <w:vAlign w:val="center"/>
          </w:tcPr>
          <w:p w14:paraId="648D9DF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w:t>
            </w:r>
          </w:p>
        </w:tc>
        <w:tc>
          <w:tcPr>
            <w:tcW w:w="657" w:type="pct"/>
            <w:vAlign w:val="center"/>
          </w:tcPr>
          <w:p w14:paraId="3328BA4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建筑隔声、距离衰减</w:t>
            </w:r>
          </w:p>
        </w:tc>
        <w:tc>
          <w:tcPr>
            <w:tcW w:w="787" w:type="pct"/>
            <w:vAlign w:val="center"/>
          </w:tcPr>
          <w:p w14:paraId="1E3C4E6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-127.66,-38.19, 1</w:t>
            </w:r>
          </w:p>
        </w:tc>
        <w:tc>
          <w:tcPr>
            <w:tcW w:w="198" w:type="pct"/>
            <w:vAlign w:val="center"/>
          </w:tcPr>
          <w:p w14:paraId="4C595A4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65" w:type="pct"/>
            <w:vAlign w:val="center"/>
          </w:tcPr>
          <w:p w14:paraId="2FA1050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w:t>
            </w:r>
          </w:p>
        </w:tc>
        <w:tc>
          <w:tcPr>
            <w:tcW w:w="349" w:type="pct"/>
            <w:vAlign w:val="center"/>
          </w:tcPr>
          <w:p w14:paraId="4202722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25" w:type="pct"/>
            <w:vAlign w:val="center"/>
          </w:tcPr>
          <w:p w14:paraId="0202035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60" w:type="pct"/>
            <w:vAlign w:val="center"/>
          </w:tcPr>
          <w:p w14:paraId="2F49264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232" w:type="pct"/>
            <w:vAlign w:val="center"/>
          </w:tcPr>
          <w:p w14:paraId="78348E7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r>
    </w:tbl>
    <w:p w14:paraId="6960E2F5">
      <w:pPr>
        <w:pStyle w:val="5"/>
        <w:bidi w:val="0"/>
        <w:rPr>
          <w:rFonts w:hint="default" w:ascii="Times New Roman" w:hAnsi="Times New Roman" w:cs="Times New Roman"/>
          <w:color w:val="auto"/>
          <w:lang w:val="en-US" w:eastAsia="zh-CN"/>
        </w:rPr>
      </w:pPr>
      <w:bookmarkStart w:id="68" w:name="_Toc16347"/>
      <w:bookmarkStart w:id="69" w:name="_Toc17366"/>
      <w:r>
        <w:rPr>
          <w:rFonts w:hint="default" w:ascii="Times New Roman" w:hAnsi="Times New Roman" w:cs="Times New Roman"/>
          <w:color w:val="auto"/>
          <w:lang w:val="en-US" w:eastAsia="zh-CN"/>
        </w:rPr>
        <w:t>固废</w:t>
      </w:r>
      <w:bookmarkEnd w:id="68"/>
      <w:bookmarkEnd w:id="69"/>
    </w:p>
    <w:p w14:paraId="179FB59A">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本项目产生的固体废物主要</w:t>
      </w:r>
      <w:r>
        <w:rPr>
          <w:rFonts w:hint="default" w:ascii="Times New Roman" w:hAnsi="Times New Roman" w:cs="Times New Roman"/>
          <w:color w:val="auto"/>
          <w:sz w:val="24"/>
          <w:szCs w:val="24"/>
          <w:lang w:eastAsia="zh-CN"/>
        </w:rPr>
        <w:t>鸡</w:t>
      </w:r>
      <w:r>
        <w:rPr>
          <w:rFonts w:hint="default" w:ascii="Times New Roman" w:hAnsi="Times New Roman" w:cs="Times New Roman"/>
          <w:color w:val="auto"/>
          <w:sz w:val="24"/>
          <w:szCs w:val="24"/>
        </w:rPr>
        <w:t>粪、病死</w:t>
      </w:r>
      <w:r>
        <w:rPr>
          <w:rFonts w:hint="default" w:ascii="Times New Roman" w:hAnsi="Times New Roman" w:cs="Times New Roman"/>
          <w:color w:val="auto"/>
          <w:sz w:val="24"/>
          <w:szCs w:val="24"/>
          <w:lang w:eastAsia="zh-CN"/>
        </w:rPr>
        <w:t>鸡</w:t>
      </w:r>
      <w:r>
        <w:rPr>
          <w:rFonts w:hint="default" w:ascii="Times New Roman" w:hAnsi="Times New Roman" w:cs="Times New Roman"/>
          <w:color w:val="auto"/>
          <w:sz w:val="24"/>
          <w:szCs w:val="24"/>
          <w:lang w:val="en-US" w:eastAsia="zh-CN"/>
        </w:rPr>
        <w:t>尸体</w:t>
      </w:r>
      <w:r>
        <w:rPr>
          <w:rFonts w:hint="default" w:ascii="Times New Roman" w:hAnsi="Times New Roman" w:cs="Times New Roman"/>
          <w:color w:val="auto"/>
          <w:sz w:val="24"/>
          <w:szCs w:val="24"/>
        </w:rPr>
        <w:t>、生活垃圾和</w:t>
      </w:r>
      <w:r>
        <w:rPr>
          <w:rFonts w:hint="default" w:ascii="Times New Roman" w:hAnsi="Times New Roman" w:cs="Times New Roman"/>
          <w:color w:val="auto"/>
          <w:sz w:val="24"/>
          <w:szCs w:val="24"/>
          <w:lang w:val="en-US" w:eastAsia="zh-CN"/>
        </w:rPr>
        <w:t>医疗</w:t>
      </w:r>
      <w:r>
        <w:rPr>
          <w:rFonts w:hint="default" w:ascii="Times New Roman" w:hAnsi="Times New Roman" w:cs="Times New Roman"/>
          <w:color w:val="auto"/>
          <w:sz w:val="24"/>
          <w:szCs w:val="24"/>
        </w:rPr>
        <w:t>废物</w:t>
      </w:r>
      <w:r>
        <w:rPr>
          <w:rFonts w:hint="default" w:ascii="Times New Roman" w:hAnsi="Times New Roman" w:cs="Times New Roman"/>
          <w:color w:val="auto"/>
          <w:sz w:val="24"/>
          <w:szCs w:val="24"/>
          <w:lang w:val="en-US" w:eastAsia="zh-CN"/>
        </w:rPr>
        <w:t>等</w:t>
      </w:r>
      <w:r>
        <w:rPr>
          <w:rFonts w:hint="default" w:ascii="Times New Roman" w:hAnsi="Times New Roman" w:cs="Times New Roman"/>
          <w:color w:val="auto"/>
          <w:sz w:val="24"/>
          <w:szCs w:val="24"/>
        </w:rPr>
        <w:t>。</w:t>
      </w:r>
    </w:p>
    <w:p w14:paraId="0E1867FE">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eastAsia="zh-CN"/>
        </w:rPr>
        <w:t>鸡</w:t>
      </w:r>
      <w:r>
        <w:rPr>
          <w:rFonts w:hint="default" w:ascii="Times New Roman" w:hAnsi="Times New Roman" w:cs="Times New Roman"/>
          <w:color w:val="auto"/>
          <w:sz w:val="24"/>
          <w:szCs w:val="24"/>
        </w:rPr>
        <w:t>粪</w:t>
      </w:r>
    </w:p>
    <w:p w14:paraId="016C6A5C">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lang w:val="en-US" w:eastAsia="zh-CN"/>
        </w:rPr>
      </w:pPr>
      <w:r>
        <w:rPr>
          <w:rFonts w:hint="default" w:ascii="Times New Roman" w:hAnsi="Times New Roman" w:cs="Times New Roman"/>
          <w:color w:val="FF0000"/>
          <w:sz w:val="24"/>
          <w:szCs w:val="24"/>
          <w:lang w:val="en-US" w:eastAsia="zh-CN"/>
        </w:rPr>
        <w:t>根据《排污许可证申请与核发技术规范畜禽养殖行业》（HJ1029-2019）中表9，蛋鸡粪便产生量为0.13kg/d·只。</w:t>
      </w:r>
    </w:p>
    <w:p w14:paraId="5132E0F2">
      <w:pPr>
        <w:spacing w:line="360" w:lineRule="auto"/>
        <w:ind w:firstLine="480"/>
        <w:jc w:val="both"/>
        <w:rPr>
          <w:rFonts w:hint="default" w:ascii="Times New Roman" w:hAnsi="Times New Roman" w:cs="Times New Roman"/>
          <w:color w:val="FF0000"/>
          <w:sz w:val="24"/>
          <w:lang w:val="en-US" w:eastAsia="zh-CN"/>
        </w:rPr>
      </w:pPr>
      <w:r>
        <w:rPr>
          <w:rFonts w:hint="default" w:ascii="Times New Roman" w:hAnsi="Times New Roman" w:eastAsia="宋体" w:cs="Times New Roman"/>
          <w:color w:val="FF0000"/>
          <w:sz w:val="24"/>
          <w:szCs w:val="24"/>
        </w:rPr>
        <w:t>本项目育雏鸡、育成鸡的鸡粪产生系数、鸡粪中总氮含量按其饲养周期和体重参考产蛋鸡的系数进行折算（根据建设单位提供的饲养数据，项目所饲养的鸡种，雏鸡饲养周期的平均体重约380g，育成鸡饲养周期的平均体重为860g，产蛋鸡平均体重为1250g），则育雏鸡的鸡粪产生系数为0.04kg/d·只。</w:t>
      </w:r>
    </w:p>
    <w:p w14:paraId="5E9CE5F9">
      <w:pPr>
        <w:spacing w:line="360" w:lineRule="auto"/>
        <w:ind w:firstLine="48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养殖场全年蛋鸡和</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存栏量分别为30万羽，则项目</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鸡粪产生量为4380t/a，蛋鸡鸡粪产生量为14235t/a，鸡粪总量为18615t/a。</w:t>
      </w:r>
    </w:p>
    <w:p w14:paraId="0BACCFC3">
      <w:pPr>
        <w:pStyle w:val="16"/>
        <w:bidi w:val="0"/>
        <w:rPr>
          <w:rFonts w:hint="default" w:ascii="Times New Roman" w:hAnsi="Times New Roman" w:cs="Times New Roman"/>
          <w:color w:val="FF0000"/>
          <w:sz w:val="24"/>
          <w:szCs w:val="24"/>
          <w:lang w:val="en-US" w:eastAsia="zh-CN"/>
        </w:rPr>
      </w:pPr>
      <w:r>
        <w:rPr>
          <w:rFonts w:hint="default" w:ascii="Times New Roman" w:hAnsi="Times New Roman" w:cs="Times New Roman"/>
          <w:color w:val="FF0000"/>
          <w:sz w:val="24"/>
          <w:szCs w:val="24"/>
          <w:lang w:eastAsia="zh-CN"/>
        </w:rPr>
        <w:t>本项目采取干清粪工艺，每栋鸡舍均设自动清粪系统，鸡舍内设横斜向</w:t>
      </w:r>
      <w:r>
        <w:rPr>
          <w:rFonts w:hint="eastAsia" w:ascii="Times New Roman" w:hAnsi="Times New Roman" w:cs="Times New Roman"/>
          <w:color w:val="FF0000"/>
          <w:sz w:val="24"/>
          <w:szCs w:val="24"/>
          <w:lang w:eastAsia="zh-CN"/>
        </w:rPr>
        <w:t>粪便传送带</w:t>
      </w:r>
      <w:r>
        <w:rPr>
          <w:rFonts w:hint="default" w:ascii="Times New Roman" w:hAnsi="Times New Roman" w:cs="Times New Roman"/>
          <w:color w:val="FF0000"/>
          <w:sz w:val="24"/>
          <w:szCs w:val="24"/>
          <w:lang w:eastAsia="zh-CN"/>
        </w:rPr>
        <w:t>，鸡排出的粪便主要通过清粪机进入横向</w:t>
      </w:r>
      <w:r>
        <w:rPr>
          <w:rFonts w:hint="eastAsia" w:ascii="Times New Roman" w:hAnsi="Times New Roman" w:cs="Times New Roman"/>
          <w:color w:val="FF0000"/>
          <w:sz w:val="24"/>
          <w:szCs w:val="24"/>
          <w:lang w:eastAsia="zh-CN"/>
        </w:rPr>
        <w:t>粪便传送带</w:t>
      </w:r>
      <w:r>
        <w:rPr>
          <w:rFonts w:hint="default" w:ascii="Times New Roman" w:hAnsi="Times New Roman" w:cs="Times New Roman"/>
          <w:color w:val="FF0000"/>
          <w:sz w:val="24"/>
          <w:szCs w:val="24"/>
          <w:lang w:eastAsia="zh-CN"/>
        </w:rPr>
        <w:t>内，传输至清粪房再通过斜向</w:t>
      </w:r>
      <w:r>
        <w:rPr>
          <w:rFonts w:hint="eastAsia" w:ascii="Times New Roman" w:hAnsi="Times New Roman" w:cs="Times New Roman"/>
          <w:color w:val="FF0000"/>
          <w:sz w:val="24"/>
          <w:szCs w:val="24"/>
          <w:lang w:eastAsia="zh-CN"/>
        </w:rPr>
        <w:t>粪便传送带</w:t>
      </w:r>
      <w:r>
        <w:rPr>
          <w:rFonts w:hint="default" w:ascii="Times New Roman" w:hAnsi="Times New Roman" w:cs="Times New Roman"/>
          <w:color w:val="FF0000"/>
          <w:sz w:val="24"/>
          <w:szCs w:val="24"/>
          <w:lang w:eastAsia="zh-CN"/>
        </w:rPr>
        <w:t>进入鸡粪发酵</w:t>
      </w:r>
      <w:r>
        <w:rPr>
          <w:rFonts w:hint="eastAsia" w:ascii="Times New Roman" w:hAnsi="Times New Roman" w:cs="Times New Roman"/>
          <w:color w:val="FF0000"/>
          <w:sz w:val="24"/>
          <w:szCs w:val="24"/>
          <w:lang w:eastAsia="zh-CN"/>
        </w:rPr>
        <w:t>处理厂</w:t>
      </w:r>
      <w:r>
        <w:rPr>
          <w:rFonts w:hint="default" w:ascii="Times New Roman" w:hAnsi="Times New Roman" w:cs="Times New Roman"/>
          <w:color w:val="FF0000"/>
          <w:sz w:val="24"/>
          <w:szCs w:val="24"/>
          <w:lang w:eastAsia="zh-CN"/>
        </w:rPr>
        <w:t>，发酵处理后，鸡粪的转化率为80%，则有机肥的产量为</w:t>
      </w:r>
      <w:r>
        <w:rPr>
          <w:rFonts w:hint="default" w:ascii="Times New Roman" w:hAnsi="Times New Roman" w:cs="Times New Roman"/>
          <w:color w:val="FF0000"/>
          <w:sz w:val="24"/>
          <w:szCs w:val="24"/>
          <w:lang w:val="en-US" w:eastAsia="zh-CN"/>
        </w:rPr>
        <w:t>14892t/a</w:t>
      </w:r>
      <w:r>
        <w:rPr>
          <w:rFonts w:hint="default" w:ascii="Times New Roman" w:hAnsi="Times New Roman" w:cs="Times New Roman"/>
          <w:color w:val="FF0000"/>
          <w:sz w:val="24"/>
          <w:szCs w:val="24"/>
          <w:lang w:eastAsia="zh-CN"/>
        </w:rPr>
        <w:t>，外售农户综合利用</w:t>
      </w:r>
      <w:r>
        <w:rPr>
          <w:rFonts w:hint="default" w:ascii="Times New Roman" w:hAnsi="Times New Roman" w:cs="Times New Roman"/>
          <w:color w:val="FF0000"/>
          <w:sz w:val="24"/>
          <w:szCs w:val="24"/>
          <w:lang w:val="en-US" w:eastAsia="zh-CN"/>
        </w:rPr>
        <w:t>。</w:t>
      </w:r>
    </w:p>
    <w:p w14:paraId="7F60A70D">
      <w:pPr>
        <w:pStyle w:val="16"/>
        <w:bidi w:val="0"/>
        <w:rPr>
          <w:rFonts w:hint="default" w:ascii="Times New Roman" w:hAnsi="Times New Roman" w:cs="Times New Roman"/>
          <w:color w:val="FF0000"/>
          <w:sz w:val="24"/>
          <w:szCs w:val="24"/>
        </w:rPr>
      </w:pPr>
      <w:r>
        <w:rPr>
          <w:rFonts w:hint="default" w:ascii="Times New Roman" w:hAnsi="Times New Roman" w:cs="Times New Roman"/>
          <w:color w:val="FF0000"/>
          <w:lang w:val="en-US" w:eastAsia="zh-CN"/>
        </w:rPr>
        <w:t>根据《畜禽粪污土地承载力测算技术指南》本项目规模养殖场氮养分配套土地面积649.52hm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，磷养分配套土地面积457.2hm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，北屯市有10万亩玉米（66670000hm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），项目周边拥有的土地面积大于需要的面积，因此本项目产生的粪污可以被周边农作物充分消纳。</w:t>
      </w:r>
    </w:p>
    <w:p w14:paraId="79601777">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lang w:eastAsia="zh-CN"/>
        </w:rPr>
      </w:pPr>
      <w:r>
        <w:rPr>
          <w:rFonts w:hint="default" w:ascii="Times New Roman" w:hAnsi="Times New Roman" w:cs="Times New Roman"/>
          <w:color w:val="FF0000"/>
          <w:sz w:val="24"/>
          <w:szCs w:val="24"/>
        </w:rPr>
        <w:t>（2）病死</w:t>
      </w:r>
      <w:r>
        <w:rPr>
          <w:rFonts w:hint="default" w:ascii="Times New Roman" w:hAnsi="Times New Roman" w:cs="Times New Roman"/>
          <w:color w:val="FF0000"/>
          <w:sz w:val="24"/>
          <w:szCs w:val="24"/>
          <w:lang w:eastAsia="zh-CN"/>
        </w:rPr>
        <w:t>鸡</w:t>
      </w:r>
    </w:p>
    <w:p w14:paraId="0B602D8F">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cs="Times New Roman"/>
          <w:color w:val="FF0000"/>
          <w:sz w:val="24"/>
          <w:szCs w:val="24"/>
          <w:lang w:val="en-US" w:eastAsia="zh-CN"/>
        </w:rPr>
        <w:t>根据《规模化畜禽养殖场环境影响评价与实例研究》（农业环境科学学报，2007（26）：313-318）文献中，一般情况下规模化养鸡场病死鸡控制在0.1%~0.2%，本项目鸡舍采用国内先进养殖设备，专业化养殖团队，鸡只死亡率可控制在0.1%，则本项目年病死鸡为600只，以鸡只平均重量1.5kg/只计，约为0.9t/a。</w:t>
      </w:r>
    </w:p>
    <w:p w14:paraId="6E9D0453">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highlight w:val="yellow"/>
        </w:rPr>
      </w:pPr>
      <w:r>
        <w:rPr>
          <w:rFonts w:hint="default" w:ascii="Times New Roman" w:hAnsi="Times New Roman" w:cs="Times New Roman"/>
          <w:color w:val="FF0000"/>
          <w:sz w:val="24"/>
          <w:szCs w:val="24"/>
          <w:lang w:val="en-US" w:eastAsia="zh-CN"/>
        </w:rPr>
        <w:t>根据《畜禽养殖业污染防治技术规范》（HJ/T81-2001）、《畜禽养殖业污染治理工程技术规范》（HJ497-2009）及《病死及病害动物无害化处理技术规范》（农医发〔2017〕25号）中的相关规定和要求，病死鸡尸体应及时进行无害化处理，本项目采用</w:t>
      </w:r>
      <w:r>
        <w:rPr>
          <w:rFonts w:hint="eastAsia" w:ascii="Times New Roman" w:hAnsi="Times New Roman" w:cs="Times New Roman"/>
          <w:color w:val="FF0000"/>
          <w:sz w:val="24"/>
          <w:szCs w:val="24"/>
          <w:lang w:val="en-US" w:eastAsia="zh-CN"/>
        </w:rPr>
        <w:t>安全填埋场</w:t>
      </w:r>
      <w:r>
        <w:rPr>
          <w:rFonts w:hint="default" w:ascii="Times New Roman" w:hAnsi="Times New Roman" w:cs="Times New Roman"/>
          <w:color w:val="FF0000"/>
          <w:sz w:val="24"/>
          <w:szCs w:val="24"/>
          <w:lang w:val="en-US" w:eastAsia="zh-CN"/>
        </w:rPr>
        <w:t>处置方式，在项目区东南侧设置安全填埋井1座，采用混凝土结构，井底及四周做重点防渗层，防渗要求：等效黏土防渗层Mb≥6.0m，k≤1.0×10</w:t>
      </w:r>
      <w:r>
        <w:rPr>
          <w:rFonts w:hint="eastAsia" w:ascii="Times New Roman" w:hAnsi="Times New Roman" w:cs="Times New Roman"/>
          <w:color w:val="FF0000"/>
          <w:sz w:val="24"/>
          <w:szCs w:val="24"/>
          <w:vertAlign w:val="superscript"/>
          <w:lang w:val="en-US" w:eastAsia="zh-CN"/>
        </w:rPr>
        <w:t>-7</w:t>
      </w:r>
      <w:r>
        <w:rPr>
          <w:rFonts w:hint="default" w:ascii="Times New Roman" w:hAnsi="Times New Roman" w:cs="Times New Roman"/>
          <w:color w:val="FF0000"/>
          <w:sz w:val="24"/>
          <w:szCs w:val="24"/>
          <w:lang w:val="en-US" w:eastAsia="zh-CN"/>
        </w:rPr>
        <w:t>cm/s；或参照GB18598执行。</w:t>
      </w:r>
      <w:r>
        <w:rPr>
          <w:rFonts w:hint="eastAsia" w:ascii="Times New Roman" w:hAnsi="Times New Roman" w:cs="Times New Roman"/>
          <w:color w:val="FF0000"/>
          <w:sz w:val="24"/>
          <w:szCs w:val="24"/>
          <w:lang w:val="en-US" w:eastAsia="zh-CN"/>
        </w:rPr>
        <w:t>安全填埋场</w:t>
      </w:r>
      <w:r>
        <w:rPr>
          <w:rFonts w:hint="default" w:ascii="Times New Roman" w:hAnsi="Times New Roman" w:cs="Times New Roman"/>
          <w:color w:val="FF0000"/>
          <w:sz w:val="24"/>
          <w:szCs w:val="24"/>
          <w:lang w:val="en-US" w:eastAsia="zh-CN"/>
        </w:rPr>
        <w:t>尺寸为</w:t>
      </w:r>
      <w:r>
        <w:rPr>
          <w:rFonts w:hint="default" w:ascii="Times New Roman" w:hAnsi="Times New Roman" w:cs="Times New Roman"/>
          <w:color w:val="FF0000"/>
          <w:sz w:val="24"/>
          <w:szCs w:val="24"/>
          <w:highlight w:val="none"/>
          <w:lang w:val="en-US" w:eastAsia="zh-CN"/>
        </w:rPr>
        <w:t>：长3m×宽3m×深2m（18m</w:t>
      </w:r>
      <w:r>
        <w:rPr>
          <w:rFonts w:hint="default" w:ascii="Times New Roman" w:hAnsi="Times New Roman" w:cs="Times New Roman"/>
          <w:color w:val="FF0000"/>
          <w:sz w:val="24"/>
          <w:szCs w:val="24"/>
          <w:highlight w:val="none"/>
          <w:vertAlign w:val="superscript"/>
          <w:lang w:val="en-US" w:eastAsia="zh-CN"/>
        </w:rPr>
        <w:t>3</w:t>
      </w:r>
      <w:r>
        <w:rPr>
          <w:rFonts w:hint="default" w:ascii="Times New Roman" w:hAnsi="Times New Roman" w:cs="Times New Roman"/>
          <w:color w:val="FF0000"/>
          <w:sz w:val="24"/>
          <w:szCs w:val="24"/>
          <w:highlight w:val="none"/>
          <w:lang w:val="en-US" w:eastAsia="zh-CN"/>
        </w:rPr>
        <w:t>），井口加盖密封，病死鸡的密度约为1t/m</w:t>
      </w:r>
      <w:r>
        <w:rPr>
          <w:rFonts w:hint="default" w:ascii="Times New Roman" w:hAnsi="Times New Roman" w:cs="Times New Roman"/>
          <w:color w:val="FF0000"/>
          <w:sz w:val="24"/>
          <w:szCs w:val="24"/>
          <w:highlight w:val="none"/>
          <w:vertAlign w:val="superscript"/>
          <w:lang w:val="en-US" w:eastAsia="zh-CN"/>
        </w:rPr>
        <w:t>3</w:t>
      </w:r>
      <w:r>
        <w:rPr>
          <w:rFonts w:hint="default" w:ascii="Times New Roman" w:hAnsi="Times New Roman" w:cs="Times New Roman"/>
          <w:color w:val="FF0000"/>
          <w:sz w:val="24"/>
          <w:szCs w:val="24"/>
          <w:highlight w:val="none"/>
          <w:vertAlign w:val="baseline"/>
          <w:lang w:val="en-US" w:eastAsia="zh-CN"/>
        </w:rPr>
        <w:t>，</w:t>
      </w:r>
      <w:r>
        <w:rPr>
          <w:rFonts w:hint="default" w:ascii="Times New Roman" w:hAnsi="Times New Roman" w:eastAsia="Segoe UI" w:cs="Times New Roman"/>
          <w:i w:val="0"/>
          <w:iCs w:val="0"/>
          <w:caps w:val="0"/>
          <w:color w:val="FF0000"/>
          <w:spacing w:val="0"/>
          <w:sz w:val="24"/>
          <w:szCs w:val="24"/>
          <w:shd w:val="clear" w:fill="FFFFFF"/>
        </w:rPr>
        <w:t>按照每年产生</w:t>
      </w:r>
      <w:r>
        <w:rPr>
          <w:rFonts w:hint="default" w:ascii="Times New Roman" w:hAnsi="Times New Roman" w:eastAsia="宋体" w:cs="Times New Roman"/>
          <w:i w:val="0"/>
          <w:iCs w:val="0"/>
          <w:caps w:val="0"/>
          <w:color w:val="FF0000"/>
          <w:spacing w:val="0"/>
          <w:sz w:val="24"/>
          <w:szCs w:val="24"/>
          <w:shd w:val="clear" w:fill="FFFFFF"/>
          <w:lang w:val="en-US" w:eastAsia="zh-CN"/>
        </w:rPr>
        <w:t>0.9t/a</w:t>
      </w:r>
      <w:r>
        <w:rPr>
          <w:rFonts w:hint="default" w:ascii="Times New Roman" w:hAnsi="Times New Roman" w:eastAsia="Segoe UI" w:cs="Times New Roman"/>
          <w:i w:val="0"/>
          <w:iCs w:val="0"/>
          <w:caps w:val="0"/>
          <w:color w:val="FF0000"/>
          <w:spacing w:val="0"/>
          <w:sz w:val="24"/>
          <w:szCs w:val="24"/>
          <w:shd w:val="clear" w:fill="FFFFFF"/>
        </w:rPr>
        <w:t>病死鸡的量计算，可满足约</w:t>
      </w:r>
      <w:r>
        <w:rPr>
          <w:rFonts w:hint="default" w:ascii="Times New Roman" w:hAnsi="Times New Roman" w:eastAsia="宋体" w:cs="Times New Roman"/>
          <w:i w:val="0"/>
          <w:iCs w:val="0"/>
          <w:caps w:val="0"/>
          <w:color w:val="FF0000"/>
          <w:spacing w:val="0"/>
          <w:sz w:val="24"/>
          <w:szCs w:val="24"/>
          <w:shd w:val="clear" w:fill="FFFFFF"/>
          <w:lang w:val="en-US" w:eastAsia="zh-CN"/>
        </w:rPr>
        <w:t>20</w:t>
      </w:r>
      <w:r>
        <w:rPr>
          <w:rFonts w:hint="default" w:ascii="Times New Roman" w:hAnsi="Times New Roman" w:eastAsia="Segoe UI" w:cs="Times New Roman"/>
          <w:i w:val="0"/>
          <w:iCs w:val="0"/>
          <w:caps w:val="0"/>
          <w:color w:val="FF0000"/>
          <w:spacing w:val="0"/>
          <w:sz w:val="24"/>
          <w:szCs w:val="24"/>
          <w:shd w:val="clear" w:fill="FFFFFF"/>
        </w:rPr>
        <w:t>年的病死鸡填埋需求</w:t>
      </w:r>
      <w:r>
        <w:rPr>
          <w:rFonts w:hint="default" w:ascii="Times New Roman" w:hAnsi="Times New Roman" w:cs="Times New Roman"/>
          <w:color w:val="FF0000"/>
          <w:sz w:val="24"/>
          <w:szCs w:val="24"/>
          <w:highlight w:val="none"/>
          <w:lang w:val="en-US" w:eastAsia="zh-CN"/>
        </w:rPr>
        <w:t>。</w:t>
      </w:r>
    </w:p>
    <w:p w14:paraId="2D332190">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具体做法：进行填埋时，在每次投入病死鸡后，应覆盖一层厚度大于10cm的熟石灰，井填满后，需用黏土填埋压实并封口。</w:t>
      </w:r>
    </w:p>
    <w:p w14:paraId="01F84716">
      <w:pPr>
        <w:keepNext w:val="0"/>
        <w:keepLines w:val="0"/>
        <w:pageBreakBefore w:val="0"/>
        <w:widowControl w:val="0"/>
        <w:numPr>
          <w:ilvl w:val="0"/>
          <w:numId w:val="0"/>
        </w:numPr>
        <w:kinsoku/>
        <w:wordWrap/>
        <w:overflowPunct/>
        <w:topLinePunct w:val="0"/>
        <w:bidi w:val="0"/>
        <w:adjustRightInd/>
        <w:snapToGrid/>
        <w:spacing w:line="360" w:lineRule="auto"/>
        <w:ind w:leftChars="0" w:firstLine="240" w:firstLineChars="1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饲料残渣及散落毛羽</w:t>
      </w:r>
    </w:p>
    <w:p w14:paraId="0497E539">
      <w:pPr>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鸡舍为易污染部位，应当每天清扫，其中废物主要为废饲料、散落的毛羽等，根据同类企业类比</w:t>
      </w:r>
      <w:r>
        <w:rPr>
          <w:rFonts w:hint="default" w:ascii="Times New Roman" w:hAnsi="Times New Roman" w:eastAsia="宋体" w:cs="Times New Roman"/>
          <w:color w:val="FF0000"/>
          <w:sz w:val="24"/>
          <w:szCs w:val="24"/>
          <w:lang w:eastAsia="zh-CN"/>
        </w:rPr>
        <w:t>《汉阴县现代化优质蛋鸡养殖项目》</w:t>
      </w:r>
      <w:r>
        <w:rPr>
          <w:rFonts w:hint="default" w:ascii="Times New Roman" w:hAnsi="Times New Roman" w:eastAsia="宋体" w:cs="Times New Roman"/>
          <w:color w:val="FF0000"/>
          <w:sz w:val="24"/>
          <w:szCs w:val="24"/>
        </w:rPr>
        <w:t>以及企业提供经验数据，年产生量为</w:t>
      </w:r>
      <w:r>
        <w:rPr>
          <w:rFonts w:hint="default" w:ascii="Times New Roman" w:hAnsi="Times New Roman" w:eastAsia="宋体" w:cs="Times New Roman"/>
          <w:color w:val="FF0000"/>
          <w:sz w:val="24"/>
          <w:szCs w:val="24"/>
          <w:lang w:val="en-US" w:eastAsia="zh-CN"/>
        </w:rPr>
        <w:t>2.5</w:t>
      </w:r>
      <w:r>
        <w:rPr>
          <w:rFonts w:hint="default" w:ascii="Times New Roman" w:hAnsi="Times New Roman" w:eastAsia="宋体" w:cs="Times New Roman"/>
          <w:color w:val="FF0000"/>
          <w:sz w:val="24"/>
          <w:szCs w:val="24"/>
        </w:rPr>
        <w:t>t/a。和鸡粪一起清理后送入</w:t>
      </w:r>
      <w:r>
        <w:rPr>
          <w:rFonts w:hint="default" w:ascii="Times New Roman" w:hAnsi="Times New Roman" w:cs="Times New Roman"/>
          <w:color w:val="FF0000"/>
          <w:sz w:val="24"/>
          <w:szCs w:val="24"/>
          <w:lang w:eastAsia="zh-CN"/>
        </w:rPr>
        <w:t>鸡粪发酵处理场</w:t>
      </w:r>
      <w:r>
        <w:rPr>
          <w:rFonts w:hint="default" w:ascii="Times New Roman" w:hAnsi="Times New Roman" w:cs="Times New Roman"/>
          <w:color w:val="FF0000"/>
          <w:sz w:val="24"/>
          <w:szCs w:val="24"/>
          <w:lang w:val="en-US" w:eastAsia="zh-CN"/>
        </w:rPr>
        <w:t>发酵</w:t>
      </w:r>
      <w:r>
        <w:rPr>
          <w:rFonts w:hint="default" w:ascii="Times New Roman" w:hAnsi="Times New Roman" w:eastAsia="宋体" w:cs="Times New Roman"/>
          <w:color w:val="FF0000"/>
          <w:sz w:val="24"/>
          <w:szCs w:val="24"/>
        </w:rPr>
        <w:t>处理。</w:t>
      </w:r>
    </w:p>
    <w:p w14:paraId="5027C57E">
      <w:pPr>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4</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破损蛋</w:t>
      </w:r>
    </w:p>
    <w:p w14:paraId="720EC08E">
      <w:pPr>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eastAsia="宋体" w:cs="Times New Roman"/>
          <w:color w:val="FF0000"/>
          <w:sz w:val="24"/>
          <w:szCs w:val="24"/>
        </w:rPr>
        <w:t>生产过程中，由于工人操作搬运不慎会产生少量破碎的鸡蛋和分拣过程中挑选的破损蛋，类比同类项目</w:t>
      </w:r>
      <w:r>
        <w:rPr>
          <w:rFonts w:hint="default" w:ascii="Times New Roman" w:hAnsi="Times New Roman" w:eastAsia="宋体" w:cs="Times New Roman"/>
          <w:color w:val="FF0000"/>
          <w:sz w:val="24"/>
          <w:szCs w:val="24"/>
          <w:lang w:eastAsia="zh-CN"/>
        </w:rPr>
        <w:t>《汉阴县现代化优质蛋鸡养殖项目》</w:t>
      </w:r>
      <w:r>
        <w:rPr>
          <w:rFonts w:hint="default" w:ascii="Times New Roman" w:hAnsi="Times New Roman" w:eastAsia="宋体" w:cs="Times New Roman"/>
          <w:color w:val="FF0000"/>
          <w:sz w:val="24"/>
          <w:szCs w:val="24"/>
        </w:rPr>
        <w:t>，破损蛋的产生量按0.1%计算</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2600万枚，每枚50克，产生量</w:t>
      </w:r>
      <w:r>
        <w:rPr>
          <w:rFonts w:hint="default" w:ascii="Times New Roman" w:hAnsi="Times New Roman" w:eastAsia="宋体" w:cs="Times New Roman"/>
          <w:color w:val="FF0000"/>
          <w:sz w:val="24"/>
          <w:szCs w:val="24"/>
        </w:rPr>
        <w:t>约为</w:t>
      </w:r>
      <w:r>
        <w:rPr>
          <w:rFonts w:hint="default" w:ascii="Times New Roman" w:hAnsi="Times New Roman" w:eastAsia="宋体" w:cs="Times New Roman"/>
          <w:color w:val="FF0000"/>
          <w:sz w:val="24"/>
          <w:szCs w:val="24"/>
          <w:lang w:val="en-US" w:eastAsia="zh-CN"/>
        </w:rPr>
        <w:t>1.3</w:t>
      </w:r>
      <w:r>
        <w:rPr>
          <w:rFonts w:hint="default" w:ascii="Times New Roman" w:hAnsi="Times New Roman" w:eastAsia="宋体" w:cs="Times New Roman"/>
          <w:color w:val="FF0000"/>
          <w:sz w:val="24"/>
          <w:szCs w:val="24"/>
        </w:rPr>
        <w:t>t/a，破碎鸡蛋与鸡粪一同投入</w:t>
      </w:r>
      <w:r>
        <w:rPr>
          <w:rFonts w:hint="default" w:ascii="Times New Roman" w:hAnsi="Times New Roman" w:cs="Times New Roman"/>
          <w:color w:val="FF0000"/>
          <w:sz w:val="24"/>
          <w:szCs w:val="24"/>
          <w:lang w:eastAsia="zh-CN"/>
        </w:rPr>
        <w:t>鸡粪发酵</w:t>
      </w:r>
      <w:r>
        <w:rPr>
          <w:rFonts w:hint="eastAsia" w:ascii="Times New Roman" w:hAnsi="Times New Roman" w:cs="Times New Roman"/>
          <w:color w:val="FF0000"/>
          <w:sz w:val="24"/>
          <w:szCs w:val="24"/>
          <w:lang w:eastAsia="zh-CN"/>
        </w:rPr>
        <w:t>处理厂</w:t>
      </w:r>
      <w:r>
        <w:rPr>
          <w:rFonts w:hint="default" w:ascii="Times New Roman" w:hAnsi="Times New Roman" w:cs="Times New Roman"/>
          <w:color w:val="FF0000"/>
          <w:sz w:val="24"/>
          <w:szCs w:val="24"/>
          <w:lang w:val="en-US" w:eastAsia="zh-CN"/>
        </w:rPr>
        <w:t>发酵</w:t>
      </w:r>
      <w:r>
        <w:rPr>
          <w:rFonts w:hint="default" w:ascii="Times New Roman" w:hAnsi="Times New Roman" w:eastAsia="宋体" w:cs="Times New Roman"/>
          <w:color w:val="FF0000"/>
          <w:sz w:val="24"/>
          <w:szCs w:val="24"/>
        </w:rPr>
        <w:t>处理。</w:t>
      </w:r>
    </w:p>
    <w:p w14:paraId="7810353B">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）生活垃圾</w:t>
      </w:r>
    </w:p>
    <w:p w14:paraId="67DE91B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本项目生活垃圾主要是员工日常办公及生活产生的废物。本项目劳动定员</w:t>
      </w:r>
      <w:r>
        <w:rPr>
          <w:rFonts w:hint="default"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人，生活垃圾按每人每天0.5kg/d计，生活垃圾产生量约为</w:t>
      </w:r>
      <w:r>
        <w:rPr>
          <w:rFonts w:hint="default" w:ascii="Times New Roman" w:hAnsi="Times New Roman" w:cs="Times New Roman"/>
          <w:color w:val="auto"/>
          <w:sz w:val="24"/>
          <w:szCs w:val="24"/>
          <w:lang w:val="en-US" w:eastAsia="zh-CN"/>
        </w:rPr>
        <w:t>7.3</w:t>
      </w:r>
      <w:r>
        <w:rPr>
          <w:rFonts w:hint="default" w:ascii="Times New Roman" w:hAnsi="Times New Roman" w:cs="Times New Roman"/>
          <w:color w:val="auto"/>
          <w:sz w:val="24"/>
          <w:szCs w:val="24"/>
        </w:rPr>
        <w:t>t/a。生活垃圾集中收集后，委托环卫部门定期清运。</w:t>
      </w:r>
    </w:p>
    <w:p w14:paraId="61713B5E">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FF0000"/>
          <w:kern w:val="2"/>
          <w:sz w:val="24"/>
          <w:szCs w:val="24"/>
          <w:lang w:val="en-US" w:eastAsia="zh-CN" w:bidi="ar-SA"/>
        </w:rPr>
      </w:pPr>
      <w:r>
        <w:rPr>
          <w:rFonts w:hint="default" w:ascii="Times New Roman" w:hAnsi="Times New Roman" w:eastAsia="宋体" w:cs="Times New Roman"/>
          <w:b w:val="0"/>
          <w:color w:val="FF0000"/>
          <w:kern w:val="2"/>
          <w:sz w:val="24"/>
          <w:szCs w:val="24"/>
          <w:lang w:val="en-US" w:eastAsia="zh-CN" w:bidi="ar-SA"/>
        </w:rPr>
        <w:t>（6）废包装</w:t>
      </w:r>
    </w:p>
    <w:p w14:paraId="1290D82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FF0000"/>
          <w:kern w:val="2"/>
          <w:sz w:val="24"/>
          <w:szCs w:val="24"/>
          <w:lang w:val="en-US" w:eastAsia="zh-CN" w:bidi="ar-SA"/>
        </w:rPr>
      </w:pPr>
      <w:r>
        <w:rPr>
          <w:rFonts w:hint="default" w:ascii="Times New Roman" w:hAnsi="Times New Roman" w:eastAsia="宋体" w:cs="Times New Roman"/>
          <w:b w:val="0"/>
          <w:color w:val="FF0000"/>
          <w:kern w:val="2"/>
          <w:sz w:val="24"/>
          <w:szCs w:val="24"/>
          <w:lang w:val="en-US" w:eastAsia="zh-CN" w:bidi="ar-SA"/>
        </w:rPr>
        <w:t>本项目玉米和</w:t>
      </w:r>
      <w:r>
        <w:rPr>
          <w:rFonts w:hint="default" w:ascii="Times New Roman" w:hAnsi="Times New Roman" w:cs="Times New Roman"/>
          <w:b w:val="0"/>
          <w:color w:val="FF0000"/>
          <w:kern w:val="2"/>
          <w:sz w:val="24"/>
          <w:szCs w:val="24"/>
          <w:lang w:val="en-US" w:eastAsia="zh-CN" w:bidi="ar-SA"/>
        </w:rPr>
        <w:t>豆粕</w:t>
      </w:r>
      <w:r>
        <w:rPr>
          <w:rFonts w:hint="default" w:ascii="Times New Roman" w:hAnsi="Times New Roman" w:eastAsia="宋体" w:cs="Times New Roman"/>
          <w:b w:val="0"/>
          <w:color w:val="FF0000"/>
          <w:kern w:val="2"/>
          <w:sz w:val="24"/>
          <w:szCs w:val="24"/>
          <w:lang w:val="en-US" w:eastAsia="zh-CN" w:bidi="ar-SA"/>
        </w:rPr>
        <w:t>，拆分使用过程中会产生废弃包装袋，废弃包装袋产生量约为2t/a，并由饲料原料厂家回收利用或外售。</w:t>
      </w:r>
    </w:p>
    <w:p w14:paraId="7CCC359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（7）粉尘</w:t>
      </w:r>
    </w:p>
    <w:p w14:paraId="730BCBE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项目生产过程中产生的粉尘经收集后，由布袋除尘设施进行处理。根据工程分析废气核算情况，生产过程中除尘设施粉尘的收集量为0.43t/a，全部返回生产过程。</w:t>
      </w:r>
    </w:p>
    <w:p w14:paraId="0DE5DB4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eastAsia="宋体" w:cs="Times New Roman"/>
          <w:b w:val="0"/>
          <w:color w:val="FF0000"/>
          <w:kern w:val="2"/>
          <w:sz w:val="24"/>
          <w:szCs w:val="24"/>
          <w:lang w:val="en-US" w:eastAsia="zh-CN" w:bidi="ar-SA"/>
        </w:rPr>
        <w:t>（8）医疗废</w:t>
      </w:r>
      <w:r>
        <w:rPr>
          <w:rFonts w:hint="default" w:ascii="Times New Roman" w:hAnsi="Times New Roman" w:cs="Times New Roman"/>
          <w:color w:val="FF0000"/>
          <w:sz w:val="24"/>
          <w:szCs w:val="24"/>
        </w:rPr>
        <w:t>物</w:t>
      </w:r>
    </w:p>
    <w:p w14:paraId="24C170C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cs="Times New Roman"/>
          <w:color w:val="FF0000"/>
          <w:sz w:val="24"/>
          <w:szCs w:val="24"/>
          <w:lang w:val="en-US" w:eastAsia="zh-CN"/>
        </w:rPr>
        <w:t>本项目对养殖场内鸡进行防疫、治疗过程中会产生少量废注射用具、过期药品。</w:t>
      </w:r>
    </w:p>
    <w:p w14:paraId="40CA8F27">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lang w:val="en-US" w:eastAsia="zh-CN"/>
        </w:rPr>
      </w:pPr>
      <w:r>
        <w:rPr>
          <w:rFonts w:hint="default" w:ascii="Times New Roman" w:hAnsi="Times New Roman" w:eastAsia="宋体" w:cs="Times New Roman"/>
          <w:color w:val="FF0000"/>
          <w:sz w:val="24"/>
          <w:szCs w:val="24"/>
        </w:rPr>
        <w:t>本项目在运营过程中，会对蛋鸡进行定时接种疫苗，日常防疫化验以及对病伤鸡进行救治，在此过程中会产生一定量的医疗废物如、针头、针管、培养皿、血清、试管、药瓶、不能再使用的药品、酒精棉以及其他一些报废的医疗器具，根据《国家危险废物名录》（2025版），项目产生的防疫废物不属于危险废物。根据建设单位提供资料及同类企业</w:t>
      </w:r>
      <w:r>
        <w:rPr>
          <w:rFonts w:hint="default" w:ascii="Times New Roman" w:hAnsi="Times New Roman" w:eastAsia="宋体" w:cs="Times New Roman"/>
          <w:color w:val="FF0000"/>
          <w:sz w:val="24"/>
          <w:szCs w:val="24"/>
          <w:lang w:eastAsia="zh-CN"/>
        </w:rPr>
        <w:t>《汉阴县现代化优质蛋鸡养殖项目》</w:t>
      </w:r>
      <w:r>
        <w:rPr>
          <w:rFonts w:hint="default" w:ascii="Times New Roman" w:hAnsi="Times New Roman" w:eastAsia="宋体" w:cs="Times New Roman"/>
          <w:color w:val="FF0000"/>
          <w:sz w:val="24"/>
          <w:szCs w:val="24"/>
        </w:rPr>
        <w:t>类比，鸡防疫产生医疗量约为</w:t>
      </w:r>
      <w:r>
        <w:rPr>
          <w:rFonts w:hint="default" w:ascii="Times New Roman" w:hAnsi="Times New Roman" w:eastAsia="宋体" w:cs="Times New Roman"/>
          <w:color w:val="FF0000"/>
          <w:sz w:val="24"/>
          <w:szCs w:val="24"/>
          <w:lang w:val="en-US" w:eastAsia="zh-CN"/>
        </w:rPr>
        <w:t>0.</w:t>
      </w:r>
      <w:r>
        <w:rPr>
          <w:rFonts w:hint="default" w:ascii="Times New Roman" w:hAnsi="Times New Roman" w:eastAsia="宋体" w:cs="Times New Roman"/>
          <w:color w:val="FF0000"/>
          <w:sz w:val="24"/>
          <w:szCs w:val="24"/>
        </w:rPr>
        <w:t>1kg/500只a，经核算，本项目运营过程中医疗废物及防疫废物产生量约为</w:t>
      </w:r>
      <w:r>
        <w:rPr>
          <w:rFonts w:hint="default" w:ascii="Times New Roman" w:hAnsi="Times New Roman" w:eastAsia="宋体" w:cs="Times New Roman"/>
          <w:color w:val="FF0000"/>
          <w:sz w:val="24"/>
          <w:szCs w:val="24"/>
          <w:lang w:val="en-US" w:eastAsia="zh-CN"/>
        </w:rPr>
        <w:t>0.12</w:t>
      </w:r>
      <w:r>
        <w:rPr>
          <w:rFonts w:hint="default" w:ascii="Times New Roman" w:hAnsi="Times New Roman" w:eastAsia="宋体" w:cs="Times New Roman"/>
          <w:color w:val="FF0000"/>
          <w:sz w:val="24"/>
          <w:szCs w:val="24"/>
        </w:rPr>
        <w:t>t/a，暂存于医疗废物暂存间后，运营单位将防疫废物煮沸后作为生活垃圾交环卫部门统一处理。</w:t>
      </w:r>
    </w:p>
    <w:p w14:paraId="744845E6">
      <w:pPr>
        <w:pStyle w:val="14"/>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b/>
          <w:bCs/>
          <w:color w:val="auto"/>
          <w:sz w:val="21"/>
          <w:szCs w:val="21"/>
        </w:rPr>
        <w:t>本项目固废产生和处理措施</w:t>
      </w:r>
    </w:p>
    <w:tbl>
      <w:tblPr>
        <w:tblStyle w:val="33"/>
        <w:tblW w:w="8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2"/>
        <w:gridCol w:w="1097"/>
        <w:gridCol w:w="866"/>
        <w:gridCol w:w="917"/>
        <w:gridCol w:w="840"/>
        <w:gridCol w:w="4395"/>
      </w:tblGrid>
      <w:tr w14:paraId="115D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2" w:type="dxa"/>
            <w:noWrap/>
            <w:vAlign w:val="center"/>
          </w:tcPr>
          <w:p w14:paraId="0A0B0A2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97" w:type="dxa"/>
            <w:noWrap/>
            <w:vAlign w:val="center"/>
          </w:tcPr>
          <w:p w14:paraId="60E7343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866" w:type="dxa"/>
            <w:noWrap/>
            <w:vAlign w:val="center"/>
          </w:tcPr>
          <w:p w14:paraId="274F3A7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1757" w:type="dxa"/>
            <w:gridSpan w:val="2"/>
            <w:noWrap/>
            <w:vAlign w:val="center"/>
          </w:tcPr>
          <w:p w14:paraId="0F70B30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4395" w:type="dxa"/>
            <w:noWrap/>
            <w:vAlign w:val="center"/>
          </w:tcPr>
          <w:p w14:paraId="0F23701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处理措施</w:t>
            </w:r>
          </w:p>
        </w:tc>
      </w:tr>
      <w:tr w14:paraId="470C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462" w:type="dxa"/>
            <w:noWrap/>
            <w:vAlign w:val="center"/>
          </w:tcPr>
          <w:p w14:paraId="0A3DAF7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97" w:type="dxa"/>
            <w:noWrap/>
            <w:vAlign w:val="center"/>
          </w:tcPr>
          <w:p w14:paraId="0E501C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鸡</w:t>
            </w:r>
            <w:r>
              <w:rPr>
                <w:rFonts w:hint="default" w:ascii="Times New Roman" w:hAnsi="Times New Roman" w:cs="Times New Roman"/>
                <w:color w:val="auto"/>
                <w:sz w:val="21"/>
                <w:szCs w:val="21"/>
              </w:rPr>
              <w:t>粪</w:t>
            </w:r>
          </w:p>
        </w:tc>
        <w:tc>
          <w:tcPr>
            <w:tcW w:w="866" w:type="dxa"/>
            <w:noWrap/>
            <w:vAlign w:val="center"/>
          </w:tcPr>
          <w:p w14:paraId="7DB6A17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28470</w:t>
            </w:r>
          </w:p>
        </w:tc>
        <w:tc>
          <w:tcPr>
            <w:tcW w:w="917" w:type="dxa"/>
            <w:noWrap/>
            <w:vAlign w:val="center"/>
          </w:tcPr>
          <w:p w14:paraId="51804513">
            <w:pPr>
              <w:pStyle w:val="69"/>
              <w:ind w:left="0" w:leftChars="0" w:right="-7" w:rightChars="0" w:firstLine="0" w:firstLineChars="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zh-CN" w:eastAsia="zh-CN"/>
              </w:rPr>
              <w:t>SW82畜牧业废物</w:t>
            </w:r>
          </w:p>
        </w:tc>
        <w:tc>
          <w:tcPr>
            <w:tcW w:w="840" w:type="dxa"/>
            <w:noWrap/>
            <w:vAlign w:val="center"/>
          </w:tcPr>
          <w:p w14:paraId="2044DAD8">
            <w:pPr>
              <w:pStyle w:val="69"/>
              <w:ind w:left="0" w:leftChars="0" w:right="-7"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zh-CN" w:eastAsia="zh-CN"/>
              </w:rPr>
              <w:t>030-001-S82</w:t>
            </w:r>
          </w:p>
        </w:tc>
        <w:tc>
          <w:tcPr>
            <w:tcW w:w="4395" w:type="dxa"/>
            <w:noWrap/>
            <w:vAlign w:val="center"/>
          </w:tcPr>
          <w:p w14:paraId="72A2AC2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采取干清粪工艺，每栋鸡舍均设自动清粪系统，鸡舍内设横斜向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，鸡排出的粪便主要通过清粪机进入横向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内，传输至清粪房再通过斜向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进入</w:t>
            </w:r>
            <w:r>
              <w:rPr>
                <w:rFonts w:hint="default" w:ascii="Times New Roman" w:hAnsi="Times New Roman" w:cs="Times New Roman"/>
                <w:color w:val="auto"/>
                <w:sz w:val="21"/>
                <w:szCs w:val="21"/>
                <w:lang w:eastAsia="zh-CN"/>
              </w:rPr>
              <w:t>鸡粪发酵处理场</w:t>
            </w:r>
            <w:r>
              <w:rPr>
                <w:rFonts w:hint="default" w:ascii="Times New Roman" w:hAnsi="Times New Roman" w:cs="Times New Roman"/>
                <w:color w:val="auto"/>
                <w:sz w:val="21"/>
                <w:szCs w:val="21"/>
              </w:rPr>
              <w:t>，发酵处理后，</w:t>
            </w:r>
            <w:r>
              <w:rPr>
                <w:rFonts w:hint="default" w:ascii="Times New Roman" w:hAnsi="Times New Roman" w:cs="Times New Roman"/>
                <w:color w:val="auto"/>
                <w:sz w:val="21"/>
                <w:szCs w:val="21"/>
                <w:lang w:eastAsia="zh-CN"/>
              </w:rPr>
              <w:t>外售农户综合利用</w:t>
            </w:r>
          </w:p>
        </w:tc>
      </w:tr>
      <w:tr w14:paraId="152F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462" w:type="dxa"/>
            <w:noWrap/>
            <w:vAlign w:val="center"/>
          </w:tcPr>
          <w:p w14:paraId="38DDDF6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97" w:type="dxa"/>
            <w:noWrap/>
            <w:vAlign w:val="center"/>
          </w:tcPr>
          <w:p w14:paraId="3110434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866" w:type="dxa"/>
            <w:noWrap/>
            <w:vAlign w:val="center"/>
          </w:tcPr>
          <w:p w14:paraId="3FC6BE5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7.3</w:t>
            </w:r>
          </w:p>
        </w:tc>
        <w:tc>
          <w:tcPr>
            <w:tcW w:w="917" w:type="dxa"/>
            <w:noWrap/>
            <w:vAlign w:val="center"/>
          </w:tcPr>
          <w:p w14:paraId="35DBE90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40" w:type="dxa"/>
            <w:noWrap/>
            <w:vAlign w:val="center"/>
          </w:tcPr>
          <w:p w14:paraId="5E1B769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395" w:type="dxa"/>
            <w:noWrap/>
            <w:vAlign w:val="center"/>
          </w:tcPr>
          <w:p w14:paraId="6DDA60B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集中收集，委托环卫部门清运</w:t>
            </w:r>
          </w:p>
        </w:tc>
      </w:tr>
      <w:tr w14:paraId="0640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462" w:type="dxa"/>
            <w:noWrap/>
            <w:vAlign w:val="center"/>
          </w:tcPr>
          <w:p w14:paraId="1EB5E34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097" w:type="dxa"/>
            <w:noWrap/>
            <w:vAlign w:val="center"/>
          </w:tcPr>
          <w:p w14:paraId="708FB97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病死</w:t>
            </w:r>
            <w:r>
              <w:rPr>
                <w:rFonts w:hint="default" w:ascii="Times New Roman" w:hAnsi="Times New Roman" w:cs="Times New Roman"/>
                <w:color w:val="auto"/>
                <w:sz w:val="21"/>
                <w:szCs w:val="21"/>
                <w:lang w:eastAsia="zh-CN"/>
              </w:rPr>
              <w:t>鸡</w:t>
            </w:r>
          </w:p>
        </w:tc>
        <w:tc>
          <w:tcPr>
            <w:tcW w:w="866" w:type="dxa"/>
            <w:noWrap/>
            <w:vAlign w:val="center"/>
          </w:tcPr>
          <w:p w14:paraId="7EA14AE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0.9</w:t>
            </w:r>
          </w:p>
        </w:tc>
        <w:tc>
          <w:tcPr>
            <w:tcW w:w="917" w:type="dxa"/>
            <w:noWrap/>
            <w:vAlign w:val="center"/>
          </w:tcPr>
          <w:p w14:paraId="40C8D7F1">
            <w:pPr>
              <w:pStyle w:val="69"/>
              <w:ind w:left="0" w:leftChars="0" w:right="-7"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SW82畜牧业废物</w:t>
            </w:r>
          </w:p>
        </w:tc>
        <w:tc>
          <w:tcPr>
            <w:tcW w:w="840" w:type="dxa"/>
            <w:noWrap/>
            <w:vAlign w:val="center"/>
          </w:tcPr>
          <w:p w14:paraId="3429B225">
            <w:pPr>
              <w:pStyle w:val="69"/>
              <w:ind w:left="0" w:leftChars="0" w:right="-7" w:rightChars="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030-002-S82</w:t>
            </w:r>
          </w:p>
        </w:tc>
        <w:tc>
          <w:tcPr>
            <w:tcW w:w="4395" w:type="dxa"/>
            <w:noWrap/>
            <w:vAlign w:val="center"/>
          </w:tcPr>
          <w:p w14:paraId="1346EB7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无害化填埋处置</w:t>
            </w:r>
          </w:p>
        </w:tc>
      </w:tr>
      <w:tr w14:paraId="1CFB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462" w:type="dxa"/>
            <w:noWrap/>
            <w:vAlign w:val="center"/>
          </w:tcPr>
          <w:p w14:paraId="748250A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w:t>
            </w:r>
          </w:p>
        </w:tc>
        <w:tc>
          <w:tcPr>
            <w:tcW w:w="1097" w:type="dxa"/>
            <w:noWrap/>
            <w:vAlign w:val="center"/>
          </w:tcPr>
          <w:p w14:paraId="4A5AC71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动物</w:t>
            </w:r>
            <w:r>
              <w:rPr>
                <w:rFonts w:hint="default" w:ascii="Times New Roman" w:hAnsi="Times New Roman" w:cs="Times New Roman"/>
                <w:color w:val="auto"/>
                <w:sz w:val="21"/>
                <w:szCs w:val="21"/>
              </w:rPr>
              <w:t>医疗废物</w:t>
            </w:r>
          </w:p>
        </w:tc>
        <w:tc>
          <w:tcPr>
            <w:tcW w:w="866" w:type="dxa"/>
            <w:noWrap/>
            <w:vAlign w:val="center"/>
          </w:tcPr>
          <w:p w14:paraId="11BF1C7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0.12</w:t>
            </w:r>
          </w:p>
        </w:tc>
        <w:tc>
          <w:tcPr>
            <w:tcW w:w="917" w:type="dxa"/>
            <w:shd w:val="clear" w:color="auto" w:fill="auto"/>
            <w:noWrap/>
            <w:vAlign w:val="center"/>
          </w:tcPr>
          <w:p w14:paraId="43BE9B2F">
            <w:pPr>
              <w:pStyle w:val="69"/>
              <w:ind w:left="0" w:leftChars="0" w:right="-7" w:rightChars="0" w:firstLine="0" w:firstLineChars="0"/>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highlight w:val="none"/>
                <w:lang w:val="zh-CN" w:eastAsia="zh-CN"/>
              </w:rPr>
              <w:t>SW82畜牧业废物</w:t>
            </w:r>
          </w:p>
        </w:tc>
        <w:tc>
          <w:tcPr>
            <w:tcW w:w="840" w:type="dxa"/>
            <w:shd w:val="clear" w:color="auto" w:fill="auto"/>
            <w:noWrap/>
            <w:vAlign w:val="center"/>
          </w:tcPr>
          <w:p w14:paraId="5A8A89B7">
            <w:pPr>
              <w:pStyle w:val="69"/>
              <w:ind w:left="0" w:leftChars="0" w:right="-7" w:rightChars="0" w:firstLine="0" w:firstLineChars="0"/>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highlight w:val="none"/>
                <w:lang w:val="zh-CN" w:eastAsia="zh-CN"/>
              </w:rPr>
              <w:t>030-003-S82</w:t>
            </w:r>
          </w:p>
        </w:tc>
        <w:tc>
          <w:tcPr>
            <w:tcW w:w="4395" w:type="dxa"/>
            <w:noWrap/>
            <w:vAlign w:val="center"/>
          </w:tcPr>
          <w:p w14:paraId="65A1EA0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暂存于医疗废物暂存间，运营单位将防疫废物煮沸后作为生活垃圾交环卫部门统一处理</w:t>
            </w:r>
          </w:p>
        </w:tc>
      </w:tr>
      <w:tr w14:paraId="74D8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462" w:type="dxa"/>
            <w:noWrap/>
            <w:vAlign w:val="center"/>
          </w:tcPr>
          <w:p w14:paraId="24925E6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w:t>
            </w:r>
          </w:p>
        </w:tc>
        <w:tc>
          <w:tcPr>
            <w:tcW w:w="1097" w:type="dxa"/>
            <w:noWrap/>
            <w:vAlign w:val="center"/>
          </w:tcPr>
          <w:p w14:paraId="2177011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废包装</w:t>
            </w:r>
          </w:p>
        </w:tc>
        <w:tc>
          <w:tcPr>
            <w:tcW w:w="866" w:type="dxa"/>
            <w:noWrap/>
            <w:vAlign w:val="center"/>
          </w:tcPr>
          <w:p w14:paraId="0034390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917" w:type="dxa"/>
            <w:noWrap/>
            <w:vAlign w:val="center"/>
          </w:tcPr>
          <w:p w14:paraId="16907AAC">
            <w:pPr>
              <w:pStyle w:val="69"/>
              <w:ind w:left="0" w:leftChars="0" w:right="-7"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zh-CN" w:eastAsia="zh-CN"/>
              </w:rPr>
              <w:t>SW82畜牧业废物</w:t>
            </w:r>
          </w:p>
        </w:tc>
        <w:tc>
          <w:tcPr>
            <w:tcW w:w="840" w:type="dxa"/>
            <w:noWrap/>
            <w:vAlign w:val="center"/>
          </w:tcPr>
          <w:p w14:paraId="7CFAB1BA">
            <w:pPr>
              <w:pStyle w:val="69"/>
              <w:ind w:left="0" w:leftChars="0" w:right="-7"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zh-CN" w:eastAsia="zh-CN"/>
              </w:rPr>
              <w:t>030-003-S82</w:t>
            </w:r>
          </w:p>
        </w:tc>
        <w:tc>
          <w:tcPr>
            <w:tcW w:w="4395" w:type="dxa"/>
            <w:noWrap/>
            <w:vAlign w:val="center"/>
          </w:tcPr>
          <w:p w14:paraId="3C5E83A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由饲料原料厂家回收利用</w:t>
            </w:r>
            <w:r>
              <w:rPr>
                <w:rFonts w:hint="default" w:ascii="Times New Roman" w:hAnsi="Times New Roman" w:cs="Times New Roman"/>
                <w:color w:val="auto"/>
                <w:sz w:val="21"/>
                <w:szCs w:val="21"/>
                <w:lang w:val="en-US" w:eastAsia="zh-CN"/>
              </w:rPr>
              <w:t>或外售</w:t>
            </w:r>
          </w:p>
        </w:tc>
      </w:tr>
      <w:tr w14:paraId="24E6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462" w:type="dxa"/>
            <w:noWrap/>
            <w:vAlign w:val="center"/>
          </w:tcPr>
          <w:p w14:paraId="1442E7B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bookmarkStart w:id="70" w:name="_Toc21679"/>
            <w:bookmarkStart w:id="71" w:name="_Toc4139"/>
            <w:bookmarkStart w:id="72" w:name="_Toc69749203"/>
            <w:r>
              <w:rPr>
                <w:rFonts w:hint="default" w:ascii="Times New Roman" w:hAnsi="Times New Roman" w:cs="Times New Roman"/>
                <w:color w:val="auto"/>
                <w:sz w:val="21"/>
                <w:szCs w:val="21"/>
                <w:lang w:val="en-US" w:eastAsia="zh-CN"/>
              </w:rPr>
              <w:t>6</w:t>
            </w:r>
          </w:p>
        </w:tc>
        <w:tc>
          <w:tcPr>
            <w:tcW w:w="1097" w:type="dxa"/>
            <w:noWrap/>
            <w:vAlign w:val="center"/>
          </w:tcPr>
          <w:p w14:paraId="371E12F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rPr>
              <w:t>破损蛋</w:t>
            </w:r>
          </w:p>
        </w:tc>
        <w:tc>
          <w:tcPr>
            <w:tcW w:w="866" w:type="dxa"/>
            <w:noWrap/>
            <w:vAlign w:val="center"/>
          </w:tcPr>
          <w:p w14:paraId="4B87039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917" w:type="dxa"/>
            <w:noWrap/>
            <w:vAlign w:val="center"/>
          </w:tcPr>
          <w:p w14:paraId="2AB6F8D8">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SW82畜牧业废物</w:t>
            </w:r>
          </w:p>
        </w:tc>
        <w:tc>
          <w:tcPr>
            <w:tcW w:w="840" w:type="dxa"/>
            <w:noWrap/>
            <w:vAlign w:val="center"/>
          </w:tcPr>
          <w:p w14:paraId="71299809">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030-002-S82</w:t>
            </w:r>
          </w:p>
        </w:tc>
        <w:tc>
          <w:tcPr>
            <w:tcW w:w="4395" w:type="dxa"/>
            <w:noWrap/>
            <w:vAlign w:val="center"/>
          </w:tcPr>
          <w:p w14:paraId="07D92CD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斜向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进入</w:t>
            </w:r>
            <w:r>
              <w:rPr>
                <w:rFonts w:hint="default" w:ascii="Times New Roman" w:hAnsi="Times New Roman" w:cs="Times New Roman"/>
                <w:color w:val="auto"/>
                <w:sz w:val="21"/>
                <w:szCs w:val="21"/>
                <w:lang w:eastAsia="zh-CN"/>
              </w:rPr>
              <w:t>鸡粪发酵</w:t>
            </w:r>
            <w:r>
              <w:rPr>
                <w:rFonts w:hint="eastAsia" w:ascii="Times New Roman" w:hAnsi="Times New Roman" w:cs="Times New Roman"/>
                <w:color w:val="auto"/>
                <w:sz w:val="21"/>
                <w:szCs w:val="21"/>
                <w:lang w:eastAsia="zh-CN"/>
              </w:rPr>
              <w:t>处理厂</w:t>
            </w:r>
            <w:r>
              <w:rPr>
                <w:rFonts w:hint="default" w:ascii="Times New Roman" w:hAnsi="Times New Roman" w:cs="Times New Roman"/>
                <w:color w:val="auto"/>
                <w:sz w:val="21"/>
                <w:szCs w:val="21"/>
              </w:rPr>
              <w:t>，发酵处理后，</w:t>
            </w:r>
            <w:r>
              <w:rPr>
                <w:rFonts w:hint="default" w:ascii="Times New Roman" w:hAnsi="Times New Roman" w:cs="Times New Roman"/>
                <w:color w:val="auto"/>
                <w:sz w:val="21"/>
                <w:szCs w:val="21"/>
                <w:lang w:eastAsia="zh-CN"/>
              </w:rPr>
              <w:t>外售农户综合利用</w:t>
            </w:r>
            <w:r>
              <w:rPr>
                <w:rFonts w:hint="default" w:ascii="Times New Roman" w:hAnsi="Times New Roman" w:cs="Times New Roman"/>
                <w:color w:val="auto"/>
                <w:sz w:val="21"/>
                <w:szCs w:val="21"/>
              </w:rPr>
              <w:t>。</w:t>
            </w:r>
          </w:p>
        </w:tc>
      </w:tr>
      <w:tr w14:paraId="42AD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462" w:type="dxa"/>
            <w:noWrap/>
            <w:vAlign w:val="center"/>
          </w:tcPr>
          <w:p w14:paraId="537CB73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097" w:type="dxa"/>
            <w:noWrap/>
            <w:vAlign w:val="center"/>
          </w:tcPr>
          <w:p w14:paraId="0D3FD70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饲料残渣及散落毛羽</w:t>
            </w:r>
          </w:p>
        </w:tc>
        <w:tc>
          <w:tcPr>
            <w:tcW w:w="866" w:type="dxa"/>
            <w:noWrap/>
            <w:vAlign w:val="center"/>
          </w:tcPr>
          <w:p w14:paraId="2C9C8BD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917" w:type="dxa"/>
            <w:noWrap/>
            <w:vAlign w:val="center"/>
          </w:tcPr>
          <w:p w14:paraId="6A0B6D73">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SW82畜牧业废物</w:t>
            </w:r>
          </w:p>
        </w:tc>
        <w:tc>
          <w:tcPr>
            <w:tcW w:w="840" w:type="dxa"/>
            <w:noWrap/>
            <w:vAlign w:val="center"/>
          </w:tcPr>
          <w:p w14:paraId="07F26006">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030-002-S82</w:t>
            </w:r>
          </w:p>
        </w:tc>
        <w:tc>
          <w:tcPr>
            <w:tcW w:w="4395" w:type="dxa"/>
            <w:noWrap/>
            <w:vAlign w:val="center"/>
          </w:tcPr>
          <w:p w14:paraId="5218B4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斜向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进入</w:t>
            </w:r>
            <w:r>
              <w:rPr>
                <w:rFonts w:hint="default" w:ascii="Times New Roman" w:hAnsi="Times New Roman" w:cs="Times New Roman"/>
                <w:color w:val="auto"/>
                <w:sz w:val="21"/>
                <w:szCs w:val="21"/>
                <w:lang w:eastAsia="zh-CN"/>
              </w:rPr>
              <w:t>鸡粪发酵</w:t>
            </w:r>
            <w:r>
              <w:rPr>
                <w:rFonts w:hint="eastAsia" w:ascii="Times New Roman" w:hAnsi="Times New Roman" w:cs="Times New Roman"/>
                <w:color w:val="auto"/>
                <w:sz w:val="21"/>
                <w:szCs w:val="21"/>
                <w:lang w:eastAsia="zh-CN"/>
              </w:rPr>
              <w:t>处理厂</w:t>
            </w:r>
            <w:r>
              <w:rPr>
                <w:rFonts w:hint="default" w:ascii="Times New Roman" w:hAnsi="Times New Roman" w:cs="Times New Roman"/>
                <w:color w:val="auto"/>
                <w:sz w:val="21"/>
                <w:szCs w:val="21"/>
              </w:rPr>
              <w:t>，发酵处理后，</w:t>
            </w:r>
            <w:r>
              <w:rPr>
                <w:rFonts w:hint="default" w:ascii="Times New Roman" w:hAnsi="Times New Roman" w:cs="Times New Roman"/>
                <w:color w:val="auto"/>
                <w:sz w:val="21"/>
                <w:szCs w:val="21"/>
                <w:lang w:eastAsia="zh-CN"/>
              </w:rPr>
              <w:t>外售农户综合利用</w:t>
            </w:r>
            <w:r>
              <w:rPr>
                <w:rFonts w:hint="default" w:ascii="Times New Roman" w:hAnsi="Times New Roman" w:cs="Times New Roman"/>
                <w:color w:val="auto"/>
                <w:sz w:val="21"/>
                <w:szCs w:val="21"/>
              </w:rPr>
              <w:t>。</w:t>
            </w:r>
          </w:p>
        </w:tc>
      </w:tr>
      <w:tr w14:paraId="294E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2" w:type="dxa"/>
            <w:noWrap/>
            <w:vAlign w:val="center"/>
          </w:tcPr>
          <w:p w14:paraId="49269C3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097" w:type="dxa"/>
            <w:noWrap/>
            <w:vAlign w:val="center"/>
          </w:tcPr>
          <w:p w14:paraId="01357BE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粉尘</w:t>
            </w:r>
          </w:p>
        </w:tc>
        <w:tc>
          <w:tcPr>
            <w:tcW w:w="866" w:type="dxa"/>
            <w:noWrap/>
            <w:vAlign w:val="center"/>
          </w:tcPr>
          <w:p w14:paraId="6CC6E4B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0.43</w:t>
            </w:r>
          </w:p>
        </w:tc>
        <w:tc>
          <w:tcPr>
            <w:tcW w:w="917" w:type="dxa"/>
            <w:noWrap/>
            <w:vAlign w:val="center"/>
          </w:tcPr>
          <w:p w14:paraId="4848064A">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SW82畜牧业废物</w:t>
            </w:r>
          </w:p>
        </w:tc>
        <w:tc>
          <w:tcPr>
            <w:tcW w:w="840" w:type="dxa"/>
            <w:noWrap/>
            <w:vAlign w:val="center"/>
          </w:tcPr>
          <w:p w14:paraId="06670A9B">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030-002-S82</w:t>
            </w:r>
          </w:p>
        </w:tc>
        <w:tc>
          <w:tcPr>
            <w:tcW w:w="4395" w:type="dxa"/>
            <w:noWrap/>
            <w:vAlign w:val="center"/>
          </w:tcPr>
          <w:p w14:paraId="19C09BF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全部返回生产过程</w:t>
            </w:r>
          </w:p>
        </w:tc>
      </w:tr>
    </w:tbl>
    <w:p w14:paraId="5D4D576B">
      <w:pPr>
        <w:pStyle w:val="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总量控制</w:t>
      </w:r>
      <w:bookmarkEnd w:id="70"/>
      <w:bookmarkEnd w:id="71"/>
      <w:bookmarkEnd w:id="72"/>
    </w:p>
    <w:p w14:paraId="7A92EB17">
      <w:pPr>
        <w:pStyle w:val="4"/>
        <w:bidi w:val="0"/>
        <w:rPr>
          <w:rFonts w:hint="default" w:ascii="Times New Roman" w:hAnsi="Times New Roman" w:cs="Times New Roman"/>
          <w:color w:val="auto"/>
          <w:lang w:val="en-US" w:eastAsia="zh-CN"/>
        </w:rPr>
      </w:pPr>
      <w:bookmarkStart w:id="73" w:name="_Toc13012"/>
      <w:bookmarkStart w:id="74" w:name="_Toc11689"/>
      <w:r>
        <w:rPr>
          <w:rFonts w:hint="default" w:ascii="Times New Roman" w:hAnsi="Times New Roman" w:cs="Times New Roman"/>
          <w:color w:val="auto"/>
          <w:lang w:val="en-US" w:eastAsia="zh-CN"/>
        </w:rPr>
        <w:t>污染物总量控制原则</w:t>
      </w:r>
      <w:bookmarkEnd w:id="73"/>
      <w:bookmarkEnd w:id="74"/>
    </w:p>
    <w:p w14:paraId="2BCFDD1A">
      <w:pPr>
        <w:pStyle w:val="16"/>
        <w:bidi w:val="0"/>
        <w:rPr>
          <w:rFonts w:hint="default" w:ascii="Times New Roman" w:hAnsi="Times New Roman" w:cs="Times New Roman"/>
          <w:color w:val="auto"/>
        </w:rPr>
      </w:pPr>
      <w:r>
        <w:rPr>
          <w:rFonts w:hint="default" w:ascii="Times New Roman" w:hAnsi="Times New Roman" w:cs="Times New Roman"/>
          <w:color w:val="auto"/>
        </w:rPr>
        <w:t>污染物总量控制应遵循以下原则：</w:t>
      </w:r>
    </w:p>
    <w:p w14:paraId="11A4D217">
      <w:pPr>
        <w:pStyle w:val="16"/>
        <w:bidi w:val="0"/>
        <w:rPr>
          <w:rFonts w:hint="default" w:ascii="Times New Roman" w:hAnsi="Times New Roman" w:cs="Times New Roman"/>
          <w:color w:val="auto"/>
        </w:rPr>
      </w:pPr>
      <w:r>
        <w:rPr>
          <w:rFonts w:hint="default" w:ascii="Times New Roman" w:hAnsi="Times New Roman" w:cs="Times New Roman"/>
          <w:color w:val="auto"/>
          <w:lang w:val="en-US"/>
        </w:rPr>
        <w:t>1、</w:t>
      </w:r>
      <w:r>
        <w:rPr>
          <w:rFonts w:hint="default" w:ascii="Times New Roman" w:hAnsi="Times New Roman" w:cs="Times New Roman"/>
          <w:color w:val="auto"/>
        </w:rPr>
        <w:t>符合评价区环境功能区划要求的原则；</w:t>
      </w:r>
    </w:p>
    <w:p w14:paraId="0FED2870">
      <w:pPr>
        <w:pStyle w:val="16"/>
        <w:bidi w:val="0"/>
        <w:rPr>
          <w:rFonts w:hint="default" w:ascii="Times New Roman" w:hAnsi="Times New Roman" w:cs="Times New Roman"/>
          <w:color w:val="auto"/>
        </w:rPr>
      </w:pPr>
      <w:r>
        <w:rPr>
          <w:rFonts w:hint="default" w:ascii="Times New Roman" w:hAnsi="Times New Roman" w:cs="Times New Roman"/>
          <w:color w:val="auto"/>
          <w:lang w:val="en-US"/>
        </w:rPr>
        <w:t>2、</w:t>
      </w:r>
      <w:r>
        <w:rPr>
          <w:rFonts w:hint="default" w:ascii="Times New Roman" w:hAnsi="Times New Roman" w:cs="Times New Roman"/>
          <w:color w:val="auto"/>
        </w:rPr>
        <w:t>污染物达标排放及污染防治技术可行原则；</w:t>
      </w:r>
    </w:p>
    <w:p w14:paraId="46141464">
      <w:pPr>
        <w:pStyle w:val="16"/>
        <w:bidi w:val="0"/>
        <w:rPr>
          <w:rFonts w:hint="default" w:ascii="Times New Roman" w:hAnsi="Times New Roman" w:cs="Times New Roman"/>
          <w:color w:val="auto"/>
        </w:rPr>
      </w:pPr>
      <w:r>
        <w:rPr>
          <w:rFonts w:hint="default" w:ascii="Times New Roman" w:hAnsi="Times New Roman" w:cs="Times New Roman"/>
          <w:color w:val="auto"/>
          <w:lang w:val="en-US"/>
        </w:rPr>
        <w:t>3、</w:t>
      </w:r>
      <w:r>
        <w:rPr>
          <w:rFonts w:hint="default" w:ascii="Times New Roman" w:hAnsi="Times New Roman" w:cs="Times New Roman"/>
          <w:color w:val="auto"/>
        </w:rPr>
        <w:t>实施清洁生产，促进企业技术进步和可持续发展的原则。</w:t>
      </w:r>
    </w:p>
    <w:p w14:paraId="010159CF">
      <w:pPr>
        <w:pStyle w:val="4"/>
        <w:bidi w:val="0"/>
        <w:rPr>
          <w:rFonts w:hint="default" w:ascii="Times New Roman" w:hAnsi="Times New Roman" w:cs="Times New Roman"/>
          <w:color w:val="auto"/>
          <w:lang w:val="en-US" w:eastAsia="zh-CN"/>
        </w:rPr>
      </w:pPr>
      <w:bookmarkStart w:id="75" w:name="_Toc28961"/>
      <w:bookmarkStart w:id="76" w:name="_Toc28952"/>
      <w:r>
        <w:rPr>
          <w:rFonts w:hint="default" w:ascii="Times New Roman" w:hAnsi="Times New Roman" w:cs="Times New Roman"/>
          <w:color w:val="auto"/>
          <w:lang w:val="en-US" w:eastAsia="zh-CN"/>
        </w:rPr>
        <w:t>总量控制指标</w:t>
      </w:r>
      <w:bookmarkEnd w:id="75"/>
      <w:bookmarkEnd w:id="76"/>
    </w:p>
    <w:p w14:paraId="317D9DB7">
      <w:pPr>
        <w:pStyle w:val="16"/>
        <w:bidi w:val="0"/>
        <w:rPr>
          <w:rFonts w:hint="default" w:ascii="Times New Roman" w:hAnsi="Times New Roman" w:cs="Times New Roman"/>
          <w:color w:val="auto"/>
        </w:rPr>
      </w:pPr>
      <w:r>
        <w:rPr>
          <w:rFonts w:hint="default" w:ascii="Times New Roman" w:hAnsi="Times New Roman" w:cs="Times New Roman"/>
          <w:color w:val="auto"/>
        </w:rPr>
        <w:t>污染物排放总量控制是控制环境污染的重要手段，其主要内涵是：在追求较好的经济性和合理的空间布局基础上，实现区域环境污染的有效控制；在企业技术进步、采用世界先进生产设备和加强治理污染的前提下，争取达到增产不增污乃至增产减污的目标。</w:t>
      </w:r>
    </w:p>
    <w:p w14:paraId="20652434">
      <w:pPr>
        <w:pStyle w:val="16"/>
        <w:bidi w:val="0"/>
        <w:rPr>
          <w:rFonts w:hint="default" w:ascii="Times New Roman" w:hAnsi="Times New Roman" w:cs="Times New Roman"/>
          <w:color w:val="auto"/>
        </w:rPr>
      </w:pPr>
      <w:r>
        <w:rPr>
          <w:rFonts w:hint="default" w:ascii="Times New Roman" w:hAnsi="Times New Roman" w:cs="Times New Roman"/>
          <w:color w:val="auto"/>
        </w:rPr>
        <w:t>依据本项目的工程分析和所采取的环保措施，本项目不设置总量控制指标。</w:t>
      </w:r>
    </w:p>
    <w:p w14:paraId="6C012321">
      <w:pPr>
        <w:pStyle w:val="3"/>
        <w:bidi w:val="0"/>
        <w:rPr>
          <w:rFonts w:hint="default" w:ascii="Times New Roman" w:hAnsi="Times New Roman" w:eastAsia="宋体" w:cs="Times New Roman"/>
          <w:b/>
          <w:color w:val="auto"/>
          <w:sz w:val="32"/>
          <w:highlight w:val="none"/>
          <w:lang w:val="en-US" w:eastAsia="zh-CN"/>
        </w:rPr>
      </w:pPr>
      <w:bookmarkStart w:id="77" w:name="_Toc31078"/>
      <w:bookmarkStart w:id="78" w:name="_Toc8505"/>
      <w:r>
        <w:rPr>
          <w:rFonts w:hint="default" w:ascii="Times New Roman" w:hAnsi="Times New Roman" w:eastAsia="宋体" w:cs="Times New Roman"/>
          <w:b/>
          <w:color w:val="auto"/>
          <w:sz w:val="32"/>
          <w:highlight w:val="none"/>
          <w:lang w:val="en-US" w:eastAsia="zh-CN"/>
        </w:rPr>
        <w:t>清洁生产与循环经济分析</w:t>
      </w:r>
      <w:bookmarkEnd w:id="77"/>
      <w:bookmarkEnd w:id="78"/>
      <w:r>
        <w:rPr>
          <w:rFonts w:hint="default" w:ascii="Times New Roman" w:hAnsi="Times New Roman" w:eastAsia="宋体" w:cs="Times New Roman"/>
          <w:b/>
          <w:color w:val="auto"/>
          <w:sz w:val="32"/>
          <w:highlight w:val="none"/>
          <w:lang w:val="en-US" w:eastAsia="zh-CN"/>
        </w:rPr>
        <w:tab/>
      </w:r>
    </w:p>
    <w:p w14:paraId="3E239021">
      <w:pPr>
        <w:pStyle w:val="4"/>
        <w:bidi w:val="0"/>
        <w:rPr>
          <w:rFonts w:hint="default" w:ascii="Times New Roman" w:hAnsi="Times New Roman" w:cs="Times New Roman"/>
          <w:color w:val="auto"/>
          <w:lang w:val="en-US" w:eastAsia="zh-CN"/>
        </w:rPr>
      </w:pPr>
      <w:bookmarkStart w:id="79" w:name="_Toc12393"/>
      <w:bookmarkStart w:id="80" w:name="_Toc27525"/>
      <w:r>
        <w:rPr>
          <w:rFonts w:hint="default" w:ascii="Times New Roman" w:hAnsi="Times New Roman" w:cs="Times New Roman"/>
          <w:color w:val="auto"/>
          <w:lang w:val="en-US" w:eastAsia="zh-CN"/>
        </w:rPr>
        <w:t>清洁生产分析</w:t>
      </w:r>
      <w:bookmarkEnd w:id="79"/>
      <w:bookmarkEnd w:id="80"/>
    </w:p>
    <w:p w14:paraId="4586D0FE">
      <w:pPr>
        <w:pStyle w:val="16"/>
        <w:bidi w:val="0"/>
        <w:rPr>
          <w:rFonts w:hint="default" w:ascii="Times New Roman" w:hAnsi="Times New Roman" w:cs="Times New Roman"/>
          <w:color w:val="auto"/>
        </w:rPr>
      </w:pPr>
      <w:r>
        <w:rPr>
          <w:rFonts w:hint="default" w:ascii="Times New Roman" w:hAnsi="Times New Roman" w:cs="Times New Roman"/>
          <w:color w:val="auto"/>
        </w:rPr>
        <w:t>清洁生产是一种新的创造性的思想，该思想将整体预防的环境战略持续应用于生产过程、产品和服务中，以增加生态效率和减少人类及环境的风险。对生产过程，要求节约原材料和能源，淘汰有毒原材料，减降所有废弃物的数量和毒性；对产品要求减少从原材料提炼到产品最终处置的全生命周期不利影响；对服务，要求将环境因素纳入设计和所提供的服务中。</w:t>
      </w:r>
    </w:p>
    <w:p w14:paraId="1BA1E162">
      <w:pPr>
        <w:pStyle w:val="16"/>
        <w:bidi w:val="0"/>
        <w:rPr>
          <w:rFonts w:hint="default" w:ascii="Times New Roman" w:hAnsi="Times New Roman" w:cs="Times New Roman"/>
          <w:color w:val="auto"/>
        </w:rPr>
      </w:pPr>
      <w:r>
        <w:rPr>
          <w:rFonts w:hint="default" w:ascii="Times New Roman" w:hAnsi="Times New Roman" w:cs="Times New Roman"/>
          <w:color w:val="auto"/>
        </w:rPr>
        <w:t>清洁生产打破了传统的“末端”管理模式，注重从源头寻找使污染最少化的途径，将预防和治理污染贯穿于整个生产过程和产品消费使用过程，通过实施清洁生产能够节约能源、降低原材料消耗、减少污染、降低产品成本和“废物”处理费用，提高劳动生产率，改善劳动条件，直接或间接地提高经济效益，是实现企业可持续发展的一种新模式。</w:t>
      </w:r>
    </w:p>
    <w:p w14:paraId="273F5840">
      <w:pPr>
        <w:keepNext w:val="0"/>
        <w:keepLines w:val="0"/>
        <w:pageBreakBefore w:val="0"/>
        <w:widowControl w:val="0"/>
        <w:tabs>
          <w:tab w:val="left" w:leader="dot" w:pos="87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val="en-US" w:eastAsia="zh-CN"/>
        </w:rPr>
        <w:t>（1）项目生产工艺分析</w:t>
      </w:r>
    </w:p>
    <w:p w14:paraId="481B708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项目采用干清粪工艺</w:t>
      </w:r>
      <w:r>
        <w:rPr>
          <w:rFonts w:hint="default" w:ascii="Times New Roman" w:hAnsi="Times New Roman" w:cs="Times New Roman"/>
          <w:color w:val="auto"/>
          <w:sz w:val="24"/>
          <w:lang w:eastAsia="zh-CN"/>
        </w:rPr>
        <w:t>，每栋鸡舍均设自动清粪系统，鸡舍内设横斜向</w:t>
      </w:r>
      <w:r>
        <w:rPr>
          <w:rFonts w:hint="eastAsia" w:ascii="Times New Roman" w:hAnsi="Times New Roman" w:cs="Times New Roman"/>
          <w:color w:val="auto"/>
          <w:sz w:val="24"/>
          <w:lang w:eastAsia="zh-CN"/>
        </w:rPr>
        <w:t>粪便传送带</w:t>
      </w:r>
      <w:r>
        <w:rPr>
          <w:rFonts w:hint="default" w:ascii="Times New Roman" w:hAnsi="Times New Roman" w:cs="Times New Roman"/>
          <w:color w:val="auto"/>
          <w:sz w:val="24"/>
          <w:lang w:eastAsia="zh-CN"/>
        </w:rPr>
        <w:t>，鸡排出的粪便主要通过清粪机进入横向</w:t>
      </w:r>
      <w:r>
        <w:rPr>
          <w:rFonts w:hint="eastAsia" w:ascii="Times New Roman" w:hAnsi="Times New Roman" w:cs="Times New Roman"/>
          <w:color w:val="auto"/>
          <w:sz w:val="24"/>
          <w:lang w:eastAsia="zh-CN"/>
        </w:rPr>
        <w:t>粪便传送带</w:t>
      </w:r>
      <w:r>
        <w:rPr>
          <w:rFonts w:hint="default" w:ascii="Times New Roman" w:hAnsi="Times New Roman" w:cs="Times New Roman"/>
          <w:color w:val="auto"/>
          <w:sz w:val="24"/>
          <w:lang w:eastAsia="zh-CN"/>
        </w:rPr>
        <w:t>内，传输至清粪房再通过斜向</w:t>
      </w:r>
      <w:r>
        <w:rPr>
          <w:rFonts w:hint="eastAsia" w:ascii="Times New Roman" w:hAnsi="Times New Roman" w:cs="Times New Roman"/>
          <w:color w:val="auto"/>
          <w:sz w:val="24"/>
          <w:lang w:eastAsia="zh-CN"/>
        </w:rPr>
        <w:t>粪便传送带</w:t>
      </w:r>
      <w:r>
        <w:rPr>
          <w:rFonts w:hint="default" w:ascii="Times New Roman" w:hAnsi="Times New Roman" w:cs="Times New Roman"/>
          <w:color w:val="auto"/>
          <w:sz w:val="24"/>
          <w:lang w:eastAsia="zh-CN"/>
        </w:rPr>
        <w:t>进入鸡粪发酵处理场，发酵处理后，外售农户综合利用</w:t>
      </w:r>
      <w:r>
        <w:rPr>
          <w:rFonts w:hint="default" w:ascii="Times New Roman" w:hAnsi="Times New Roman" w:cs="Times New Roman"/>
          <w:color w:val="auto"/>
          <w:sz w:val="24"/>
        </w:rPr>
        <w:t>。</w:t>
      </w:r>
    </w:p>
    <w:p w14:paraId="0697F9E3">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粪便处理工艺方面：项目鸡舍粪便收集设施（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和清粪机）定期进行冲洗，鸡舍粪便收集设施（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和清粪机）冲洗废水收集后排入1座100m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废水收集池，与生活污水一起用于粪便堆肥，增加有机肥湿度。粪便收集至鸡粪发酵处理场发酵后外售农户综合利用。</w:t>
      </w:r>
    </w:p>
    <w:p w14:paraId="4EB9931F">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鸡饮用水采用乳头式饮水器，能够减少饮用水的滴漏和其他原因造成的水浪费，本项目工艺及设备较为先进，符合清洁生产要求。</w:t>
      </w:r>
    </w:p>
    <w:p w14:paraId="350A5272">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综上所述，符合《畜禽养殖业污染治理工程技术规范》（HJ497-2009）中关于养殖工艺选择的要求。</w:t>
      </w:r>
    </w:p>
    <w:p w14:paraId="2C014B3A">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（2）资源能源利用分析</w:t>
      </w:r>
    </w:p>
    <w:p w14:paraId="2ED391A8">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1）节能分析</w:t>
      </w:r>
    </w:p>
    <w:p w14:paraId="6A87BABD">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本项目以电为主要能源，由当地供电供给，属于清洁能源。</w:t>
      </w:r>
    </w:p>
    <w:p w14:paraId="7FB9650D">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2）节水分析</w:t>
      </w:r>
    </w:p>
    <w:p w14:paraId="3053BC81">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耗水主要体现鸡饮用水，采用先进的乳头饮水系统，该系统避免了繁琐的清洗饮水器的工作、体积小等优点，同时正常工作的乳头饮水系统能够有效地封闭水源，保证水质干净，减少疾病的传播。鸡只需轻喙供水乳头就能正常饮水，该系统能够保证鸡自动、随时饮用新鲜水，同时能根据鸡的体型生长自动调整水位的高低，避免不必要的浪费，节约水资源。</w:t>
      </w:r>
    </w:p>
    <w:p w14:paraId="088286E3">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（3）产品清洁分析</w:t>
      </w:r>
    </w:p>
    <w:p w14:paraId="28EBC759">
      <w:pPr>
        <w:keepNext w:val="0"/>
        <w:keepLines w:val="0"/>
        <w:pageBreakBefore w:val="0"/>
        <w:widowControl w:val="0"/>
        <w:tabs>
          <w:tab w:val="left" w:leader="dot" w:pos="8770"/>
        </w:tabs>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进行蛋鸡、肉鸡养殖，主要产品为鸡蛋、肉鸡。本项目不饲喂任何抗生素、违禁药物，饲料主要成分有玉米粒、豆粕、麦皮、石粉和预混料，富含维生素VA、VE和VB等维生素及微量元素。因此蛋鸡的饲养原料各种饲料和添加剂是环境友好型的。同时本项目在蛋鸡的饲养过程中补充有益微生物复合制剂。可加强蛋鸡的抗病力，降低蛋鸡生病率和死亡率，同时含有益微生物复合制剂的饲料可减少鸡粪中氨氮的排泄量，有效控制恶臭气体的产生。</w:t>
      </w:r>
    </w:p>
    <w:p w14:paraId="2EFC403B">
      <w:pPr>
        <w:keepNext w:val="0"/>
        <w:keepLines w:val="0"/>
        <w:pageBreakBefore w:val="0"/>
        <w:widowControl w:val="0"/>
        <w:tabs>
          <w:tab w:val="left" w:leader="dot" w:pos="8770"/>
        </w:tabs>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综上所述，本项目产品符合清洁生产要求。</w:t>
      </w:r>
    </w:p>
    <w:p w14:paraId="6BB0B881">
      <w:pPr>
        <w:pStyle w:val="120"/>
        <w:keepNext w:val="0"/>
        <w:keepLines w:val="0"/>
        <w:pageBreakBefore w:val="0"/>
        <w:widowControl w:val="0"/>
        <w:kinsoku/>
        <w:wordWrap/>
        <w:overflowPunct/>
        <w:topLinePunct w:val="0"/>
        <w:autoSpaceDE/>
        <w:autoSpaceDN/>
        <w:bidi w:val="0"/>
        <w:adjustRightInd/>
        <w:snapToGrid/>
        <w:spacing w:line="360" w:lineRule="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（4）废物回收利用指标</w:t>
      </w:r>
    </w:p>
    <w:p w14:paraId="44C9F9E0">
      <w:pPr>
        <w:pStyle w:val="120"/>
        <w:keepNext w:val="0"/>
        <w:keepLines w:val="0"/>
        <w:pageBreakBefore w:val="0"/>
        <w:widowControl w:val="0"/>
        <w:kinsoku/>
        <w:wordWrap/>
        <w:overflowPunct/>
        <w:topLinePunct w:val="0"/>
        <w:autoSpaceDE/>
        <w:autoSpaceDN/>
        <w:bidi w:val="0"/>
        <w:adjustRightInd/>
        <w:snapToGrid/>
        <w:spacing w:line="360" w:lineRule="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1）废水处理</w:t>
      </w:r>
    </w:p>
    <w:p w14:paraId="7B0797BC">
      <w:pPr>
        <w:tabs>
          <w:tab w:val="left" w:leader="dot" w:pos="8770"/>
        </w:tabs>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粪便处理工艺方面：项目鸡舍粪便收集设施（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和清粪机）定期进行冲洗，鸡舍粪便收集设施（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和清粪机）冲洗废水收集后排入1座100m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废水收集池，与生活污水一起用于粪便堆肥，增加有机肥湿度。粪便收集至鸡粪发酵处理场暂存后发酵后外售农户综合利用。</w:t>
      </w:r>
    </w:p>
    <w:p w14:paraId="1DD93D6A">
      <w:pPr>
        <w:pStyle w:val="120"/>
        <w:keepNext w:val="0"/>
        <w:keepLines w:val="0"/>
        <w:pageBreakBefore w:val="0"/>
        <w:widowControl w:val="0"/>
        <w:kinsoku/>
        <w:wordWrap/>
        <w:overflowPunct/>
        <w:topLinePunct w:val="0"/>
        <w:autoSpaceDE/>
        <w:autoSpaceDN/>
        <w:bidi w:val="0"/>
        <w:adjustRightInd/>
        <w:snapToGrid/>
        <w:spacing w:line="360" w:lineRule="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2）固体废弃物利用</w:t>
      </w:r>
    </w:p>
    <w:p w14:paraId="07B7E284">
      <w:pPr>
        <w:pStyle w:val="120"/>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本项目产生的鸡粪暂存鸡粪发酵处理场，收集后发酵后外售农户综合利用，达到了固体废弃物的资源化利用。</w:t>
      </w:r>
    </w:p>
    <w:p w14:paraId="54028BE3">
      <w:pPr>
        <w:pStyle w:val="120"/>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综上所述，本项目废物回收利用率较高，符合清洁生产要求。</w:t>
      </w:r>
    </w:p>
    <w:p w14:paraId="33BF5295">
      <w:pPr>
        <w:pStyle w:val="120"/>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（5）污染物达标排放分析</w:t>
      </w:r>
    </w:p>
    <w:p w14:paraId="6146BFED">
      <w:pPr>
        <w:pStyle w:val="120"/>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根据前述工程分析，各类固废可得到有效处置，厂区恶臭气体采用喷洒生物除臭剂，可实现达标排放。</w:t>
      </w:r>
    </w:p>
    <w:p w14:paraId="77F081B6">
      <w:pPr>
        <w:keepNext w:val="0"/>
        <w:keepLines w:val="0"/>
        <w:pageBreakBefore w:val="0"/>
        <w:widowControl w:val="0"/>
        <w:kinsoku/>
        <w:wordWrap/>
        <w:overflowPunct/>
        <w:topLinePunct w:val="0"/>
        <w:autoSpaceDE/>
        <w:autoSpaceDN/>
        <w:bidi w:val="0"/>
        <w:adjustRightInd/>
        <w:snapToGrid/>
        <w:spacing w:line="360" w:lineRule="auto"/>
        <w:outlineLvl w:val="2"/>
        <w:rPr>
          <w:rFonts w:hint="default" w:ascii="Times New Roman" w:hAnsi="Times New Roman" w:cs="Times New Roman"/>
          <w:b/>
          <w:bCs/>
          <w:color w:val="auto"/>
          <w:sz w:val="28"/>
          <w:szCs w:val="28"/>
        </w:rPr>
      </w:pPr>
      <w:bookmarkStart w:id="81" w:name="_Toc435094467"/>
      <w:bookmarkStart w:id="82" w:name="_Toc457381893"/>
      <w:bookmarkStart w:id="83" w:name="_Toc12441"/>
      <w:bookmarkStart w:id="84" w:name="_Toc10600"/>
      <w:bookmarkStart w:id="85" w:name="_Toc457381979"/>
      <w:bookmarkStart w:id="86" w:name="_Toc4890"/>
      <w:bookmarkStart w:id="87" w:name="_Toc473125054"/>
      <w:r>
        <w:rPr>
          <w:rFonts w:hint="default" w:ascii="Times New Roman" w:hAnsi="Times New Roman" w:cs="Times New Roman"/>
          <w:b/>
          <w:bCs/>
          <w:color w:val="auto"/>
          <w:sz w:val="28"/>
          <w:szCs w:val="28"/>
        </w:rPr>
        <w:t>3.</w:t>
      </w:r>
      <w:r>
        <w:rPr>
          <w:rFonts w:hint="default" w:ascii="Times New Roman" w:hAnsi="Times New Roman" w:cs="Times New Roman"/>
          <w:b/>
          <w:bCs/>
          <w:color w:val="auto"/>
          <w:sz w:val="28"/>
          <w:szCs w:val="28"/>
          <w:lang w:val="en-US" w:eastAsia="zh-CN"/>
        </w:rPr>
        <w:t>7</w:t>
      </w:r>
      <w:r>
        <w:rPr>
          <w:rFonts w:hint="default" w:ascii="Times New Roman" w:hAnsi="Times New Roman" w:cs="Times New Roman"/>
          <w:b/>
          <w:bCs/>
          <w:color w:val="auto"/>
          <w:sz w:val="28"/>
          <w:szCs w:val="28"/>
        </w:rPr>
        <w:t>.</w:t>
      </w:r>
      <w:r>
        <w:rPr>
          <w:rFonts w:hint="default" w:ascii="Times New Roman" w:hAnsi="Times New Roman" w:cs="Times New Roman"/>
          <w:b/>
          <w:bCs/>
          <w:color w:val="auto"/>
          <w:sz w:val="28"/>
          <w:szCs w:val="28"/>
          <w:lang w:val="en-US" w:eastAsia="zh-CN"/>
        </w:rPr>
        <w:t>2</w:t>
      </w:r>
      <w:r>
        <w:rPr>
          <w:rFonts w:hint="default" w:ascii="Times New Roman" w:hAnsi="Times New Roman" w:cs="Times New Roman"/>
          <w:b/>
          <w:bCs/>
          <w:color w:val="auto"/>
          <w:sz w:val="28"/>
          <w:szCs w:val="28"/>
        </w:rPr>
        <w:t>循环经济分析</w:t>
      </w:r>
      <w:bookmarkEnd w:id="81"/>
      <w:bookmarkEnd w:id="82"/>
      <w:bookmarkEnd w:id="83"/>
      <w:bookmarkEnd w:id="84"/>
      <w:bookmarkEnd w:id="85"/>
      <w:bookmarkEnd w:id="86"/>
      <w:bookmarkEnd w:id="87"/>
    </w:p>
    <w:p w14:paraId="12558B52">
      <w:pPr>
        <w:keepNext w:val="0"/>
        <w:keepLines w:val="0"/>
        <w:pageBreakBefore w:val="0"/>
        <w:widowControl w:val="0"/>
        <w:tabs>
          <w:tab w:val="left" w:leader="dot" w:pos="8770"/>
        </w:tabs>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畜禽养殖业循环经济是农业循环经济的重要组成部分，他是按照可持续发展观点，把循环经济理念引入到畜禽养殖业生产体系中，建立畜禽养殖循环经济产业链，使其活动对自然环境的影响减少到尽可能小的程度。从根本上协调人类和自然的关系，转变畜禽养殖业发展模式和资源利用方式，探索出符合实施畜禽养殖业可持续发展之路，促进畜禽养殖业可持续发展。</w:t>
      </w:r>
    </w:p>
    <w:p w14:paraId="68AFB8C4">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循环经济是一种善待资源和环境，使物质不断循环再生利用的经济发展模式，以“减量化、再使用、再循环”的3R原则和减少废弃物优先原则作为经济活动的行为准则，以物质、能量梯次和多次循环使用为特征。他要求把经济活动组装成“自然资源—产品—再生资源”的反馈式流程，所有原料和能量要在这个不断进行的循环中得到最合理的和持久的利用。各生产系统内部及不同生产部门之间以互联的方式进行物质和能量的交换与传递，实现最大限度地利用进入系统的物质和能量，从而获得“两低一高”（资源的低消耗、物质和能量的</w:t>
      </w:r>
      <w:r>
        <w:rPr>
          <w:rFonts w:hint="default" w:ascii="Times New Roman" w:hAnsi="Times New Roman" w:cs="Times New Roman"/>
          <w:color w:val="auto"/>
          <w:sz w:val="24"/>
          <w:lang w:eastAsia="zh-CN"/>
        </w:rPr>
        <w:t>高效</w:t>
      </w:r>
      <w:r>
        <w:rPr>
          <w:rFonts w:hint="default" w:ascii="Times New Roman" w:hAnsi="Times New Roman" w:cs="Times New Roman"/>
          <w:color w:val="auto"/>
          <w:sz w:val="24"/>
        </w:rPr>
        <w:t>利用和污染物的低排放）的人与环境和谐结果。</w:t>
      </w:r>
    </w:p>
    <w:p w14:paraId="4495EB31">
      <w:pPr>
        <w:tabs>
          <w:tab w:val="left" w:leader="dot" w:pos="8770"/>
        </w:tabs>
        <w:spacing w:line="360" w:lineRule="auto"/>
        <w:ind w:firstLine="480" w:firstLineChars="200"/>
        <w:rPr>
          <w:rFonts w:hint="default" w:ascii="Times New Roman" w:hAnsi="Times New Roman" w:eastAsia="宋体" w:cs="Times New Roman"/>
          <w:color w:val="auto"/>
          <w:sz w:val="24"/>
        </w:rPr>
      </w:pPr>
      <w:bookmarkStart w:id="88" w:name="_Toc1357"/>
      <w:bookmarkStart w:id="89" w:name="_Toc11161"/>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畜禽粪便处理工程</w:t>
      </w:r>
      <w:bookmarkEnd w:id="88"/>
      <w:bookmarkEnd w:id="89"/>
    </w:p>
    <w:p w14:paraId="4C8CD45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 w:val="0"/>
          <w:bCs/>
          <w:color w:val="auto"/>
          <w:sz w:val="24"/>
        </w:rPr>
        <w:t>本项目</w:t>
      </w:r>
      <w:r>
        <w:rPr>
          <w:rFonts w:hint="default" w:ascii="Times New Roman" w:hAnsi="Times New Roman" w:cs="Times New Roman"/>
          <w:color w:val="auto"/>
          <w:sz w:val="24"/>
          <w:lang w:eastAsia="zh-CN"/>
        </w:rPr>
        <w:t>采取干清粪工艺，每栋鸡舍均设自动清粪系统，鸡舍内设横斜向</w:t>
      </w:r>
      <w:r>
        <w:rPr>
          <w:rFonts w:hint="eastAsia" w:ascii="Times New Roman" w:hAnsi="Times New Roman" w:cs="Times New Roman"/>
          <w:color w:val="auto"/>
          <w:sz w:val="24"/>
          <w:lang w:eastAsia="zh-CN"/>
        </w:rPr>
        <w:t>粪便传送带</w:t>
      </w:r>
      <w:r>
        <w:rPr>
          <w:rFonts w:hint="default" w:ascii="Times New Roman" w:hAnsi="Times New Roman" w:cs="Times New Roman"/>
          <w:color w:val="auto"/>
          <w:sz w:val="24"/>
          <w:lang w:eastAsia="zh-CN"/>
        </w:rPr>
        <w:t>，鸡排出的粪便主要通过清粪机进入横向</w:t>
      </w:r>
      <w:r>
        <w:rPr>
          <w:rFonts w:hint="eastAsia" w:ascii="Times New Roman" w:hAnsi="Times New Roman" w:cs="Times New Roman"/>
          <w:color w:val="auto"/>
          <w:sz w:val="24"/>
          <w:lang w:eastAsia="zh-CN"/>
        </w:rPr>
        <w:t>粪便传送带</w:t>
      </w:r>
      <w:r>
        <w:rPr>
          <w:rFonts w:hint="default" w:ascii="Times New Roman" w:hAnsi="Times New Roman" w:cs="Times New Roman"/>
          <w:color w:val="auto"/>
          <w:sz w:val="24"/>
          <w:lang w:eastAsia="zh-CN"/>
        </w:rPr>
        <w:t>内，传输至清粪房再通过斜向</w:t>
      </w:r>
      <w:r>
        <w:rPr>
          <w:rFonts w:hint="eastAsia" w:ascii="Times New Roman" w:hAnsi="Times New Roman" w:cs="Times New Roman"/>
          <w:color w:val="auto"/>
          <w:sz w:val="24"/>
          <w:lang w:eastAsia="zh-CN"/>
        </w:rPr>
        <w:t>粪便传送带</w:t>
      </w:r>
      <w:r>
        <w:rPr>
          <w:rFonts w:hint="default" w:ascii="Times New Roman" w:hAnsi="Times New Roman" w:cs="Times New Roman"/>
          <w:color w:val="auto"/>
          <w:sz w:val="24"/>
          <w:lang w:eastAsia="zh-CN"/>
        </w:rPr>
        <w:t>进入鸡粪发酵处理场，发酵处理后，外售农户综合利用</w:t>
      </w:r>
      <w:r>
        <w:rPr>
          <w:rFonts w:hint="default" w:ascii="Times New Roman" w:hAnsi="Times New Roman" w:cs="Times New Roman"/>
          <w:color w:val="auto"/>
          <w:sz w:val="24"/>
        </w:rPr>
        <w:t>。促进生态农业及有机农业的发展。</w:t>
      </w:r>
      <w:r>
        <w:rPr>
          <w:rFonts w:hint="default" w:ascii="Times New Roman" w:hAnsi="Times New Roman" w:cs="Times New Roman"/>
          <w:color w:val="auto"/>
          <w:sz w:val="24"/>
          <w:lang w:val="en-US" w:eastAsia="zh-CN"/>
        </w:rPr>
        <w:t>项目鸡舍粪便收集设施（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和清粪机）定期进行冲洗，鸡舍粪便收集设施（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和清粪机）冲洗废水收集后与生活污水排入废水收集池处理后用于粪便堆肥，增加有机肥湿度</w:t>
      </w:r>
      <w:r>
        <w:rPr>
          <w:rFonts w:hint="default" w:ascii="Times New Roman" w:hAnsi="Times New Roman" w:cs="Times New Roman"/>
          <w:color w:val="auto"/>
          <w:sz w:val="24"/>
        </w:rPr>
        <w:t>。</w:t>
      </w:r>
    </w:p>
    <w:p w14:paraId="43879696">
      <w:pPr>
        <w:tabs>
          <w:tab w:val="left" w:leader="dot" w:pos="8770"/>
        </w:tabs>
        <w:spacing w:line="360" w:lineRule="auto"/>
        <w:ind w:firstLine="480" w:firstLineChars="200"/>
        <w:rPr>
          <w:rFonts w:hint="default" w:ascii="Times New Roman" w:hAnsi="Times New Roman" w:eastAsia="宋体" w:cs="Times New Roman"/>
          <w:color w:val="auto"/>
          <w:sz w:val="24"/>
        </w:rPr>
      </w:pPr>
      <w:bookmarkStart w:id="90" w:name="_Toc30773"/>
      <w:bookmarkStart w:id="91" w:name="_Toc10737"/>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种养结合发展模式</w:t>
      </w:r>
      <w:bookmarkEnd w:id="90"/>
      <w:bookmarkEnd w:id="91"/>
    </w:p>
    <w:p w14:paraId="1F499E93">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种养结合协调发展模式基于畜禽养殖与种植紧密相连、互为利用的“耦合体”这一特性，按照生态学原理，采取生物（物理）工程措施，进行人工设计、组装成“畜禽养殖（种植）-</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生物（物理）工程</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种植（畜禽养殖）”生态链，把畜禽粪便或种植业副产品等有机废弃物转变为有用的资源进行综合利用，建立种养结合协调发展模式。主要有：畜（</w:t>
      </w:r>
      <w:r>
        <w:rPr>
          <w:rFonts w:hint="default" w:ascii="Times New Roman" w:hAnsi="Times New Roman" w:cs="Times New Roman"/>
          <w:color w:val="auto"/>
          <w:sz w:val="24"/>
          <w:lang w:val="en-US" w:eastAsia="zh-CN"/>
        </w:rPr>
        <w:t>鸡、</w:t>
      </w:r>
      <w:r>
        <w:rPr>
          <w:rFonts w:hint="default" w:ascii="Times New Roman" w:hAnsi="Times New Roman" w:cs="Times New Roman"/>
          <w:color w:val="auto"/>
          <w:sz w:val="24"/>
        </w:rPr>
        <w:t>牛、羊等）—沼—果（菜、粮、食用菌、中药材等）、禽（鸡）—加工—果（菜、粮、鸡、中药材等）等，形成畜禽养殖与果园、蔬菜种植、中药材基地及农田种植等有机结合起来，使畜禽养殖业与种植业资源循环利用，实现畜禽养殖业在内的农业可持续发展。</w:t>
      </w:r>
    </w:p>
    <w:p w14:paraId="3D26E610">
      <w:pPr>
        <w:tabs>
          <w:tab w:val="left" w:leader="dot" w:pos="877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本项目建设项目</w:t>
      </w:r>
      <w:r>
        <w:rPr>
          <w:rFonts w:hint="default" w:ascii="Times New Roman" w:hAnsi="Times New Roman" w:cs="Times New Roman"/>
          <w:color w:val="auto"/>
          <w:sz w:val="24"/>
        </w:rPr>
        <w:t>占地面积</w:t>
      </w:r>
      <w:r>
        <w:rPr>
          <w:rFonts w:hint="default" w:ascii="Times New Roman" w:hAnsi="Times New Roman" w:cs="Times New Roman"/>
          <w:color w:val="auto"/>
          <w:sz w:val="24"/>
          <w:lang w:eastAsia="zh-CN"/>
        </w:rPr>
        <w:t>103727.63</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rPr>
        <w:t>，发展模式为：</w:t>
      </w:r>
      <w:r>
        <w:rPr>
          <w:rFonts w:hint="default" w:ascii="Times New Roman" w:hAnsi="Times New Roman" w:cs="Times New Roman"/>
          <w:color w:val="auto"/>
          <w:sz w:val="24"/>
          <w:lang w:val="en-US" w:eastAsia="zh-CN"/>
        </w:rPr>
        <w:t>家禽养殖</w:t>
      </w:r>
      <w:r>
        <w:rPr>
          <w:rFonts w:hint="default" w:ascii="Times New Roman" w:hAnsi="Times New Roman" w:cs="Times New Roman"/>
          <w:color w:val="auto"/>
          <w:sz w:val="24"/>
        </w:rPr>
        <w:t>—肥料—作物－饲料—畜牧养殖的农业产业链。</w:t>
      </w:r>
    </w:p>
    <w:p w14:paraId="3177EB37">
      <w:pPr>
        <w:keepNext w:val="0"/>
        <w:keepLines w:val="0"/>
        <w:pageBreakBefore w:val="0"/>
        <w:widowControl w:val="0"/>
        <w:tabs>
          <w:tab w:val="left" w:leader="dot" w:pos="87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项目粪便集中收集至鸡粪发酵处理场内，发酵后外售农户综合利用，最终还田</w:t>
      </w:r>
      <w:r>
        <w:rPr>
          <w:rFonts w:hint="default" w:ascii="Times New Roman" w:hAnsi="Times New Roman" w:cs="Times New Roman"/>
          <w:color w:val="auto"/>
          <w:sz w:val="24"/>
        </w:rPr>
        <w:t>。项目整体上符合循环经济理念</w:t>
      </w:r>
      <w:r>
        <w:rPr>
          <w:rFonts w:hint="default" w:ascii="Times New Roman" w:hAnsi="Times New Roman" w:cs="Times New Roman"/>
          <w:color w:val="auto"/>
          <w:sz w:val="24"/>
          <w:lang w:eastAsia="zh-CN"/>
        </w:rPr>
        <w:t>。</w:t>
      </w:r>
    </w:p>
    <w:p w14:paraId="195CD6C8">
      <w:pPr>
        <w:pStyle w:val="16"/>
        <w:bidi w:val="0"/>
        <w:rPr>
          <w:rFonts w:hint="default" w:ascii="Times New Roman" w:hAnsi="Times New Roman" w:cs="Times New Roman"/>
          <w:color w:val="auto"/>
          <w:highlight w:val="none"/>
        </w:rPr>
        <w:sectPr>
          <w:pgSz w:w="11910" w:h="16840"/>
          <w:pgMar w:top="1440" w:right="1797" w:bottom="1417" w:left="1797" w:header="896" w:footer="1236" w:gutter="0"/>
          <w:pgBorders>
            <w:top w:val="none" w:sz="0" w:space="0"/>
            <w:left w:val="none" w:sz="0" w:space="0"/>
            <w:bottom w:val="none" w:sz="0" w:space="0"/>
            <w:right w:val="none" w:sz="0" w:space="0"/>
          </w:pgBorders>
          <w:pgNumType w:fmt="decimal"/>
          <w:cols w:space="720" w:num="1"/>
          <w:rtlGutter w:val="0"/>
          <w:docGrid w:linePitch="0" w:charSpace="0"/>
        </w:sectPr>
      </w:pPr>
    </w:p>
    <w:p w14:paraId="7A156797">
      <w:pPr>
        <w:pStyle w:val="2"/>
        <w:bidi w:val="0"/>
        <w:rPr>
          <w:rFonts w:hint="default" w:ascii="Times New Roman" w:hAnsi="Times New Roman" w:cs="Times New Roman"/>
          <w:color w:val="auto"/>
        </w:rPr>
      </w:pPr>
      <w:bookmarkStart w:id="92" w:name="_Toc7605"/>
      <w:bookmarkStart w:id="93" w:name="_Toc11796"/>
      <w:r>
        <w:rPr>
          <w:rFonts w:hint="default" w:ascii="Times New Roman" w:hAnsi="Times New Roman" w:cs="Times New Roman"/>
          <w:color w:val="auto"/>
        </w:rPr>
        <w:t>区域环境现状调查与评价</w:t>
      </w:r>
      <w:bookmarkEnd w:id="92"/>
      <w:bookmarkEnd w:id="93"/>
    </w:p>
    <w:p w14:paraId="41EB9395">
      <w:pPr>
        <w:pStyle w:val="3"/>
        <w:bidi w:val="0"/>
        <w:rPr>
          <w:rFonts w:hint="default" w:ascii="Times New Roman" w:hAnsi="Times New Roman" w:cs="Times New Roman"/>
          <w:color w:val="auto"/>
          <w:lang w:val="en-US" w:eastAsia="zh-CN"/>
        </w:rPr>
      </w:pPr>
      <w:bookmarkStart w:id="94" w:name="_Toc6323"/>
      <w:bookmarkStart w:id="95" w:name="_Toc6178"/>
      <w:r>
        <w:rPr>
          <w:rFonts w:hint="default" w:ascii="Times New Roman" w:hAnsi="Times New Roman" w:cs="Times New Roman"/>
          <w:color w:val="auto"/>
          <w:lang w:val="en-US" w:eastAsia="zh-CN"/>
        </w:rPr>
        <w:t>自然环境概况</w:t>
      </w:r>
      <w:bookmarkEnd w:id="94"/>
      <w:bookmarkEnd w:id="95"/>
    </w:p>
    <w:p w14:paraId="4F4AA59B">
      <w:pPr>
        <w:pStyle w:val="4"/>
        <w:bidi w:val="0"/>
        <w:rPr>
          <w:rFonts w:hint="default" w:ascii="Times New Roman" w:hAnsi="Times New Roman" w:cs="Times New Roman"/>
          <w:color w:val="auto"/>
          <w:lang w:val="en-US" w:eastAsia="zh-CN"/>
        </w:rPr>
      </w:pPr>
      <w:bookmarkStart w:id="96" w:name="_Toc24267"/>
      <w:bookmarkStart w:id="97" w:name="_Toc23722"/>
      <w:r>
        <w:rPr>
          <w:rFonts w:hint="default" w:ascii="Times New Roman" w:hAnsi="Times New Roman" w:cs="Times New Roman"/>
          <w:color w:val="auto"/>
          <w:lang w:val="en-US" w:eastAsia="zh-CN"/>
        </w:rPr>
        <w:t>地理位置</w:t>
      </w:r>
      <w:bookmarkEnd w:id="96"/>
      <w:bookmarkEnd w:id="97"/>
    </w:p>
    <w:p w14:paraId="13943C8B">
      <w:pPr>
        <w:pStyle w:val="16"/>
        <w:bidi w:val="0"/>
        <w:rPr>
          <w:rFonts w:hint="default" w:ascii="Times New Roman" w:hAnsi="Times New Roman" w:eastAsia="宋体" w:cs="Times New Roman"/>
          <w:color w:val="auto"/>
          <w:lang w:val="en-US" w:eastAsia="en-US"/>
        </w:rPr>
      </w:pPr>
      <w:r>
        <w:rPr>
          <w:rFonts w:hint="default" w:ascii="Times New Roman" w:hAnsi="Times New Roman" w:eastAsia="宋体" w:cs="Times New Roman"/>
          <w:color w:val="auto"/>
          <w:lang w:val="en-US" w:eastAsia="en-US"/>
        </w:rPr>
        <w:t>兵团第十师位于新疆最北部，地跨阿勒泰和塔城两地区，辖区东西长430km，南北宽300km，总面积4137.3km</w:t>
      </w:r>
      <w:r>
        <w:rPr>
          <w:rFonts w:hint="default" w:ascii="Times New Roman" w:hAnsi="Times New Roman" w:eastAsia="宋体" w:cs="Times New Roman"/>
          <w:color w:val="auto"/>
          <w:vertAlign w:val="superscript"/>
          <w:lang w:val="en-US" w:eastAsia="en-US"/>
        </w:rPr>
        <w:t>2</w:t>
      </w:r>
      <w:r>
        <w:rPr>
          <w:rFonts w:hint="default" w:ascii="Times New Roman" w:hAnsi="Times New Roman" w:eastAsia="宋体" w:cs="Times New Roman"/>
          <w:color w:val="auto"/>
          <w:lang w:val="en-US" w:eastAsia="en-US"/>
        </w:rPr>
        <w:t>，点片相间，所辖单位全部在边境区域内，西与哈萨克斯坦相邻，东与蒙古国接壤，固守着250km多的边境线。</w:t>
      </w:r>
    </w:p>
    <w:p w14:paraId="12075438">
      <w:pPr>
        <w:pStyle w:val="16"/>
        <w:bidi w:val="0"/>
        <w:rPr>
          <w:rFonts w:hint="default" w:ascii="Times New Roman" w:hAnsi="Times New Roman" w:eastAsia="宋体" w:cs="Times New Roman"/>
          <w:color w:val="auto"/>
          <w:lang w:val="en-US" w:eastAsia="en-US"/>
        </w:rPr>
      </w:pPr>
      <w:r>
        <w:rPr>
          <w:rFonts w:hint="default" w:ascii="Times New Roman" w:hAnsi="Times New Roman" w:eastAsia="宋体" w:cs="Times New Roman"/>
          <w:color w:val="auto"/>
          <w:lang w:val="en-US" w:eastAsia="en-US"/>
        </w:rPr>
        <w:t>北屯市为兵团新建城市和十师师部所在地，位于新疆维吾尔自治区北部，阿尔泰山南麓，准噶尔盆地北面。东、南部与福海县相接，西、北部与阿勒泰市相连，地处东经87°47′40″-87°53′21″，北纬47°05′00″-47°26′44″之间。南距福海县40km，北距阿勒泰市60km，西距布尔津县82km，东距富蕴县170km，距自治区首府乌鲁木齐市600km、克拉玛依市300km。</w:t>
      </w:r>
    </w:p>
    <w:p w14:paraId="44D06FE5">
      <w:pPr>
        <w:pStyle w:val="16"/>
        <w:bidi w:val="0"/>
        <w:rPr>
          <w:rFonts w:hint="default" w:ascii="Times New Roman" w:hAnsi="Times New Roman" w:eastAsia="宋体" w:cs="Times New Roman"/>
          <w:color w:val="auto"/>
          <w:lang w:val="en-US" w:eastAsia="en-US"/>
        </w:rPr>
      </w:pPr>
      <w:r>
        <w:rPr>
          <w:rFonts w:hint="default" w:ascii="Times New Roman" w:hAnsi="Times New Roman" w:eastAsia="宋体" w:cs="Times New Roman"/>
          <w:color w:val="auto"/>
          <w:lang w:val="en-US" w:eastAsia="en-US"/>
        </w:rPr>
        <w:t>北屯市是阿勒泰地区的交通枢纽，是外联哈萨克斯坦、蒙古国，内联乌鲁木齐市、克拉玛依市和阿勒泰地区六县一市的交通枢纽，国道216、217和省道319、318线在此处交汇，地理和战略位置十分重要。已建成通车奎北铁路和在建的奎北高速公路使北屯的区位优势更加明显。</w:t>
      </w:r>
    </w:p>
    <w:p w14:paraId="6421BC05">
      <w:pPr>
        <w:pStyle w:val="16"/>
        <w:bidi w:val="0"/>
        <w:jc w:val="left"/>
        <w:rPr>
          <w:rFonts w:hint="default" w:ascii="Times New Roman" w:hAnsi="Times New Roman" w:eastAsia="宋体" w:cs="Times New Roman"/>
          <w:color w:val="auto"/>
          <w:lang w:val="en-US" w:eastAsia="en-US"/>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位于</w:t>
      </w:r>
      <w:r>
        <w:rPr>
          <w:rFonts w:hint="default" w:ascii="Times New Roman" w:hAnsi="Times New Roman" w:cs="Times New Roman"/>
          <w:color w:val="auto"/>
          <w:lang w:val="en-US" w:eastAsia="zh-CN"/>
        </w:rPr>
        <w:t>新疆北屯市188团9连，中心地理坐标E87°40′16.546″，N47°19′59.588″</w:t>
      </w:r>
      <w:r>
        <w:rPr>
          <w:rFonts w:hint="default" w:ascii="Times New Roman" w:hAnsi="Times New Roman" w:cs="Times New Roman"/>
          <w:color w:val="auto"/>
          <w:lang w:val="en-US"/>
        </w:rPr>
        <w:t>。</w:t>
      </w:r>
      <w:r>
        <w:rPr>
          <w:rFonts w:hint="default" w:ascii="Times New Roman" w:hAnsi="Times New Roman" w:cs="Times New Roman"/>
          <w:color w:val="auto"/>
        </w:rPr>
        <w:t>周边环境情况：</w:t>
      </w:r>
      <w:r>
        <w:rPr>
          <w:rFonts w:hint="default" w:ascii="Times New Roman" w:hAnsi="Times New Roman" w:cs="Times New Roman"/>
          <w:color w:val="auto"/>
          <w:lang w:val="en-US" w:eastAsia="zh-CN"/>
        </w:rPr>
        <w:t>养殖场项目区北侧为养殖场、东侧为林带、西侧为林带，南侧为空地。</w:t>
      </w:r>
    </w:p>
    <w:p w14:paraId="06239633">
      <w:pPr>
        <w:pStyle w:val="4"/>
        <w:bidi w:val="0"/>
        <w:rPr>
          <w:rFonts w:hint="default" w:ascii="Times New Roman" w:hAnsi="Times New Roman" w:cs="Times New Roman"/>
          <w:color w:val="auto"/>
          <w:lang w:val="en-US" w:eastAsia="zh-CN"/>
        </w:rPr>
      </w:pPr>
      <w:bookmarkStart w:id="98" w:name="_Toc15532"/>
      <w:bookmarkStart w:id="99" w:name="_Toc23197"/>
      <w:r>
        <w:rPr>
          <w:rFonts w:hint="default" w:ascii="Times New Roman" w:hAnsi="Times New Roman" w:cs="Times New Roman"/>
          <w:color w:val="auto"/>
          <w:lang w:val="en-US" w:eastAsia="zh-CN"/>
        </w:rPr>
        <w:t>地形地貌</w:t>
      </w:r>
      <w:bookmarkEnd w:id="98"/>
      <w:bookmarkEnd w:id="99"/>
    </w:p>
    <w:p w14:paraId="04215800">
      <w:pPr>
        <w:pStyle w:val="1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北屯市地貌单元属额尔齐斯河和乌伦古河之间的古冲积平原，坡降1/200～1/600，地势东南高西北低。海拔高程500～875m之间，地形比较平坦。拟建厂址场地属侵蚀堆积的额尔齐斯河二级阶地，成因类型以构造-侵蚀作用为主，以堆积为辅。场地内地形较平坦，地势较开阔，为未利用地，地表植被稀疏，零星分布角果藜、盐节木等。</w:t>
      </w:r>
    </w:p>
    <w:p w14:paraId="4BBC6CE9">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区域地质概况</w:t>
      </w:r>
    </w:p>
    <w:p w14:paraId="37B77581">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北屯市位于阿勒泰褶皱带与准噶尔褶皱带之间，额尔齐斯深断裂带南侧出露地层中有泥盆统布尔津组的中性喷出岩、凝灰岩、砂岩、粉岩等。其上部为断层接触的下石炭统那林卡拉组上亚组的粗砂岩，凝灰岩、粉砂岩、泥岩及细粒砾岩。在小海子北见第三系含砂泥岩粉砂岩层，从东向西逆掩在下石炭统那林卡拉组上亚组岩层之上。额河陡坎和平顶山及一级阶地为第三系泥岩、粉砂岩和老第四系下更新统砂砾岩沉积及中上更新统冲洪积层，其上大面积覆盖上更新统全新统的冲洪积层。</w:t>
      </w:r>
    </w:p>
    <w:p w14:paraId="409759B3">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（1）工程地质</w:t>
      </w:r>
    </w:p>
    <w:p w14:paraId="3FCB2B00">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北屯市地处阿勒泰地区，阿勒泰地区位于天山—兴安地槽系的北缘，二级构造单元属阿勒泰地槽褶皱带和准噶尔界山褶皱带，均为华力西褶皱带。从构造形迹判断，在新构造运动南北应力的挤压作用下，测区南北端均形成了走向近东西方向的背斜构造，其与区域构造线方向一致，东西向延伸较长，岩性为第三系砂岩、泥岩，形成本区南北两侧阻水屏障，现将与项目区有关的额尔齐斯褶皱</w:t>
      </w:r>
      <w:r>
        <w:rPr>
          <w:rFonts w:hint="eastAsia" w:ascii="Times New Roman" w:hAnsi="Times New Roman" w:cs="Times New Roman"/>
          <w:color w:val="auto"/>
          <w:lang w:val="en-US" w:eastAsia="zh-CN"/>
        </w:rPr>
        <w:t>拗陷</w:t>
      </w:r>
      <w:r>
        <w:rPr>
          <w:rFonts w:hint="default" w:ascii="Times New Roman" w:hAnsi="Times New Roman" w:cs="Times New Roman"/>
          <w:color w:val="auto"/>
          <w:lang w:val="en-US" w:eastAsia="zh-CN"/>
        </w:rPr>
        <w:t>构造简述如下额尔齐斯河坳陷：位于额河两岸，北邻阿尔泰镇褶皱带，属于额尔齐斯褶皱带。由于喜马拉雅山构造运动，造成了此坳陷，沉积了第三系和第四系地层，第三系沉积厚度以布尔津县城为脊，向东西两侧厚度分别递增。但地表仍有花岗岩体出露，充分反映了本区构造控制的特征。</w:t>
      </w:r>
    </w:p>
    <w:p w14:paraId="0763F3C3">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该区在此构造背景下，广泛地以脉动式差异升降运动为主，使本区第四系很不发育，亦不连续。基底隆起和断裂活动把平原区切割成零乱的断陷坳地、各种形态的冲洪积扇。</w:t>
      </w:r>
    </w:p>
    <w:p w14:paraId="4ED3B602">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花岗岩侵入体、古生界和第三系岩层的露头形成了垅岗、残丘和高台地。同时，构造运动也使工作区河流形成河流阶地和河流改道，特别是在北屯以东的额河河岸阶地较为发育，详见图4-1-2。</w:t>
      </w:r>
    </w:p>
    <w:p w14:paraId="76190A23">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①Ⅰ级阶地多为内叠式堆积阶地，比高一般5～15m，阶面宽约100～1000m，阶地组。</w:t>
      </w:r>
    </w:p>
    <w:p w14:paraId="52238EBF">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3"/>
          <w:sz w:val="24"/>
          <w:szCs w:val="24"/>
        </w:rPr>
        <w:t>②Ⅱ级阶地多为基座阶地，下覆基岩为棕红、棕黄、灰黄色泥岩、砂质泥岩、砂砾岩。Ⅱ级阶地高于一级阶地约10～30m，阶面宽250～1700m，组成</w:t>
      </w:r>
      <w:r>
        <w:rPr>
          <w:rFonts w:hint="default" w:ascii="Times New Roman" w:hAnsi="Times New Roman" w:cs="Times New Roman"/>
          <w:color w:val="auto"/>
          <w:spacing w:val="-4"/>
          <w:sz w:val="24"/>
          <w:szCs w:val="24"/>
        </w:rPr>
        <w:t>阶地的物质多为</w:t>
      </w:r>
      <w:r>
        <w:rPr>
          <w:rFonts w:hint="default" w:ascii="Times New Roman" w:hAnsi="Times New Roman" w:eastAsia="Times New Roman" w:cs="Times New Roman"/>
          <w:color w:val="auto"/>
          <w:spacing w:val="-4"/>
          <w:sz w:val="23"/>
          <w:szCs w:val="23"/>
        </w:rPr>
        <w:t>Q</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EQ \* jc3 \* hps13 \o\al(\s\up 10(</w:instrText>
      </w:r>
      <w:r>
        <w:rPr>
          <w:rFonts w:hint="default" w:ascii="Times New Roman" w:hAnsi="Times New Roman" w:eastAsia="Times New Roman" w:cs="Times New Roman"/>
          <w:color w:val="auto"/>
          <w:w w:val="138"/>
          <w:sz w:val="13"/>
          <w:szCs w:val="13"/>
        </w:rPr>
        <w:instrText xml:space="preserve">a</w:instrText>
      </w:r>
      <w:r>
        <w:rPr>
          <w:rFonts w:hint="default" w:ascii="Times New Roman" w:hAnsi="Times New Roman" w:cs="Times New Roman"/>
          <w:color w:val="auto"/>
        </w:rPr>
        <w:instrText xml:space="preserve">),</w:instrText>
      </w:r>
      <w:r>
        <w:rPr>
          <w:rFonts w:hint="default" w:ascii="Times New Roman" w:hAnsi="Times New Roman" w:eastAsia="Times New Roman" w:cs="Times New Roman"/>
          <w:color w:val="auto"/>
          <w:w w:val="138"/>
          <w:position w:val="3"/>
          <w:sz w:val="13"/>
          <w:szCs w:val="13"/>
        </w:rPr>
        <w:instrText xml:space="preserve">2</w:instrText>
      </w:r>
      <w:r>
        <w:rPr>
          <w:rFonts w:hint="default" w:ascii="Times New Roman" w:hAnsi="Times New Roman" w:cs="Times New Roman"/>
          <w:color w:val="auto"/>
        </w:rPr>
        <w:instrText xml:space="preserve">)</w:instrText>
      </w:r>
      <w:r>
        <w:rPr>
          <w:rFonts w:hint="default" w:ascii="Times New Roman" w:hAnsi="Times New Roman" w:cs="Times New Roman"/>
          <w:color w:val="auto"/>
        </w:rPr>
        <w:fldChar w:fldCharType="end"/>
      </w:r>
      <w:r>
        <w:rPr>
          <w:rFonts w:hint="default" w:ascii="Times New Roman" w:hAnsi="Times New Roman" w:eastAsia="Times New Roman" w:cs="Times New Roman"/>
          <w:color w:val="auto"/>
          <w:spacing w:val="-4"/>
          <w:position w:val="20"/>
          <w:sz w:val="13"/>
          <w:szCs w:val="13"/>
        </w:rPr>
        <w:t>pl</w:t>
      </w:r>
      <w:r>
        <w:rPr>
          <w:rFonts w:hint="default" w:ascii="Times New Roman" w:hAnsi="Times New Roman" w:cs="Times New Roman"/>
          <w:color w:val="auto"/>
          <w:spacing w:val="-4"/>
          <w:sz w:val="24"/>
          <w:szCs w:val="24"/>
        </w:rPr>
        <w:t>砂</w:t>
      </w:r>
      <w:r>
        <w:rPr>
          <w:rFonts w:hint="default" w:ascii="Times New Roman" w:hAnsi="Times New Roman" w:cs="Times New Roman"/>
          <w:color w:val="auto"/>
          <w:position w:val="1"/>
          <w:sz w:val="24"/>
          <w:szCs w:val="24"/>
        </w:rPr>
        <w:t>砾石及</w:t>
      </w:r>
      <w:r>
        <w:rPr>
          <w:rFonts w:hint="default" w:ascii="Times New Roman" w:hAnsi="Times New Roman" w:eastAsia="Times New Roman" w:cs="Times New Roman"/>
          <w:color w:val="auto"/>
          <w:position w:val="1"/>
          <w:sz w:val="22"/>
          <w:szCs w:val="22"/>
        </w:rPr>
        <w:t>Q</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EQ \* jc3 \* hps12 \o\al(\s\up 9(</w:instrText>
      </w:r>
      <w:r>
        <w:rPr>
          <w:rFonts w:hint="default" w:ascii="Times New Roman" w:hAnsi="Times New Roman" w:eastAsia="Times New Roman" w:cs="Times New Roman"/>
          <w:color w:val="auto"/>
          <w:w w:val="137"/>
          <w:sz w:val="12"/>
          <w:szCs w:val="12"/>
        </w:rPr>
        <w:instrText xml:space="preserve">fg</w:instrText>
      </w:r>
      <w:r>
        <w:rPr>
          <w:rFonts w:hint="default" w:ascii="Times New Roman" w:hAnsi="Times New Roman" w:cs="Times New Roman"/>
          <w:color w:val="auto"/>
        </w:rPr>
        <w:instrText xml:space="preserve">),</w:instrText>
      </w:r>
      <w:r>
        <w:rPr>
          <w:rFonts w:hint="default" w:ascii="Times New Roman" w:hAnsi="Times New Roman" w:eastAsia="Times New Roman" w:cs="Times New Roman"/>
          <w:color w:val="auto"/>
          <w:w w:val="162"/>
          <w:position w:val="3"/>
          <w:sz w:val="12"/>
          <w:szCs w:val="12"/>
        </w:rPr>
        <w:instrText xml:space="preserve">2</w:instrText>
      </w:r>
      <w:r>
        <w:rPr>
          <w:rFonts w:hint="default" w:ascii="Times New Roman" w:hAnsi="Times New Roman" w:cs="Times New Roman"/>
          <w:color w:val="auto"/>
        </w:rPr>
        <w:instrText xml:space="preserve">)</w:instrText>
      </w:r>
      <w:r>
        <w:rPr>
          <w:rFonts w:hint="default" w:ascii="Times New Roman" w:hAnsi="Times New Roman" w:cs="Times New Roman"/>
          <w:color w:val="auto"/>
        </w:rPr>
        <w:fldChar w:fldCharType="end"/>
      </w:r>
      <w:r>
        <w:rPr>
          <w:rFonts w:hint="default" w:ascii="Times New Roman" w:hAnsi="Times New Roman" w:eastAsia="Times New Roman" w:cs="Times New Roman"/>
          <w:color w:val="auto"/>
          <w:position w:val="18"/>
          <w:sz w:val="12"/>
          <w:szCs w:val="12"/>
        </w:rPr>
        <w:t>l</w:t>
      </w:r>
      <w:r>
        <w:rPr>
          <w:rFonts w:hint="default" w:ascii="Times New Roman" w:hAnsi="Times New Roman" w:cs="Times New Roman"/>
          <w:color w:val="auto"/>
          <w:sz w:val="24"/>
          <w:szCs w:val="24"/>
        </w:rPr>
        <w:t>砂砾石与漂砾混杂堆积，上覆薄层风成沙、亚沙土等。阶面一般平坦干燥，</w:t>
      </w:r>
      <w:r>
        <w:rPr>
          <w:rFonts w:hint="default" w:ascii="Times New Roman" w:hAnsi="Times New Roman" w:cs="Times New Roman"/>
          <w:color w:val="auto"/>
          <w:spacing w:val="-3"/>
          <w:sz w:val="24"/>
          <w:szCs w:val="24"/>
        </w:rPr>
        <w:t>植被稀疏。</w:t>
      </w:r>
    </w:p>
    <w:p w14:paraId="1F731058">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3"/>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3"/>
          <w:sz w:val="24"/>
          <w:szCs w:val="24"/>
        </w:rPr>
        <w:t>③Ⅲ级阶地都为基座阶地，下覆基岩有第三系泥岩、砂砾岩，奥陶系片麻岩，泥盆</w:t>
      </w:r>
      <w:r>
        <w:rPr>
          <w:rFonts w:hint="default" w:ascii="Times New Roman" w:hAnsi="Times New Roman" w:cs="Times New Roman"/>
          <w:color w:val="auto"/>
          <w:sz w:val="24"/>
          <w:szCs w:val="24"/>
        </w:rPr>
        <w:t>系片岩、花岗岩等。高于Ⅱ级阶地15～50m，阶面宽约75</w:t>
      </w:r>
      <w:r>
        <w:rPr>
          <w:rFonts w:hint="default" w:ascii="Times New Roman" w:hAnsi="Times New Roman" w:cs="Times New Roman"/>
          <w:color w:val="auto"/>
          <w:spacing w:val="-1"/>
          <w:sz w:val="24"/>
          <w:szCs w:val="24"/>
        </w:rPr>
        <w:t>0～2400m，阶地组成物质多为</w:t>
      </w:r>
      <w:r>
        <w:rPr>
          <w:rFonts w:hint="default" w:ascii="Times New Roman" w:hAnsi="Times New Roman" w:eastAsia="Times New Roman" w:cs="Times New Roman"/>
          <w:color w:val="auto"/>
          <w:position w:val="8"/>
          <w:sz w:val="23"/>
          <w:szCs w:val="23"/>
        </w:rPr>
        <w:t>Q</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EQ \* jc3 \* hps13 \o\al(\s\up 9(</w:instrText>
      </w:r>
      <w:r>
        <w:rPr>
          <w:rFonts w:hint="default" w:ascii="Times New Roman" w:hAnsi="Times New Roman" w:eastAsia="Times New Roman" w:cs="Times New Roman"/>
          <w:color w:val="auto"/>
          <w:w w:val="98"/>
          <w:sz w:val="13"/>
          <w:szCs w:val="13"/>
        </w:rPr>
        <w:instrText xml:space="preserve">a</w:instrText>
      </w:r>
      <w:r>
        <w:rPr>
          <w:rFonts w:hint="default" w:ascii="Times New Roman" w:hAnsi="Times New Roman" w:cs="Times New Roman"/>
          <w:color w:val="auto"/>
        </w:rPr>
        <w:instrText xml:space="preserve">),</w:instrText>
      </w:r>
      <w:r>
        <w:rPr>
          <w:rFonts w:hint="default" w:ascii="Times New Roman" w:hAnsi="Times New Roman" w:eastAsia="Times New Roman" w:cs="Times New Roman"/>
          <w:color w:val="auto"/>
          <w:w w:val="103"/>
          <w:position w:val="2"/>
          <w:sz w:val="13"/>
          <w:szCs w:val="13"/>
        </w:rPr>
        <w:instrText xml:space="preserve">4</w:instrText>
      </w:r>
      <w:r>
        <w:rPr>
          <w:rFonts w:hint="default" w:ascii="Times New Roman" w:hAnsi="Times New Roman" w:cs="Times New Roman"/>
          <w:color w:val="auto"/>
        </w:rPr>
        <w:instrText xml:space="preserve">)</w:instrText>
      </w:r>
      <w:r>
        <w:rPr>
          <w:rFonts w:hint="default" w:ascii="Times New Roman" w:hAnsi="Times New Roman" w:cs="Times New Roman"/>
          <w:color w:val="auto"/>
        </w:rPr>
        <w:fldChar w:fldCharType="end"/>
      </w:r>
      <w:r>
        <w:rPr>
          <w:rFonts w:hint="default" w:ascii="Times New Roman" w:hAnsi="Times New Roman" w:eastAsia="Times New Roman" w:cs="Times New Roman"/>
          <w:color w:val="auto"/>
          <w:position w:val="19"/>
          <w:sz w:val="13"/>
          <w:szCs w:val="13"/>
        </w:rPr>
        <w:t>pl</w:t>
      </w:r>
      <w:r>
        <w:rPr>
          <w:rFonts w:hint="default" w:ascii="Times New Roman" w:hAnsi="Times New Roman" w:eastAsia="Arial" w:cs="Times New Roman"/>
          <w:color w:val="auto"/>
          <w:spacing w:val="1"/>
          <w:position w:val="19"/>
          <w:sz w:val="13"/>
          <w:szCs w:val="13"/>
        </w:rPr>
        <w:t>+</w:t>
      </w:r>
      <w:r>
        <w:rPr>
          <w:rFonts w:hint="default" w:ascii="Times New Roman" w:hAnsi="Times New Roman" w:eastAsia="Times New Roman" w:cs="Times New Roman"/>
          <w:color w:val="auto"/>
          <w:position w:val="19"/>
          <w:sz w:val="13"/>
          <w:szCs w:val="13"/>
        </w:rPr>
        <w:t>al</w:t>
      </w:r>
      <w:r>
        <w:rPr>
          <w:rFonts w:hint="default" w:ascii="Times New Roman" w:hAnsi="Times New Roman" w:cs="Times New Roman"/>
          <w:color w:val="auto"/>
          <w:spacing w:val="1"/>
          <w:position w:val="2"/>
          <w:sz w:val="24"/>
          <w:szCs w:val="24"/>
        </w:rPr>
        <w:t>和</w:t>
      </w:r>
      <w:r>
        <w:rPr>
          <w:rFonts w:hint="default" w:ascii="Times New Roman" w:hAnsi="Times New Roman" w:eastAsia="Times New Roman" w:cs="Times New Roman"/>
          <w:color w:val="auto"/>
          <w:position w:val="2"/>
          <w:sz w:val="23"/>
          <w:szCs w:val="23"/>
        </w:rPr>
        <w:t>Q</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EQ \* jc3 \* hps13 \o\al(\s\up 9(</w:instrText>
      </w:r>
      <w:r>
        <w:rPr>
          <w:rFonts w:hint="default" w:ascii="Times New Roman" w:hAnsi="Times New Roman" w:eastAsia="Times New Roman" w:cs="Times New Roman"/>
          <w:color w:val="auto"/>
          <w:w w:val="138"/>
          <w:sz w:val="13"/>
          <w:szCs w:val="13"/>
        </w:rPr>
        <w:instrText xml:space="preserve">a</w:instrText>
      </w:r>
      <w:r>
        <w:rPr>
          <w:rFonts w:hint="default" w:ascii="Times New Roman" w:hAnsi="Times New Roman" w:cs="Times New Roman"/>
          <w:color w:val="auto"/>
        </w:rPr>
        <w:instrText xml:space="preserve">),</w:instrText>
      </w:r>
      <w:r>
        <w:rPr>
          <w:rFonts w:hint="default" w:ascii="Times New Roman" w:hAnsi="Times New Roman" w:eastAsia="Times New Roman" w:cs="Times New Roman"/>
          <w:color w:val="auto"/>
          <w:w w:val="139"/>
          <w:position w:val="2"/>
          <w:sz w:val="13"/>
          <w:szCs w:val="13"/>
        </w:rPr>
        <w:instrText xml:space="preserve">4</w:instrText>
      </w:r>
      <w:r>
        <w:rPr>
          <w:rFonts w:hint="default" w:ascii="Times New Roman" w:hAnsi="Times New Roman" w:cs="Times New Roman"/>
          <w:color w:val="auto"/>
        </w:rPr>
        <w:instrText xml:space="preserve">)</w:instrText>
      </w:r>
      <w:r>
        <w:rPr>
          <w:rFonts w:hint="default" w:ascii="Times New Roman" w:hAnsi="Times New Roman" w:cs="Times New Roman"/>
          <w:color w:val="auto"/>
        </w:rPr>
        <w:fldChar w:fldCharType="end"/>
      </w:r>
      <w:r>
        <w:rPr>
          <w:rFonts w:hint="default" w:ascii="Times New Roman" w:hAnsi="Times New Roman" w:eastAsia="Times New Roman" w:cs="Times New Roman"/>
          <w:color w:val="auto"/>
          <w:position w:val="19"/>
          <w:sz w:val="13"/>
          <w:szCs w:val="13"/>
        </w:rPr>
        <w:t>pl</w:t>
      </w:r>
      <w:r>
        <w:rPr>
          <w:rFonts w:hint="default" w:ascii="Times New Roman" w:hAnsi="Times New Roman" w:eastAsia="Arial" w:cs="Times New Roman"/>
          <w:color w:val="auto"/>
          <w:spacing w:val="1"/>
          <w:position w:val="19"/>
          <w:sz w:val="13"/>
          <w:szCs w:val="13"/>
        </w:rPr>
        <w:t>+</w:t>
      </w:r>
      <w:r>
        <w:rPr>
          <w:rFonts w:hint="default" w:ascii="Times New Roman" w:hAnsi="Times New Roman" w:eastAsia="Times New Roman" w:cs="Times New Roman"/>
          <w:color w:val="auto"/>
          <w:position w:val="19"/>
          <w:sz w:val="13"/>
          <w:szCs w:val="13"/>
        </w:rPr>
        <w:t>al</w:t>
      </w:r>
      <w:r>
        <w:rPr>
          <w:rFonts w:hint="default" w:ascii="Times New Roman" w:hAnsi="Times New Roman" w:cs="Times New Roman"/>
          <w:color w:val="auto"/>
          <w:spacing w:val="1"/>
          <w:position w:val="-1"/>
          <w:sz w:val="24"/>
          <w:szCs w:val="24"/>
        </w:rPr>
        <w:t>泥岩、砂岩、漂砾混杂堆积。阶面较平坦，局部基岩出露地表。</w:t>
      </w:r>
    </w:p>
    <w:p w14:paraId="5C6ABCA0">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3"/>
          <w:sz w:val="24"/>
          <w:szCs w:val="24"/>
        </w:rPr>
        <w:t>（2）水文地质</w:t>
      </w:r>
    </w:p>
    <w:p w14:paraId="30905B53">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3"/>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spacing w:val="-3"/>
          <w:sz w:val="24"/>
          <w:szCs w:val="24"/>
        </w:rPr>
        <w:t>北屯市位于阿勒泰褶皱带与准噶尔褶皱带之间，额尔齐斯河深大断裂的南侧，对额尔齐斯河迁移改道及项目区地下水的储存与分布有明显的制约作用。除平顶山之外区内</w:t>
      </w:r>
      <w:r>
        <w:rPr>
          <w:rFonts w:hint="default" w:ascii="Times New Roman" w:hAnsi="Times New Roman" w:cs="Times New Roman"/>
          <w:color w:val="auto"/>
          <w:spacing w:val="-2"/>
          <w:sz w:val="24"/>
          <w:szCs w:val="24"/>
        </w:rPr>
        <w:t>第四系松散层相对较薄为8～26m，地下水主要由地表水（农田灌溉、降水）入渗而成，</w:t>
      </w:r>
      <w:r>
        <w:rPr>
          <w:rFonts w:hint="default" w:ascii="Times New Roman" w:hAnsi="Times New Roman" w:cs="Times New Roman"/>
          <w:color w:val="auto"/>
          <w:sz w:val="24"/>
          <w:szCs w:val="24"/>
        </w:rPr>
        <w:t>属于第四系孔隙潜水。含水层岩性为冲积砂砾石层，渗透系数为21</w:t>
      </w:r>
      <w:r>
        <w:rPr>
          <w:rFonts w:hint="default" w:ascii="Times New Roman" w:hAnsi="Times New Roman" w:cs="Times New Roman"/>
          <w:color w:val="auto"/>
          <w:spacing w:val="-1"/>
          <w:sz w:val="24"/>
          <w:szCs w:val="24"/>
        </w:rPr>
        <w:t>.1～35.3m/d。</w:t>
      </w:r>
    </w:p>
    <w:p w14:paraId="3CCFBD8B">
      <w:pPr>
        <w:pStyle w:val="4"/>
        <w:bidi w:val="0"/>
        <w:rPr>
          <w:rFonts w:hint="default" w:ascii="Times New Roman" w:hAnsi="Times New Roman" w:cs="Times New Roman"/>
          <w:color w:val="auto"/>
          <w:lang w:val="en-US" w:eastAsia="zh-CN"/>
        </w:rPr>
      </w:pPr>
      <w:bookmarkStart w:id="100" w:name="_Toc12997"/>
      <w:bookmarkStart w:id="101" w:name="_Toc21339"/>
      <w:r>
        <w:rPr>
          <w:rFonts w:hint="default" w:ascii="Times New Roman" w:hAnsi="Times New Roman" w:cs="Times New Roman"/>
          <w:color w:val="auto"/>
          <w:lang w:val="en-US" w:eastAsia="zh-CN"/>
        </w:rPr>
        <w:t>气候条件</w:t>
      </w:r>
      <w:bookmarkEnd w:id="100"/>
      <w:bookmarkEnd w:id="101"/>
    </w:p>
    <w:p w14:paraId="16E63F36">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3"/>
          <w:sz w:val="24"/>
          <w:szCs w:val="24"/>
        </w:rPr>
        <w:t>评价区域位于准噶尔盆地北缘，地处欧亚大陆腹地的阿勒泰地区，远离海洋，水汽来源甚少。冬季受北冰洋冷气团控制时间漫长，夏季温湿气团活跃短暂。由于受到路经西部山口、塔城和布克赛尔、阿尔泰山东部山谷不同性质气流的严重影响，再加上地形</w:t>
      </w:r>
      <w:r>
        <w:rPr>
          <w:rFonts w:hint="default" w:ascii="Times New Roman" w:hAnsi="Times New Roman" w:cs="Times New Roman"/>
          <w:color w:val="auto"/>
          <w:spacing w:val="-2"/>
          <w:sz w:val="24"/>
          <w:szCs w:val="24"/>
        </w:rPr>
        <w:t>复杂，高差悬殊，地面性状差异等原因，从而形成了冬季漫长而严寒，夏季短而炎热，</w:t>
      </w:r>
      <w:r>
        <w:rPr>
          <w:rFonts w:hint="default" w:ascii="Times New Roman" w:hAnsi="Times New Roman" w:cs="Times New Roman"/>
          <w:color w:val="auto"/>
          <w:spacing w:val="-3"/>
          <w:sz w:val="24"/>
          <w:szCs w:val="24"/>
        </w:rPr>
        <w:t>春秋不分明，春旱多风、秋高气爽、无霜期短，气温年较差悬殊，日较差明显，降水量</w:t>
      </w:r>
      <w:r>
        <w:rPr>
          <w:rFonts w:hint="default" w:ascii="Times New Roman" w:hAnsi="Times New Roman" w:cs="Times New Roman"/>
          <w:color w:val="auto"/>
          <w:sz w:val="24"/>
          <w:szCs w:val="24"/>
        </w:rPr>
        <w:t>少，蒸发量大，相对温度低的气候特点，属典型的中</w:t>
      </w:r>
      <w:r>
        <w:rPr>
          <w:rFonts w:hint="default" w:ascii="Times New Roman" w:hAnsi="Times New Roman" w:cs="Times New Roman"/>
          <w:color w:val="auto"/>
          <w:spacing w:val="-1"/>
          <w:sz w:val="24"/>
          <w:szCs w:val="24"/>
        </w:rPr>
        <w:t>温带大陆性干旱气候。</w:t>
      </w:r>
    </w:p>
    <w:p w14:paraId="354FE2A0">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根据北屯市气象站</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1988～2017)年实测资料统</w:t>
      </w:r>
      <w:r>
        <w:rPr>
          <w:rFonts w:hint="default" w:ascii="Times New Roman" w:hAnsi="Times New Roman" w:cs="Times New Roman"/>
          <w:color w:val="auto"/>
          <w:spacing w:val="-1"/>
          <w:sz w:val="24"/>
          <w:szCs w:val="24"/>
        </w:rPr>
        <w:t>计，常规气象要素如下：</w:t>
      </w:r>
    </w:p>
    <w:p w14:paraId="62FEBCD9">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9"/>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5"/>
          <w:sz w:val="24"/>
          <w:szCs w:val="24"/>
        </w:rPr>
        <w:t>温度：多年平均气温为5.3°C，多年极端最高气温为41.4°C，多年极端最低气温为-40.6°C。</w:t>
      </w:r>
    </w:p>
    <w:p w14:paraId="0C76951E">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3"/>
          <w:sz w:val="24"/>
          <w:szCs w:val="24"/>
        </w:rPr>
        <w:t>降水量：多年平均降水量118.2mm，最大年值155.8mm，最小值61.0mm，最大一日降雨量24.6mm，降雨相对集中月份为6～8月。</w:t>
      </w:r>
    </w:p>
    <w:p w14:paraId="30097882">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蒸发量：多年平均蒸发量1792.4mm，最大年值2191.9mm，最小年1699.8mm。</w:t>
      </w:r>
    </w:p>
    <w:p w14:paraId="00FA8496">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湿度：平均相对湿度62.6%。</w:t>
      </w:r>
    </w:p>
    <w:p w14:paraId="5E0C7D1B">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积雪：多年最大积雪深度31cm。</w:t>
      </w:r>
    </w:p>
    <w:p w14:paraId="2C85DCA5">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pacing w:val="-3"/>
          <w:sz w:val="24"/>
          <w:szCs w:val="24"/>
        </w:rPr>
        <w:t>风速：多年平均风速3.1m/s。多年平均最大风速28m/s。</w:t>
      </w:r>
      <w:r>
        <w:rPr>
          <w:rFonts w:hint="default" w:ascii="Times New Roman" w:hAnsi="Times New Roman" w:cs="Times New Roman"/>
          <w:color w:val="auto"/>
          <w:spacing w:val="-1"/>
          <w:sz w:val="24"/>
          <w:szCs w:val="24"/>
        </w:rPr>
        <w:t>年均气压：959.6Hpa</w:t>
      </w:r>
    </w:p>
    <w:p w14:paraId="106AD121">
      <w:pPr>
        <w:pStyle w:val="4"/>
        <w:bidi w:val="0"/>
        <w:rPr>
          <w:rFonts w:hint="default" w:ascii="Times New Roman" w:hAnsi="Times New Roman" w:cs="Times New Roman"/>
          <w:color w:val="auto"/>
          <w:lang w:val="en-US" w:eastAsia="zh-CN"/>
        </w:rPr>
      </w:pPr>
      <w:bookmarkStart w:id="102" w:name="_Toc27183"/>
      <w:bookmarkStart w:id="103" w:name="_Toc27053"/>
      <w:r>
        <w:rPr>
          <w:rFonts w:hint="default" w:ascii="Times New Roman" w:hAnsi="Times New Roman" w:cs="Times New Roman"/>
          <w:color w:val="auto"/>
          <w:lang w:val="en-US" w:eastAsia="zh-CN"/>
        </w:rPr>
        <w:t>河流水系</w:t>
      </w:r>
      <w:bookmarkEnd w:id="102"/>
      <w:bookmarkEnd w:id="103"/>
    </w:p>
    <w:p w14:paraId="3516D587">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（1）主要水系情况</w:t>
      </w:r>
    </w:p>
    <w:p w14:paraId="334E4373">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阿克达拉水库：阿克达拉水库为引水注入式平原水库，始建于1967年，设计总库容4000万m3，死库容1000万m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是以灌溉为主的中型水库，控制调节北屯灌区一八七团、一八八团和一八三团部分灌溉面积。2007年经水利部大坝安全管理中心核查，评定为三类坝，2010年7月实施除险加固工程，总投资6928万元，工程计划2009年底完工。</w:t>
      </w:r>
    </w:p>
    <w:p w14:paraId="4C2DDEAC">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六号坑水库：六号坑水库位于北屯灌区一八三团，是一座引水注入式平原水库，设计总库容2235万m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，兴利库容2100万m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主要为一八三团提供农业灌溉用水和水产养殖服务，控制下游一八三团灌溉面积4万亩，该水库已列入第三批中央补助病险除险加固工程项目，2010年已实施水库除险加固，总投资3384万元，工程计划2009年底完工。</w:t>
      </w:r>
    </w:p>
    <w:p w14:paraId="492BE9A0">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南关水库：南关水库为引水注入式小型平原水库，设计总库容720万m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，死库容140万m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控制一八八团（原190团）灌溉面积4万余亩，水库不承担防洪任务。2004年11月水库进行了大坝安全鉴定，评定为三类坝，当年被列入第二批中央补助病险除险加固工程项目，2007年水库实施除险加固，总投资1507万元。</w:t>
      </w:r>
    </w:p>
    <w:p w14:paraId="7BB95477">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（2）水资源开发利用现状</w:t>
      </w:r>
    </w:p>
    <w:p w14:paraId="6978451B">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由于北屯灌区无独立过境河流，地表径流仅为降雨径流，无河川径流直接补给。北屯灌区2010年地表水资源量为347万m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，地下水的降水入渗补给量为588万m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，河川基流量为0，水资源总量为935万m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p>
    <w:p w14:paraId="57E65C6E">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（3）地下水状况</w:t>
      </w:r>
    </w:p>
    <w:p w14:paraId="5BD8A5D4">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北屯市域内无原生地下水，垦殖后地表渗透水受第三纪泥岩顶托而形成。地下水埋深一般1～6m，矿化度1～3g/l，该区土层厚度为20～30cm，从东向西由厚变薄。由于第三纪泥岩的隔水作用，并且第四纪砂卵石层厚度较薄，所以地下潜水储量不大，其补给来源均为渠道渗漏水和田间灌溉渗漏水。</w:t>
      </w:r>
    </w:p>
    <w:p w14:paraId="71865433">
      <w:pPr>
        <w:pStyle w:val="3"/>
        <w:bidi w:val="0"/>
        <w:rPr>
          <w:rFonts w:hint="default" w:ascii="Times New Roman" w:hAnsi="Times New Roman" w:cs="Times New Roman"/>
          <w:color w:val="auto"/>
          <w:lang w:val="en-US" w:eastAsia="zh-CN"/>
        </w:rPr>
      </w:pPr>
      <w:bookmarkStart w:id="104" w:name="_Toc6181"/>
      <w:bookmarkStart w:id="105" w:name="_Toc19367"/>
      <w:r>
        <w:rPr>
          <w:rFonts w:hint="default" w:ascii="Times New Roman" w:hAnsi="Times New Roman" w:cs="Times New Roman"/>
          <w:color w:val="auto"/>
          <w:lang w:val="en-US" w:eastAsia="zh-CN"/>
        </w:rPr>
        <w:t>环境质量现状调查与评价</w:t>
      </w:r>
      <w:bookmarkEnd w:id="104"/>
      <w:bookmarkEnd w:id="105"/>
    </w:p>
    <w:p w14:paraId="1E1A27DD">
      <w:pPr>
        <w:pStyle w:val="4"/>
        <w:bidi w:val="0"/>
        <w:rPr>
          <w:rFonts w:hint="default" w:ascii="Times New Roman" w:hAnsi="Times New Roman" w:cs="Times New Roman"/>
          <w:color w:val="auto"/>
          <w:lang w:val="en-US" w:eastAsia="zh-CN"/>
        </w:rPr>
      </w:pPr>
      <w:bookmarkStart w:id="106" w:name="_Toc707"/>
      <w:bookmarkStart w:id="107" w:name="_Toc9596"/>
      <w:r>
        <w:rPr>
          <w:rFonts w:hint="default" w:ascii="Times New Roman" w:hAnsi="Times New Roman" w:cs="Times New Roman"/>
          <w:color w:val="auto"/>
          <w:lang w:val="en-US" w:eastAsia="zh-CN"/>
        </w:rPr>
        <w:t>大气环境现状调查与评价</w:t>
      </w:r>
      <w:bookmarkEnd w:id="106"/>
      <w:bookmarkEnd w:id="107"/>
    </w:p>
    <w:p w14:paraId="662BDDC1">
      <w:pPr>
        <w:pStyle w:val="5"/>
        <w:bidi w:val="0"/>
        <w:rPr>
          <w:rFonts w:hint="default" w:ascii="Times New Roman" w:hAnsi="Times New Roman" w:cs="Times New Roman"/>
          <w:color w:val="auto"/>
          <w:lang w:val="en-US"/>
        </w:rPr>
      </w:pPr>
      <w:r>
        <w:rPr>
          <w:rFonts w:hint="default" w:ascii="Times New Roman" w:hAnsi="Times New Roman" w:cs="Times New Roman"/>
          <w:color w:val="auto"/>
          <w:lang w:val="en-US"/>
        </w:rPr>
        <w:t>基本污染物监测结果及评价</w:t>
      </w:r>
    </w:p>
    <w:p w14:paraId="761560A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为了解项目所在区域的环境空气质量的现状情况，本次环评收集了与评价范围地理位置临近，地形、气候条件相近的</w:t>
      </w:r>
      <w:r>
        <w:rPr>
          <w:rFonts w:hint="default" w:ascii="Times New Roman" w:hAnsi="Times New Roman" w:cs="Times New Roman"/>
          <w:color w:val="auto"/>
          <w:lang w:val="en-US" w:eastAsia="zh-CN"/>
        </w:rPr>
        <w:t>阿勒泰2023</w:t>
      </w:r>
      <w:r>
        <w:rPr>
          <w:rFonts w:hint="default" w:ascii="Times New Roman" w:hAnsi="Times New Roman" w:cs="Times New Roman"/>
          <w:color w:val="auto"/>
          <w:lang w:val="en-US"/>
        </w:rPr>
        <w:t>年度SO</w:t>
      </w:r>
      <w:r>
        <w:rPr>
          <w:rFonts w:hint="default" w:ascii="Times New Roman" w:hAnsi="Times New Roman" w:cs="Times New Roman"/>
          <w:color w:val="auto"/>
          <w:vertAlign w:val="subscript"/>
          <w:lang w:val="en-US"/>
        </w:rPr>
        <w:t>2</w:t>
      </w:r>
      <w:r>
        <w:rPr>
          <w:rFonts w:hint="default" w:ascii="Times New Roman" w:hAnsi="Times New Roman" w:cs="Times New Roman"/>
          <w:color w:val="auto"/>
          <w:lang w:val="en-US"/>
        </w:rPr>
        <w:t>、NO</w:t>
      </w:r>
      <w:r>
        <w:rPr>
          <w:rFonts w:hint="default" w:ascii="Times New Roman" w:hAnsi="Times New Roman" w:cs="Times New Roman"/>
          <w:color w:val="auto"/>
          <w:vertAlign w:val="subscript"/>
          <w:lang w:val="en-US"/>
        </w:rPr>
        <w:t>2</w:t>
      </w:r>
      <w:r>
        <w:rPr>
          <w:rFonts w:hint="default" w:ascii="Times New Roman" w:hAnsi="Times New Roman" w:cs="Times New Roman"/>
          <w:color w:val="auto"/>
          <w:lang w:val="en-US"/>
        </w:rPr>
        <w:t>、PM</w:t>
      </w:r>
      <w:r>
        <w:rPr>
          <w:rFonts w:hint="default" w:ascii="Times New Roman" w:hAnsi="Times New Roman" w:cs="Times New Roman"/>
          <w:color w:val="auto"/>
          <w:vertAlign w:val="subscript"/>
          <w:lang w:val="en-US"/>
        </w:rPr>
        <w:t>10</w:t>
      </w:r>
      <w:r>
        <w:rPr>
          <w:rFonts w:hint="default" w:ascii="Times New Roman" w:hAnsi="Times New Roman" w:cs="Times New Roman"/>
          <w:color w:val="auto"/>
          <w:lang w:val="en-US"/>
        </w:rPr>
        <w:t>、PM</w:t>
      </w:r>
      <w:r>
        <w:rPr>
          <w:rFonts w:hint="default" w:ascii="Times New Roman" w:hAnsi="Times New Roman" w:cs="Times New Roman"/>
          <w:color w:val="auto"/>
          <w:vertAlign w:val="subscript"/>
          <w:lang w:val="en-US"/>
        </w:rPr>
        <w:t>2.5</w:t>
      </w:r>
      <w:r>
        <w:rPr>
          <w:rFonts w:hint="default" w:ascii="Times New Roman" w:hAnsi="Times New Roman" w:cs="Times New Roman"/>
          <w:color w:val="auto"/>
          <w:lang w:val="en-US" w:eastAsia="zh-CN"/>
        </w:rPr>
        <w:t>的年平均</w:t>
      </w:r>
      <w:r>
        <w:rPr>
          <w:rFonts w:hint="default" w:ascii="Times New Roman" w:hAnsi="Times New Roman" w:cs="Times New Roman"/>
          <w:color w:val="auto"/>
          <w:lang w:val="en-US"/>
        </w:rPr>
        <w:t>环境空气质量监测数据</w:t>
      </w:r>
      <w:r>
        <w:rPr>
          <w:rFonts w:hint="default" w:ascii="Times New Roman" w:hAnsi="Times New Roman" w:cs="Times New Roman"/>
          <w:color w:val="auto"/>
          <w:lang w:val="en-US" w:eastAsia="zh-CN"/>
        </w:rPr>
        <w:t>以及</w:t>
      </w:r>
      <w:r>
        <w:rPr>
          <w:rFonts w:hint="default" w:ascii="Times New Roman" w:hAnsi="Times New Roman" w:cs="Times New Roman"/>
          <w:color w:val="auto"/>
          <w:lang w:val="en-US"/>
        </w:rPr>
        <w:t>CO24h平均</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O38小时平均环境空气质量监测数据</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本项目所在区域空气质量达标区判定情况见下表。</w:t>
      </w:r>
    </w:p>
    <w:p w14:paraId="623E6CDE">
      <w:pPr>
        <w:pStyle w:val="14"/>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
          <w:bCs/>
          <w:color w:val="auto"/>
          <w:sz w:val="21"/>
          <w:szCs w:val="21"/>
          <w:lang w:val="en-US"/>
        </w:rPr>
        <w:t>基本污染物环境质量现状评价</w:t>
      </w:r>
    </w:p>
    <w:tbl>
      <w:tblPr>
        <w:tblStyle w:val="33"/>
        <w:tblW w:w="508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909"/>
        <w:gridCol w:w="2939"/>
        <w:gridCol w:w="1247"/>
        <w:gridCol w:w="1390"/>
        <w:gridCol w:w="1032"/>
        <w:gridCol w:w="962"/>
      </w:tblGrid>
      <w:tr w14:paraId="24BAF9B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6" w:type="pct"/>
            <w:vMerge w:val="restart"/>
            <w:tcBorders>
              <w:tl2br w:val="nil"/>
              <w:tr2bl w:val="nil"/>
            </w:tcBorders>
            <w:noWrap w:val="0"/>
            <w:vAlign w:val="center"/>
          </w:tcPr>
          <w:p w14:paraId="5ACBE065">
            <w:pPr>
              <w:tabs>
                <w:tab w:val="left" w:pos="0"/>
              </w:tabs>
              <w:adjustRightInd w:val="0"/>
              <w:snapToGrid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w:t>
            </w:r>
          </w:p>
        </w:tc>
        <w:tc>
          <w:tcPr>
            <w:tcW w:w="1732" w:type="pct"/>
            <w:vMerge w:val="restart"/>
            <w:tcBorders>
              <w:tl2br w:val="nil"/>
              <w:tr2bl w:val="nil"/>
            </w:tcBorders>
            <w:noWrap w:val="0"/>
            <w:vAlign w:val="center"/>
          </w:tcPr>
          <w:p w14:paraId="17241268">
            <w:pPr>
              <w:tabs>
                <w:tab w:val="left" w:pos="0"/>
              </w:tabs>
              <w:adjustRightInd w:val="0"/>
              <w:snapToGrid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eastAsia="zh-CN"/>
              </w:rPr>
              <w:t>年度</w:t>
            </w:r>
            <w:r>
              <w:rPr>
                <w:rFonts w:hint="default" w:ascii="Times New Roman" w:hAnsi="Times New Roman" w:eastAsia="宋体" w:cs="Times New Roman"/>
                <w:b w:val="0"/>
                <w:bCs w:val="0"/>
                <w:color w:val="auto"/>
                <w:sz w:val="21"/>
                <w:szCs w:val="21"/>
                <w:highlight w:val="none"/>
              </w:rPr>
              <w:t>评价指标</w:t>
            </w:r>
          </w:p>
        </w:tc>
        <w:tc>
          <w:tcPr>
            <w:tcW w:w="735" w:type="pct"/>
            <w:vMerge w:val="restart"/>
            <w:tcBorders>
              <w:tl2br w:val="nil"/>
              <w:tr2bl w:val="nil"/>
            </w:tcBorders>
            <w:noWrap w:val="0"/>
            <w:vAlign w:val="center"/>
          </w:tcPr>
          <w:p w14:paraId="4D06D611">
            <w:pPr>
              <w:tabs>
                <w:tab w:val="left" w:pos="0"/>
              </w:tabs>
              <w:adjustRightInd w:val="0"/>
              <w:snapToGrid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评价标准（µg/m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819" w:type="pct"/>
            <w:vMerge w:val="restart"/>
            <w:tcBorders>
              <w:tl2br w:val="nil"/>
              <w:tr2bl w:val="nil"/>
            </w:tcBorders>
            <w:noWrap w:val="0"/>
            <w:vAlign w:val="center"/>
          </w:tcPr>
          <w:p w14:paraId="79664FF2">
            <w:pPr>
              <w:tabs>
                <w:tab w:val="left" w:pos="0"/>
              </w:tabs>
              <w:adjustRightInd w:val="0"/>
              <w:snapToGrid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现状浓度（µg/m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608" w:type="pct"/>
            <w:vMerge w:val="restart"/>
            <w:tcBorders>
              <w:tl2br w:val="nil"/>
              <w:tr2bl w:val="nil"/>
            </w:tcBorders>
            <w:noWrap w:val="0"/>
            <w:vAlign w:val="center"/>
          </w:tcPr>
          <w:p w14:paraId="49656F03">
            <w:pPr>
              <w:tabs>
                <w:tab w:val="left" w:pos="0"/>
              </w:tabs>
              <w:adjustRightInd w:val="0"/>
              <w:snapToGrid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最大占</w:t>
            </w:r>
          </w:p>
          <w:p w14:paraId="298C62C6">
            <w:pPr>
              <w:tabs>
                <w:tab w:val="left" w:pos="0"/>
              </w:tabs>
              <w:adjustRightInd w:val="0"/>
              <w:snapToGrid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标率%</w:t>
            </w:r>
          </w:p>
        </w:tc>
        <w:tc>
          <w:tcPr>
            <w:tcW w:w="567" w:type="pct"/>
            <w:vMerge w:val="restart"/>
            <w:tcBorders>
              <w:tl2br w:val="nil"/>
              <w:tr2bl w:val="nil"/>
            </w:tcBorders>
            <w:noWrap w:val="0"/>
            <w:vAlign w:val="center"/>
          </w:tcPr>
          <w:p w14:paraId="4E85DAC5">
            <w:pPr>
              <w:tabs>
                <w:tab w:val="left" w:pos="0"/>
              </w:tabs>
              <w:adjustRightInd w:val="0"/>
              <w:snapToGrid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p w14:paraId="5BEF3AF4">
            <w:pPr>
              <w:tabs>
                <w:tab w:val="left" w:pos="0"/>
              </w:tabs>
              <w:adjustRightInd w:val="0"/>
              <w:snapToGrid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情况</w:t>
            </w:r>
          </w:p>
        </w:tc>
      </w:tr>
      <w:tr w14:paraId="0E1DBA1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noWrap w:val="0"/>
            <w:vAlign w:val="center"/>
          </w:tcPr>
          <w:p w14:paraId="224EB3DD">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p>
        </w:tc>
        <w:tc>
          <w:tcPr>
            <w:tcW w:w="1732" w:type="pct"/>
            <w:vMerge w:val="continue"/>
            <w:tcBorders>
              <w:tl2br w:val="nil"/>
              <w:tr2bl w:val="nil"/>
            </w:tcBorders>
            <w:noWrap w:val="0"/>
            <w:vAlign w:val="center"/>
          </w:tcPr>
          <w:p w14:paraId="6729315C">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p>
        </w:tc>
        <w:tc>
          <w:tcPr>
            <w:tcW w:w="735" w:type="pct"/>
            <w:vMerge w:val="continue"/>
            <w:tcBorders>
              <w:tl2br w:val="nil"/>
              <w:tr2bl w:val="nil"/>
            </w:tcBorders>
            <w:noWrap w:val="0"/>
            <w:vAlign w:val="center"/>
          </w:tcPr>
          <w:p w14:paraId="110FA871">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p>
        </w:tc>
        <w:tc>
          <w:tcPr>
            <w:tcW w:w="819" w:type="pct"/>
            <w:vMerge w:val="continue"/>
            <w:tcBorders>
              <w:tl2br w:val="nil"/>
              <w:tr2bl w:val="nil"/>
            </w:tcBorders>
            <w:noWrap w:val="0"/>
            <w:vAlign w:val="center"/>
          </w:tcPr>
          <w:p w14:paraId="5494EC40">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p>
        </w:tc>
        <w:tc>
          <w:tcPr>
            <w:tcW w:w="608" w:type="pct"/>
            <w:vMerge w:val="continue"/>
            <w:tcBorders>
              <w:tl2br w:val="nil"/>
              <w:tr2bl w:val="nil"/>
            </w:tcBorders>
            <w:noWrap w:val="0"/>
            <w:vAlign w:val="center"/>
          </w:tcPr>
          <w:p w14:paraId="60D8DA94">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p>
        </w:tc>
        <w:tc>
          <w:tcPr>
            <w:tcW w:w="567" w:type="pct"/>
            <w:vMerge w:val="continue"/>
            <w:tcBorders>
              <w:tl2br w:val="nil"/>
              <w:tr2bl w:val="nil"/>
            </w:tcBorders>
            <w:noWrap w:val="0"/>
            <w:vAlign w:val="center"/>
          </w:tcPr>
          <w:p w14:paraId="61B451C1">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p>
        </w:tc>
      </w:tr>
      <w:tr w14:paraId="109991F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6" w:type="pct"/>
            <w:tcBorders>
              <w:tl2br w:val="nil"/>
              <w:tr2bl w:val="nil"/>
            </w:tcBorders>
            <w:noWrap w:val="0"/>
            <w:vAlign w:val="center"/>
          </w:tcPr>
          <w:p w14:paraId="5159E86C">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732" w:type="pct"/>
            <w:tcBorders>
              <w:tl2br w:val="nil"/>
              <w:tr2bl w:val="nil"/>
            </w:tcBorders>
            <w:noWrap w:val="0"/>
            <w:vAlign w:val="center"/>
          </w:tcPr>
          <w:p w14:paraId="2E48CBC4">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35" w:type="pct"/>
            <w:tcBorders>
              <w:tl2br w:val="nil"/>
              <w:tr2bl w:val="nil"/>
            </w:tcBorders>
            <w:noWrap w:val="0"/>
            <w:vAlign w:val="center"/>
          </w:tcPr>
          <w:p w14:paraId="21B63839">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19" w:type="pct"/>
            <w:tcBorders>
              <w:tl2br w:val="nil"/>
              <w:tr2bl w:val="nil"/>
            </w:tcBorders>
            <w:noWrap w:val="0"/>
            <w:vAlign w:val="center"/>
          </w:tcPr>
          <w:p w14:paraId="32D1F86F">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608" w:type="pct"/>
            <w:tcBorders>
              <w:tl2br w:val="nil"/>
              <w:tr2bl w:val="nil"/>
            </w:tcBorders>
            <w:noWrap w:val="0"/>
            <w:vAlign w:val="center"/>
          </w:tcPr>
          <w:p w14:paraId="3FA758C9">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w:t>
            </w:r>
          </w:p>
        </w:tc>
        <w:tc>
          <w:tcPr>
            <w:tcW w:w="567" w:type="pct"/>
            <w:tcBorders>
              <w:tl2br w:val="nil"/>
              <w:tr2bl w:val="nil"/>
            </w:tcBorders>
            <w:noWrap w:val="0"/>
            <w:vAlign w:val="center"/>
          </w:tcPr>
          <w:p w14:paraId="5EEECEBE">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59725CC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6" w:type="pct"/>
            <w:tcBorders>
              <w:tl2br w:val="nil"/>
              <w:tr2bl w:val="nil"/>
            </w:tcBorders>
            <w:noWrap w:val="0"/>
            <w:vAlign w:val="center"/>
          </w:tcPr>
          <w:p w14:paraId="2495FA9B">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732" w:type="pct"/>
            <w:tcBorders>
              <w:tl2br w:val="nil"/>
              <w:tr2bl w:val="nil"/>
            </w:tcBorders>
            <w:noWrap w:val="0"/>
            <w:vAlign w:val="center"/>
          </w:tcPr>
          <w:p w14:paraId="0921F544">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35" w:type="pct"/>
            <w:tcBorders>
              <w:tl2br w:val="nil"/>
              <w:tr2bl w:val="nil"/>
            </w:tcBorders>
            <w:noWrap w:val="0"/>
            <w:vAlign w:val="center"/>
          </w:tcPr>
          <w:p w14:paraId="08CE0071">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819" w:type="pct"/>
            <w:tcBorders>
              <w:tl2br w:val="nil"/>
              <w:tr2bl w:val="nil"/>
            </w:tcBorders>
            <w:noWrap w:val="0"/>
            <w:vAlign w:val="center"/>
          </w:tcPr>
          <w:p w14:paraId="5710AF88">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608" w:type="pct"/>
            <w:tcBorders>
              <w:tl2br w:val="nil"/>
              <w:tr2bl w:val="nil"/>
            </w:tcBorders>
            <w:noWrap w:val="0"/>
            <w:vAlign w:val="center"/>
          </w:tcPr>
          <w:p w14:paraId="4192A394">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567" w:type="pct"/>
            <w:tcBorders>
              <w:tl2br w:val="nil"/>
              <w:tr2bl w:val="nil"/>
            </w:tcBorders>
            <w:noWrap w:val="0"/>
            <w:vAlign w:val="center"/>
          </w:tcPr>
          <w:p w14:paraId="5BABAC2E">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DC204F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6" w:type="pct"/>
            <w:tcBorders>
              <w:tl2br w:val="nil"/>
              <w:tr2bl w:val="nil"/>
            </w:tcBorders>
            <w:noWrap w:val="0"/>
            <w:vAlign w:val="center"/>
          </w:tcPr>
          <w:p w14:paraId="797A66E2">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732" w:type="pct"/>
            <w:tcBorders>
              <w:tl2br w:val="nil"/>
              <w:tr2bl w:val="nil"/>
            </w:tcBorders>
            <w:noWrap w:val="0"/>
            <w:vAlign w:val="center"/>
          </w:tcPr>
          <w:p w14:paraId="1D21AFF0">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35" w:type="pct"/>
            <w:tcBorders>
              <w:tl2br w:val="nil"/>
              <w:tr2bl w:val="nil"/>
            </w:tcBorders>
            <w:noWrap w:val="0"/>
            <w:vAlign w:val="center"/>
          </w:tcPr>
          <w:p w14:paraId="7FF2D7F3">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819" w:type="pct"/>
            <w:tcBorders>
              <w:tl2br w:val="nil"/>
              <w:tr2bl w:val="nil"/>
            </w:tcBorders>
            <w:noWrap w:val="0"/>
            <w:vAlign w:val="center"/>
          </w:tcPr>
          <w:p w14:paraId="6015F41C">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608" w:type="pct"/>
            <w:tcBorders>
              <w:tl2br w:val="nil"/>
              <w:tr2bl w:val="nil"/>
            </w:tcBorders>
            <w:noWrap w:val="0"/>
            <w:vAlign w:val="center"/>
          </w:tcPr>
          <w:p w14:paraId="79345662">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35.7</w:t>
            </w:r>
          </w:p>
        </w:tc>
        <w:tc>
          <w:tcPr>
            <w:tcW w:w="567" w:type="pct"/>
            <w:tcBorders>
              <w:tl2br w:val="nil"/>
              <w:tr2bl w:val="nil"/>
            </w:tcBorders>
            <w:noWrap w:val="0"/>
            <w:vAlign w:val="center"/>
          </w:tcPr>
          <w:p w14:paraId="788E4368">
            <w:pPr>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7C497B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6" w:type="pct"/>
            <w:tcBorders>
              <w:tl2br w:val="nil"/>
              <w:tr2bl w:val="nil"/>
            </w:tcBorders>
            <w:noWrap w:val="0"/>
            <w:vAlign w:val="center"/>
          </w:tcPr>
          <w:p w14:paraId="4FA157FA">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732" w:type="pct"/>
            <w:tcBorders>
              <w:tl2br w:val="nil"/>
              <w:tr2bl w:val="nil"/>
            </w:tcBorders>
            <w:noWrap w:val="0"/>
            <w:vAlign w:val="center"/>
          </w:tcPr>
          <w:p w14:paraId="0FCDB3B7">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35" w:type="pct"/>
            <w:tcBorders>
              <w:tl2br w:val="nil"/>
              <w:tr2bl w:val="nil"/>
            </w:tcBorders>
            <w:noWrap w:val="0"/>
            <w:vAlign w:val="center"/>
          </w:tcPr>
          <w:p w14:paraId="579E5372">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819" w:type="pct"/>
            <w:tcBorders>
              <w:tl2br w:val="nil"/>
              <w:tr2bl w:val="nil"/>
            </w:tcBorders>
            <w:noWrap w:val="0"/>
            <w:vAlign w:val="center"/>
          </w:tcPr>
          <w:p w14:paraId="386821F3">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608" w:type="pct"/>
            <w:tcBorders>
              <w:tl2br w:val="nil"/>
              <w:tr2bl w:val="nil"/>
            </w:tcBorders>
            <w:noWrap w:val="0"/>
            <w:vAlign w:val="center"/>
          </w:tcPr>
          <w:p w14:paraId="17DCE349">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567" w:type="pct"/>
            <w:tcBorders>
              <w:tl2br w:val="nil"/>
              <w:tr2bl w:val="nil"/>
            </w:tcBorders>
            <w:noWrap w:val="0"/>
            <w:vAlign w:val="center"/>
          </w:tcPr>
          <w:p w14:paraId="580B25FD">
            <w:pPr>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123B9F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6" w:type="pct"/>
            <w:tcBorders>
              <w:tl2br w:val="nil"/>
              <w:tr2bl w:val="nil"/>
            </w:tcBorders>
            <w:noWrap w:val="0"/>
            <w:vAlign w:val="center"/>
          </w:tcPr>
          <w:p w14:paraId="34DE95CD">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732" w:type="pct"/>
            <w:tcBorders>
              <w:tl2br w:val="nil"/>
              <w:tr2bl w:val="nil"/>
            </w:tcBorders>
            <w:noWrap w:val="0"/>
            <w:vAlign w:val="center"/>
          </w:tcPr>
          <w:p w14:paraId="0240D4D3">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24小时平均第95百分位数</w:t>
            </w:r>
          </w:p>
        </w:tc>
        <w:tc>
          <w:tcPr>
            <w:tcW w:w="735" w:type="pct"/>
            <w:tcBorders>
              <w:tl2br w:val="nil"/>
              <w:tr2bl w:val="nil"/>
            </w:tcBorders>
            <w:noWrap w:val="0"/>
            <w:vAlign w:val="center"/>
          </w:tcPr>
          <w:p w14:paraId="6C40F851">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4000</w:t>
            </w:r>
          </w:p>
        </w:tc>
        <w:tc>
          <w:tcPr>
            <w:tcW w:w="819" w:type="pct"/>
            <w:tcBorders>
              <w:tl2br w:val="nil"/>
              <w:tr2bl w:val="nil"/>
            </w:tcBorders>
            <w:noWrap w:val="0"/>
            <w:vAlign w:val="center"/>
          </w:tcPr>
          <w:p w14:paraId="57AF0273">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700</w:t>
            </w:r>
          </w:p>
        </w:tc>
        <w:tc>
          <w:tcPr>
            <w:tcW w:w="608" w:type="pct"/>
            <w:tcBorders>
              <w:tl2br w:val="nil"/>
              <w:tr2bl w:val="nil"/>
            </w:tcBorders>
            <w:noWrap w:val="0"/>
            <w:vAlign w:val="center"/>
          </w:tcPr>
          <w:p w14:paraId="68291FFE">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17.5</w:t>
            </w:r>
          </w:p>
        </w:tc>
        <w:tc>
          <w:tcPr>
            <w:tcW w:w="567" w:type="pct"/>
            <w:tcBorders>
              <w:tl2br w:val="nil"/>
              <w:tr2bl w:val="nil"/>
            </w:tcBorders>
            <w:noWrap w:val="0"/>
            <w:vAlign w:val="center"/>
          </w:tcPr>
          <w:p w14:paraId="35CE1723">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6DF851F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6" w:type="pct"/>
            <w:tcBorders>
              <w:tl2br w:val="nil"/>
              <w:tr2bl w:val="nil"/>
            </w:tcBorders>
            <w:noWrap w:val="0"/>
            <w:vAlign w:val="center"/>
          </w:tcPr>
          <w:p w14:paraId="34C02603">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732" w:type="pct"/>
            <w:tcBorders>
              <w:tl2br w:val="nil"/>
              <w:tr2bl w:val="nil"/>
            </w:tcBorders>
            <w:noWrap w:val="0"/>
            <w:vAlign w:val="center"/>
          </w:tcPr>
          <w:p w14:paraId="2CCF5D9A">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日最大8小时第95百分位数</w:t>
            </w:r>
          </w:p>
        </w:tc>
        <w:tc>
          <w:tcPr>
            <w:tcW w:w="735" w:type="pct"/>
            <w:tcBorders>
              <w:tl2br w:val="nil"/>
              <w:tr2bl w:val="nil"/>
            </w:tcBorders>
            <w:noWrap w:val="0"/>
            <w:vAlign w:val="center"/>
          </w:tcPr>
          <w:p w14:paraId="3FA79DAD">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160</w:t>
            </w:r>
          </w:p>
        </w:tc>
        <w:tc>
          <w:tcPr>
            <w:tcW w:w="819" w:type="pct"/>
            <w:tcBorders>
              <w:tl2br w:val="nil"/>
              <w:tr2bl w:val="nil"/>
            </w:tcBorders>
            <w:noWrap w:val="0"/>
            <w:vAlign w:val="center"/>
          </w:tcPr>
          <w:p w14:paraId="3A037E1D">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111</w:t>
            </w:r>
          </w:p>
        </w:tc>
        <w:tc>
          <w:tcPr>
            <w:tcW w:w="608" w:type="pct"/>
            <w:tcBorders>
              <w:tl2br w:val="nil"/>
              <w:tr2bl w:val="nil"/>
            </w:tcBorders>
            <w:noWrap w:val="0"/>
            <w:vAlign w:val="center"/>
          </w:tcPr>
          <w:p w14:paraId="3BD23796">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69.4</w:t>
            </w:r>
          </w:p>
        </w:tc>
        <w:tc>
          <w:tcPr>
            <w:tcW w:w="567" w:type="pct"/>
            <w:tcBorders>
              <w:tl2br w:val="nil"/>
              <w:tr2bl w:val="nil"/>
            </w:tcBorders>
            <w:noWrap w:val="0"/>
            <w:vAlign w:val="center"/>
          </w:tcPr>
          <w:p w14:paraId="05CE9490">
            <w:pPr>
              <w:tabs>
                <w:tab w:val="left" w:pos="0"/>
              </w:tabs>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5206C42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根据上表结果202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年度PM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年平均浓度，CO24h平均浓度，O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8小时平均浓度满足《环境空气质量标准》（GB3095-2012）二级标准要求</w:t>
      </w:r>
      <w:r>
        <w:rPr>
          <w:rFonts w:hint="default" w:ascii="Times New Roman" w:hAnsi="Times New Roman" w:eastAsia="宋体" w:cs="Times New Roman"/>
          <w:color w:val="auto"/>
          <w:sz w:val="24"/>
          <w:szCs w:val="24"/>
          <w:highlight w:val="none"/>
          <w:lang w:val="en-US" w:eastAsia="zh-CN"/>
        </w:rPr>
        <w:t>。项目区属于达标区。</w:t>
      </w:r>
    </w:p>
    <w:p w14:paraId="731E2A0B">
      <w:pPr>
        <w:pStyle w:val="5"/>
        <w:bidi w:val="0"/>
        <w:rPr>
          <w:rFonts w:hint="default" w:ascii="Times New Roman" w:hAnsi="Times New Roman" w:cs="Times New Roman"/>
          <w:color w:val="auto"/>
          <w:lang w:val="en-US"/>
        </w:rPr>
      </w:pPr>
      <w:r>
        <w:rPr>
          <w:rFonts w:hint="default" w:ascii="Times New Roman" w:hAnsi="Times New Roman" w:cs="Times New Roman"/>
          <w:color w:val="auto"/>
          <w:lang w:val="en-US"/>
        </w:rPr>
        <w:t>特征污染物监测结果及评价</w:t>
      </w:r>
    </w:p>
    <w:p w14:paraId="68A864AE">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（1）监测点位布设</w:t>
      </w:r>
    </w:p>
    <w:p w14:paraId="21F8D0DF">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本项目特征污染物NH</w:t>
      </w:r>
      <w:r>
        <w:rPr>
          <w:rFonts w:hint="default" w:ascii="Times New Roman" w:hAnsi="Times New Roman" w:cs="Times New Roman"/>
          <w:color w:val="auto"/>
          <w:vertAlign w:val="subscript"/>
          <w:lang w:val="en-US"/>
        </w:rPr>
        <w:t>3</w:t>
      </w:r>
      <w:r>
        <w:rPr>
          <w:rFonts w:hint="default" w:ascii="Times New Roman" w:hAnsi="Times New Roman" w:cs="Times New Roman"/>
          <w:color w:val="auto"/>
          <w:lang w:val="en-US"/>
        </w:rPr>
        <w:t>、H</w:t>
      </w:r>
      <w:r>
        <w:rPr>
          <w:rFonts w:hint="default" w:ascii="Times New Roman" w:hAnsi="Times New Roman" w:cs="Times New Roman"/>
          <w:color w:val="auto"/>
          <w:vertAlign w:val="subscript"/>
          <w:lang w:val="en-US"/>
        </w:rPr>
        <w:t>2</w:t>
      </w:r>
      <w:r>
        <w:rPr>
          <w:rFonts w:hint="default" w:ascii="Times New Roman" w:hAnsi="Times New Roman" w:cs="Times New Roman"/>
          <w:color w:val="auto"/>
          <w:lang w:val="en-US"/>
        </w:rPr>
        <w:t>S</w:t>
      </w:r>
      <w:r>
        <w:rPr>
          <w:rFonts w:hint="default" w:ascii="Times New Roman" w:hAnsi="Times New Roman" w:cs="Times New Roman"/>
          <w:color w:val="auto"/>
          <w:lang w:val="en-US" w:eastAsia="zh-CN"/>
        </w:rPr>
        <w:t>、TSP委托新疆锡水金山环境科技有限公司对项目区现状</w:t>
      </w:r>
      <w:r>
        <w:rPr>
          <w:rFonts w:hint="default" w:ascii="Times New Roman" w:hAnsi="Times New Roman" w:cs="Times New Roman"/>
          <w:color w:val="auto"/>
          <w:lang w:val="en-US"/>
        </w:rPr>
        <w:t>监测，共</w:t>
      </w:r>
      <w:r>
        <w:rPr>
          <w:rFonts w:hint="default" w:ascii="Times New Roman" w:hAnsi="Times New Roman" w:cs="Times New Roman"/>
          <w:color w:val="auto"/>
          <w:highlight w:val="none"/>
          <w:lang w:val="en-US"/>
        </w:rPr>
        <w:t>取</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个环境空气监</w:t>
      </w:r>
      <w:r>
        <w:rPr>
          <w:rFonts w:hint="default" w:ascii="Times New Roman" w:hAnsi="Times New Roman" w:cs="Times New Roman"/>
          <w:color w:val="auto"/>
          <w:lang w:val="en-US"/>
        </w:rPr>
        <w:t>测点进行评价，监测布点情况详见表4.2-</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。监测点的位置详见图</w:t>
      </w:r>
      <w:r>
        <w:rPr>
          <w:rFonts w:hint="default" w:ascii="Times New Roman" w:hAnsi="Times New Roman" w:cs="Times New Roman"/>
          <w:color w:val="auto"/>
          <w:lang w:val="en-US" w:eastAsia="zh-CN"/>
        </w:rPr>
        <w:t>4-1项目监测布点图</w:t>
      </w:r>
      <w:r>
        <w:rPr>
          <w:rFonts w:hint="default" w:ascii="Times New Roman" w:hAnsi="Times New Roman" w:cs="Times New Roman"/>
          <w:color w:val="auto"/>
          <w:lang w:val="en-US"/>
        </w:rPr>
        <w:t>。</w:t>
      </w:r>
    </w:p>
    <w:p w14:paraId="270BD2EC">
      <w:pPr>
        <w:pStyle w:val="14"/>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b/>
          <w:bCs/>
          <w:color w:val="auto"/>
          <w:sz w:val="21"/>
          <w:szCs w:val="21"/>
          <w:lang w:val="en-US"/>
        </w:rPr>
        <w:t>其他污染物补充监测点位基本信息</w:t>
      </w:r>
    </w:p>
    <w:tbl>
      <w:tblPr>
        <w:tblStyle w:val="33"/>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08"/>
        <w:gridCol w:w="2283"/>
        <w:gridCol w:w="2390"/>
        <w:gridCol w:w="1862"/>
      </w:tblGrid>
      <w:tr w14:paraId="119C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3" w:type="pct"/>
            <w:vMerge w:val="restart"/>
            <w:noWrap w:val="0"/>
            <w:vAlign w:val="center"/>
          </w:tcPr>
          <w:p w14:paraId="43B3F596">
            <w:pPr>
              <w:pStyle w:val="69"/>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监测点</w:t>
            </w:r>
          </w:p>
          <w:p w14:paraId="3D79233C">
            <w:pPr>
              <w:pStyle w:val="69"/>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名称</w:t>
            </w:r>
          </w:p>
        </w:tc>
        <w:tc>
          <w:tcPr>
            <w:tcW w:w="2800" w:type="pct"/>
            <w:gridSpan w:val="2"/>
            <w:noWrap w:val="0"/>
            <w:vAlign w:val="center"/>
          </w:tcPr>
          <w:p w14:paraId="5E9EB1EA">
            <w:pPr>
              <w:pStyle w:val="69"/>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监测点坐标</w:t>
            </w:r>
          </w:p>
        </w:tc>
        <w:tc>
          <w:tcPr>
            <w:tcW w:w="1115" w:type="pct"/>
            <w:vMerge w:val="restart"/>
            <w:noWrap w:val="0"/>
            <w:vAlign w:val="center"/>
          </w:tcPr>
          <w:p w14:paraId="123F83D6">
            <w:pPr>
              <w:pStyle w:val="69"/>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监测因子</w:t>
            </w:r>
          </w:p>
        </w:tc>
      </w:tr>
      <w:tr w14:paraId="6D52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3" w:type="pct"/>
            <w:vMerge w:val="continue"/>
            <w:noWrap w:val="0"/>
            <w:vAlign w:val="center"/>
          </w:tcPr>
          <w:p w14:paraId="78AA9625">
            <w:pPr>
              <w:pStyle w:val="69"/>
              <w:ind w:left="0" w:leftChars="0" w:right="-10" w:rightChars="0" w:firstLine="0" w:firstLineChars="0"/>
              <w:jc w:val="center"/>
              <w:rPr>
                <w:rFonts w:hint="default" w:ascii="Times New Roman" w:hAnsi="Times New Roman" w:cs="Times New Roman"/>
                <w:color w:val="auto"/>
                <w:sz w:val="21"/>
                <w:highlight w:val="none"/>
              </w:rPr>
            </w:pPr>
          </w:p>
        </w:tc>
        <w:tc>
          <w:tcPr>
            <w:tcW w:w="1368" w:type="pct"/>
            <w:noWrap w:val="0"/>
            <w:vAlign w:val="center"/>
          </w:tcPr>
          <w:p w14:paraId="72513DEC">
            <w:pPr>
              <w:pStyle w:val="69"/>
              <w:ind w:left="0" w:leftChars="0" w:right="-10" w:rightChars="0"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en-US" w:eastAsia="zh-CN"/>
              </w:rPr>
              <w:t>经度</w:t>
            </w:r>
          </w:p>
        </w:tc>
        <w:tc>
          <w:tcPr>
            <w:tcW w:w="1432" w:type="pct"/>
            <w:noWrap w:val="0"/>
            <w:vAlign w:val="center"/>
          </w:tcPr>
          <w:p w14:paraId="6F87B366">
            <w:pPr>
              <w:pStyle w:val="69"/>
              <w:ind w:left="0" w:leftChars="0" w:right="-10" w:rightChars="0"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en-US" w:eastAsia="zh-CN"/>
              </w:rPr>
              <w:t>纬度</w:t>
            </w:r>
          </w:p>
        </w:tc>
        <w:tc>
          <w:tcPr>
            <w:tcW w:w="1115" w:type="pct"/>
            <w:vMerge w:val="continue"/>
            <w:noWrap w:val="0"/>
            <w:vAlign w:val="center"/>
          </w:tcPr>
          <w:p w14:paraId="5BFDF1A3">
            <w:pPr>
              <w:pStyle w:val="69"/>
              <w:ind w:left="0" w:leftChars="0" w:right="-10" w:rightChars="0" w:firstLine="0" w:firstLineChars="0"/>
              <w:jc w:val="center"/>
              <w:rPr>
                <w:rFonts w:hint="default" w:ascii="Times New Roman" w:hAnsi="Times New Roman" w:cs="Times New Roman"/>
                <w:color w:val="auto"/>
                <w:sz w:val="21"/>
                <w:highlight w:val="none"/>
              </w:rPr>
            </w:pPr>
          </w:p>
        </w:tc>
      </w:tr>
      <w:tr w14:paraId="76F8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083" w:type="pct"/>
            <w:noWrap w:val="0"/>
            <w:vAlign w:val="center"/>
          </w:tcPr>
          <w:p w14:paraId="1A09C206">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highlight w:val="none"/>
                <w:lang w:val="en-US" w:eastAsia="zh-CN"/>
              </w:rPr>
              <w:t>厂址1#</w:t>
            </w:r>
          </w:p>
        </w:tc>
        <w:tc>
          <w:tcPr>
            <w:tcW w:w="1368" w:type="pct"/>
            <w:noWrap w:val="0"/>
            <w:vAlign w:val="center"/>
          </w:tcPr>
          <w:p w14:paraId="71CA3C2F">
            <w:pPr>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pacing w:val="-6"/>
                <w:sz w:val="21"/>
                <w:szCs w:val="21"/>
                <w:highlight w:val="none"/>
                <w:lang w:val="en-US" w:eastAsia="zh-CN"/>
              </w:rPr>
              <w:t>87°40′19.53″</w:t>
            </w:r>
          </w:p>
        </w:tc>
        <w:tc>
          <w:tcPr>
            <w:tcW w:w="1432" w:type="pct"/>
            <w:noWrap w:val="0"/>
            <w:vAlign w:val="center"/>
          </w:tcPr>
          <w:p w14:paraId="6F7E4E8E">
            <w:pPr>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pacing w:val="-6"/>
                <w:sz w:val="21"/>
                <w:szCs w:val="21"/>
                <w:highlight w:val="none"/>
                <w:lang w:val="en-US" w:eastAsia="zh-CN"/>
              </w:rPr>
              <w:t>47°19′58.06″</w:t>
            </w:r>
          </w:p>
        </w:tc>
        <w:tc>
          <w:tcPr>
            <w:tcW w:w="1115" w:type="pct"/>
            <w:vMerge w:val="restart"/>
            <w:noWrap w:val="0"/>
            <w:vAlign w:val="center"/>
          </w:tcPr>
          <w:p w14:paraId="66A0663C">
            <w:pPr>
              <w:pStyle w:val="69"/>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NH</w:t>
            </w:r>
            <w:r>
              <w:rPr>
                <w:rFonts w:hint="default" w:ascii="Times New Roman" w:hAnsi="Times New Roman" w:cs="Times New Roman"/>
                <w:color w:val="auto"/>
                <w:sz w:val="21"/>
                <w:highlight w:val="none"/>
                <w:vertAlign w:val="subscript"/>
              </w:rPr>
              <w:t>3</w:t>
            </w:r>
            <w:r>
              <w:rPr>
                <w:rFonts w:hint="default" w:ascii="Times New Roman" w:hAnsi="Times New Roman" w:cs="Times New Roman"/>
                <w:color w:val="auto"/>
                <w:sz w:val="21"/>
                <w:highlight w:val="none"/>
              </w:rPr>
              <w:t>、H</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S</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TSP</w:t>
            </w:r>
          </w:p>
        </w:tc>
      </w:tr>
      <w:tr w14:paraId="4BF1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083" w:type="pct"/>
            <w:noWrap w:val="0"/>
            <w:vAlign w:val="center"/>
          </w:tcPr>
          <w:p w14:paraId="6FE426B8">
            <w:pPr>
              <w:pStyle w:val="69"/>
              <w:ind w:left="0" w:leftChars="0" w:right="-10"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厂址下风向</w:t>
            </w:r>
            <w:r>
              <w:rPr>
                <w:rFonts w:hint="default" w:ascii="Times New Roman" w:hAnsi="Times New Roman" w:eastAsia="宋体" w:cs="Times New Roman"/>
                <w:color w:val="auto"/>
                <w:sz w:val="21"/>
                <w:highlight w:val="none"/>
                <w:lang w:val="en-US" w:eastAsia="zh-CN"/>
              </w:rPr>
              <w:t>2#</w:t>
            </w:r>
          </w:p>
        </w:tc>
        <w:tc>
          <w:tcPr>
            <w:tcW w:w="1368" w:type="pct"/>
            <w:noWrap w:val="0"/>
            <w:vAlign w:val="center"/>
          </w:tcPr>
          <w:p w14:paraId="137FA33C">
            <w:pPr>
              <w:ind w:left="0" w:leftChars="0" w:right="-1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87°40′22.067″</w:t>
            </w:r>
          </w:p>
        </w:tc>
        <w:tc>
          <w:tcPr>
            <w:tcW w:w="1432" w:type="pct"/>
            <w:noWrap w:val="0"/>
            <w:vAlign w:val="center"/>
          </w:tcPr>
          <w:p w14:paraId="66BAF883">
            <w:pPr>
              <w:ind w:left="0" w:leftChars="0" w:right="-1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47°19′55.519″</w:t>
            </w:r>
          </w:p>
        </w:tc>
        <w:tc>
          <w:tcPr>
            <w:tcW w:w="1115" w:type="pct"/>
            <w:vMerge w:val="continue"/>
            <w:noWrap w:val="0"/>
            <w:vAlign w:val="center"/>
          </w:tcPr>
          <w:p w14:paraId="65C68307">
            <w:pPr>
              <w:pStyle w:val="69"/>
              <w:ind w:left="0" w:leftChars="0" w:right="-10" w:rightChars="0" w:firstLine="0" w:firstLineChars="0"/>
              <w:jc w:val="center"/>
              <w:rPr>
                <w:rFonts w:hint="default" w:ascii="Times New Roman" w:hAnsi="Times New Roman" w:cs="Times New Roman"/>
                <w:color w:val="auto"/>
                <w:sz w:val="21"/>
                <w:highlight w:val="none"/>
              </w:rPr>
            </w:pPr>
          </w:p>
        </w:tc>
      </w:tr>
    </w:tbl>
    <w:p w14:paraId="0BFA9B4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（2）监测因子、监测时间、频率及监测方法</w:t>
      </w:r>
    </w:p>
    <w:p w14:paraId="2404200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rPr>
        <w:t>监测因子</w:t>
      </w:r>
      <w:r>
        <w:rPr>
          <w:rFonts w:hint="default" w:ascii="Times New Roman" w:hAnsi="Times New Roman" w:cs="Times New Roman"/>
          <w:color w:val="auto"/>
          <w:lang w:val="en-US" w:eastAsia="zh-CN"/>
        </w:rPr>
        <w:t>及监测时间</w:t>
      </w:r>
      <w:r>
        <w:rPr>
          <w:rFonts w:hint="default" w:ascii="Times New Roman" w:hAnsi="Times New Roman" w:cs="Times New Roman"/>
          <w:color w:val="auto"/>
          <w:lang w:val="en-US"/>
        </w:rPr>
        <w:t>：监测因子</w:t>
      </w:r>
      <w:r>
        <w:rPr>
          <w:rFonts w:hint="default" w:ascii="Times New Roman" w:hAnsi="Times New Roman" w:cs="Times New Roman"/>
          <w:color w:val="auto"/>
          <w:lang w:val="en-US" w:eastAsia="zh-CN"/>
        </w:rPr>
        <w:t>为</w:t>
      </w:r>
      <w:r>
        <w:rPr>
          <w:rFonts w:hint="default" w:ascii="Times New Roman" w:hAnsi="Times New Roman" w:cs="Times New Roman"/>
          <w:color w:val="auto"/>
          <w:lang w:val="en-US"/>
        </w:rPr>
        <w:t>NH</w:t>
      </w:r>
      <w:r>
        <w:rPr>
          <w:rFonts w:hint="default" w:ascii="Times New Roman" w:hAnsi="Times New Roman" w:cs="Times New Roman"/>
          <w:color w:val="auto"/>
          <w:vertAlign w:val="subscript"/>
          <w:lang w:val="en-US"/>
        </w:rPr>
        <w:t>3</w:t>
      </w:r>
      <w:r>
        <w:rPr>
          <w:rFonts w:hint="default" w:ascii="Times New Roman" w:hAnsi="Times New Roman" w:cs="Times New Roman"/>
          <w:color w:val="auto"/>
          <w:lang w:val="en-US"/>
        </w:rPr>
        <w:t>、H</w:t>
      </w:r>
      <w:r>
        <w:rPr>
          <w:rFonts w:hint="default" w:ascii="Times New Roman" w:hAnsi="Times New Roman" w:cs="Times New Roman"/>
          <w:color w:val="auto"/>
          <w:vertAlign w:val="subscript"/>
          <w:lang w:val="en-US"/>
        </w:rPr>
        <w:t>2</w:t>
      </w:r>
      <w:r>
        <w:rPr>
          <w:rFonts w:hint="default" w:ascii="Times New Roman" w:hAnsi="Times New Roman" w:cs="Times New Roman"/>
          <w:color w:val="auto"/>
          <w:lang w:val="en-US"/>
        </w:rPr>
        <w:t>S</w:t>
      </w:r>
      <w:r>
        <w:rPr>
          <w:rFonts w:hint="default" w:ascii="Times New Roman" w:hAnsi="Times New Roman" w:cs="Times New Roman"/>
          <w:color w:val="auto"/>
          <w:lang w:val="en-US" w:eastAsia="zh-CN"/>
        </w:rPr>
        <w:t>、TSP，</w:t>
      </w:r>
      <w:r>
        <w:rPr>
          <w:rFonts w:hint="default" w:ascii="Times New Roman" w:hAnsi="Times New Roman" w:cs="Times New Roman"/>
          <w:color w:val="auto"/>
          <w:lang w:val="en-US"/>
        </w:rPr>
        <w:t>监测时间为</w:t>
      </w:r>
      <w:r>
        <w:rPr>
          <w:rFonts w:hint="default" w:ascii="Times New Roman" w:hAnsi="Times New Roman" w:cs="Times New Roman"/>
          <w:color w:val="auto"/>
          <w:lang w:val="en-US" w:eastAsia="zh-CN"/>
        </w:rPr>
        <w:t>2025</w:t>
      </w:r>
      <w:r>
        <w:rPr>
          <w:rFonts w:hint="default" w:ascii="Times New Roman" w:hAnsi="Times New Roman" w:cs="Times New Roman"/>
          <w:color w:val="auto"/>
          <w:lang w:val="en-US"/>
        </w:rPr>
        <w:t>年</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月</w:t>
      </w:r>
      <w:r>
        <w:rPr>
          <w:rFonts w:hint="default" w:ascii="Times New Roman" w:hAnsi="Times New Roman" w:cs="Times New Roman"/>
          <w:color w:val="auto"/>
          <w:lang w:val="en-US" w:eastAsia="zh-CN"/>
        </w:rPr>
        <w:t>18</w:t>
      </w:r>
      <w:r>
        <w:rPr>
          <w:rFonts w:hint="default" w:ascii="Times New Roman" w:hAnsi="Times New Roman" w:cs="Times New Roman"/>
          <w:color w:val="auto"/>
          <w:lang w:val="en-US"/>
        </w:rPr>
        <w:t>日至</w:t>
      </w:r>
      <w:r>
        <w:rPr>
          <w:rFonts w:hint="default" w:ascii="Times New Roman" w:hAnsi="Times New Roman" w:cs="Times New Roman"/>
          <w:color w:val="auto"/>
          <w:lang w:val="en-US" w:eastAsia="zh-CN"/>
        </w:rPr>
        <w:t>2025</w:t>
      </w:r>
      <w:r>
        <w:rPr>
          <w:rFonts w:hint="default" w:ascii="Times New Roman" w:hAnsi="Times New Roman" w:cs="Times New Roman"/>
          <w:color w:val="auto"/>
          <w:lang w:val="en-US"/>
        </w:rPr>
        <w:t>年</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月</w:t>
      </w:r>
      <w:r>
        <w:rPr>
          <w:rFonts w:hint="default" w:ascii="Times New Roman" w:hAnsi="Times New Roman" w:cs="Times New Roman"/>
          <w:color w:val="auto"/>
          <w:lang w:val="en-US" w:eastAsia="zh-CN"/>
        </w:rPr>
        <w:t>24</w:t>
      </w:r>
      <w:r>
        <w:rPr>
          <w:rFonts w:hint="default" w:ascii="Times New Roman" w:hAnsi="Times New Roman" w:cs="Times New Roman"/>
          <w:color w:val="auto"/>
          <w:lang w:val="en-US"/>
        </w:rPr>
        <w:t>日</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连续监测7天</w:t>
      </w:r>
      <w:r>
        <w:rPr>
          <w:rFonts w:hint="default" w:ascii="Times New Roman" w:hAnsi="Times New Roman" w:cs="Times New Roman"/>
          <w:color w:val="auto"/>
          <w:lang w:val="en-US" w:eastAsia="zh-CN"/>
        </w:rPr>
        <w:t>。</w:t>
      </w:r>
    </w:p>
    <w:p w14:paraId="07CD17C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监测频率：监测频率按照《环境空气质量标准》（GB3095-2012）中有关规定执行：NH</w:t>
      </w:r>
      <w:r>
        <w:rPr>
          <w:rFonts w:hint="default" w:ascii="Times New Roman" w:hAnsi="Times New Roman" w:cs="Times New Roman"/>
          <w:color w:val="auto"/>
          <w:vertAlign w:val="subscript"/>
          <w:lang w:val="en-US"/>
        </w:rPr>
        <w:t>3</w:t>
      </w:r>
      <w:r>
        <w:rPr>
          <w:rFonts w:hint="default" w:ascii="Times New Roman" w:hAnsi="Times New Roman" w:cs="Times New Roman"/>
          <w:color w:val="auto"/>
          <w:lang w:val="en-US"/>
        </w:rPr>
        <w:t>、H</w:t>
      </w:r>
      <w:r>
        <w:rPr>
          <w:rFonts w:hint="default" w:ascii="Times New Roman" w:hAnsi="Times New Roman" w:cs="Times New Roman"/>
          <w:color w:val="auto"/>
          <w:vertAlign w:val="subscript"/>
          <w:lang w:val="en-US"/>
        </w:rPr>
        <w:t>2</w:t>
      </w:r>
      <w:r>
        <w:rPr>
          <w:rFonts w:hint="default" w:ascii="Times New Roman" w:hAnsi="Times New Roman" w:cs="Times New Roman"/>
          <w:color w:val="auto"/>
          <w:lang w:val="en-US"/>
        </w:rPr>
        <w:t>S每天监测四次，每次监测1个小时</w:t>
      </w:r>
      <w:r>
        <w:rPr>
          <w:rFonts w:hint="default" w:ascii="Times New Roman" w:hAnsi="Times New Roman" w:cs="Times New Roman"/>
          <w:color w:val="auto"/>
          <w:lang w:val="en-US" w:eastAsia="zh-CN"/>
        </w:rPr>
        <w:t>，TSP每天连续24小时监测</w:t>
      </w:r>
      <w:r>
        <w:rPr>
          <w:rFonts w:hint="default" w:ascii="Times New Roman" w:hAnsi="Times New Roman" w:cs="Times New Roman"/>
          <w:color w:val="auto"/>
          <w:lang w:val="en-US"/>
        </w:rPr>
        <w:t>。</w:t>
      </w:r>
    </w:p>
    <w:p w14:paraId="6DB156B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rPr>
        <w:t>分析方法采用《环境空气质量标准》（GB3095-2012）中规定的方法</w:t>
      </w:r>
      <w:r>
        <w:rPr>
          <w:rFonts w:hint="default" w:ascii="Times New Roman" w:hAnsi="Times New Roman" w:cs="Times New Roman"/>
          <w:color w:val="auto"/>
          <w:lang w:val="en-US" w:eastAsia="zh-CN"/>
        </w:rPr>
        <w:t>。</w:t>
      </w:r>
    </w:p>
    <w:p w14:paraId="2DF8DBFB">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（3）评价标准</w:t>
      </w:r>
    </w:p>
    <w:p w14:paraId="53E25AA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rPr>
        <w:t>NH</w:t>
      </w:r>
      <w:r>
        <w:rPr>
          <w:rFonts w:hint="default" w:ascii="Times New Roman" w:hAnsi="Times New Roman" w:cs="Times New Roman"/>
          <w:color w:val="auto"/>
          <w:vertAlign w:val="subscript"/>
          <w:lang w:val="en-US"/>
        </w:rPr>
        <w:t>3</w:t>
      </w:r>
      <w:r>
        <w:rPr>
          <w:rFonts w:hint="default" w:ascii="Times New Roman" w:hAnsi="Times New Roman" w:cs="Times New Roman"/>
          <w:color w:val="auto"/>
          <w:lang w:val="en-US"/>
        </w:rPr>
        <w:t>、H</w:t>
      </w:r>
      <w:r>
        <w:rPr>
          <w:rFonts w:hint="default" w:ascii="Times New Roman" w:hAnsi="Times New Roman" w:cs="Times New Roman"/>
          <w:color w:val="auto"/>
          <w:vertAlign w:val="subscript"/>
          <w:lang w:val="en-US"/>
        </w:rPr>
        <w:t>2</w:t>
      </w:r>
      <w:r>
        <w:rPr>
          <w:rFonts w:hint="default" w:ascii="Times New Roman" w:hAnsi="Times New Roman" w:cs="Times New Roman"/>
          <w:color w:val="auto"/>
          <w:lang w:val="en-US"/>
        </w:rPr>
        <w:t>S执行《环境影响评价技术导则大气环境》（HJ2.2-2018）附录D的参考浓度限值标准</w:t>
      </w:r>
      <w:r>
        <w:rPr>
          <w:rFonts w:hint="default" w:ascii="Times New Roman" w:hAnsi="Times New Roman" w:cs="Times New Roman"/>
          <w:color w:val="auto"/>
          <w:lang w:val="en-US" w:eastAsia="zh-CN"/>
        </w:rPr>
        <w:t>、TSP执行《环境空气质量标准》（GB3095-2012）二级标准</w:t>
      </w:r>
      <w:r>
        <w:rPr>
          <w:rFonts w:hint="default" w:ascii="Times New Roman" w:hAnsi="Times New Roman" w:cs="Times New Roman"/>
          <w:color w:val="auto"/>
          <w:lang w:val="en-US"/>
        </w:rPr>
        <w:t>。详见表4.2-</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p>
    <w:p w14:paraId="5069CC3B">
      <w:pPr>
        <w:pStyle w:val="14"/>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宋体" w:cs="Times New Roman"/>
          <w:b/>
          <w:bCs/>
          <w:color w:val="auto"/>
          <w:sz w:val="21"/>
          <w:szCs w:val="21"/>
          <w:lang w:val="en-US"/>
        </w:rPr>
        <w:t>大气环境质量评价标准</w:t>
      </w:r>
      <w:r>
        <w:rPr>
          <w:rFonts w:hint="default" w:ascii="Times New Roman" w:hAnsi="Times New Roman" w:eastAsia="宋体" w:cs="Times New Roman"/>
          <w:b/>
          <w:bCs/>
          <w:color w:val="auto"/>
          <w:sz w:val="21"/>
          <w:szCs w:val="21"/>
          <w:lang w:val="en-US"/>
        </w:rPr>
        <w:tab/>
      </w:r>
      <w:r>
        <w:rPr>
          <w:rFonts w:hint="default" w:ascii="Times New Roman" w:hAnsi="Times New Roman" w:eastAsia="宋体" w:cs="Times New Roman"/>
          <w:b/>
          <w:bCs/>
          <w:color w:val="auto"/>
          <w:sz w:val="21"/>
          <w:szCs w:val="21"/>
          <w:lang w:val="en-US"/>
        </w:rPr>
        <w:t>单位：mg/m</w:t>
      </w:r>
      <w:r>
        <w:rPr>
          <w:rFonts w:hint="default" w:ascii="Times New Roman" w:hAnsi="Times New Roman" w:eastAsia="宋体" w:cs="Times New Roman"/>
          <w:b/>
          <w:bCs/>
          <w:color w:val="auto"/>
          <w:sz w:val="21"/>
          <w:szCs w:val="21"/>
          <w:vertAlign w:val="superscript"/>
          <w:lang w:val="en-US"/>
        </w:rPr>
        <w:t>3</w:t>
      </w:r>
    </w:p>
    <w:tbl>
      <w:tblPr>
        <w:tblStyle w:val="33"/>
        <w:tblW w:w="50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17"/>
        <w:gridCol w:w="942"/>
        <w:gridCol w:w="1128"/>
        <w:gridCol w:w="961"/>
        <w:gridCol w:w="4845"/>
      </w:tblGrid>
      <w:tr w14:paraId="31C85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08" w:type="pct"/>
            <w:noWrap w:val="0"/>
            <w:vAlign w:val="center"/>
          </w:tcPr>
          <w:p w14:paraId="3452AA4F">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序号</w:t>
            </w:r>
          </w:p>
        </w:tc>
        <w:tc>
          <w:tcPr>
            <w:tcW w:w="561" w:type="pct"/>
            <w:noWrap w:val="0"/>
            <w:vAlign w:val="center"/>
          </w:tcPr>
          <w:p w14:paraId="72227C72">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污染物</w:t>
            </w:r>
          </w:p>
        </w:tc>
        <w:tc>
          <w:tcPr>
            <w:tcW w:w="1244" w:type="pct"/>
            <w:gridSpan w:val="2"/>
            <w:noWrap w:val="0"/>
            <w:vAlign w:val="center"/>
          </w:tcPr>
          <w:p w14:paraId="012E9A4A">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浓度限值（</w:t>
            </w:r>
            <w:r>
              <w:rPr>
                <w:rFonts w:hint="default" w:ascii="Times New Roman" w:hAnsi="Times New Roman" w:eastAsia="Times New Roman" w:cs="Times New Roman"/>
                <w:color w:val="auto"/>
                <w:sz w:val="21"/>
                <w:szCs w:val="21"/>
                <w:highlight w:val="none"/>
              </w:rPr>
              <w:t>mg/m</w:t>
            </w:r>
            <w:r>
              <w:rPr>
                <w:rFonts w:hint="default" w:ascii="Times New Roman" w:hAnsi="Times New Roman" w:eastAsia="等线" w:cs="Times New Roman"/>
                <w:color w:val="auto"/>
                <w:sz w:val="21"/>
                <w:szCs w:val="21"/>
                <w:highlight w:val="none"/>
                <w:vertAlign w:val="superscript"/>
              </w:rPr>
              <w:t>3</w:t>
            </w:r>
            <w:r>
              <w:rPr>
                <w:rFonts w:hint="default" w:ascii="Times New Roman" w:hAnsi="Times New Roman" w:cs="Times New Roman"/>
                <w:color w:val="auto"/>
                <w:sz w:val="21"/>
                <w:highlight w:val="none"/>
              </w:rPr>
              <w:t>）</w:t>
            </w:r>
          </w:p>
        </w:tc>
        <w:tc>
          <w:tcPr>
            <w:tcW w:w="2885" w:type="pct"/>
            <w:noWrap w:val="0"/>
            <w:vAlign w:val="center"/>
          </w:tcPr>
          <w:p w14:paraId="56F73BF9">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标准来源</w:t>
            </w:r>
          </w:p>
        </w:tc>
      </w:tr>
      <w:tr w14:paraId="462DA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308" w:type="pct"/>
            <w:noWrap w:val="0"/>
            <w:vAlign w:val="center"/>
          </w:tcPr>
          <w:p w14:paraId="478094D1">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w:t>
            </w:r>
          </w:p>
        </w:tc>
        <w:tc>
          <w:tcPr>
            <w:tcW w:w="561" w:type="pct"/>
            <w:noWrap w:val="0"/>
            <w:vAlign w:val="center"/>
          </w:tcPr>
          <w:p w14:paraId="3588A171">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position w:val="2"/>
                <w:sz w:val="21"/>
                <w:highlight w:val="none"/>
              </w:rPr>
              <w:t>NH</w:t>
            </w:r>
            <w:r>
              <w:rPr>
                <w:rFonts w:hint="default" w:ascii="Times New Roman" w:hAnsi="Times New Roman" w:cs="Times New Roman"/>
                <w:color w:val="auto"/>
                <w:position w:val="2"/>
                <w:sz w:val="21"/>
                <w:highlight w:val="none"/>
                <w:vertAlign w:val="subscript"/>
              </w:rPr>
              <w:t>3</w:t>
            </w:r>
          </w:p>
        </w:tc>
        <w:tc>
          <w:tcPr>
            <w:tcW w:w="672" w:type="pct"/>
            <w:noWrap w:val="0"/>
            <w:vAlign w:val="center"/>
          </w:tcPr>
          <w:p w14:paraId="2AEBED13">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1h平均值</w:t>
            </w:r>
          </w:p>
        </w:tc>
        <w:tc>
          <w:tcPr>
            <w:tcW w:w="571" w:type="pct"/>
            <w:noWrap w:val="0"/>
            <w:vAlign w:val="center"/>
          </w:tcPr>
          <w:p w14:paraId="5782AFD9">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0.2</w:t>
            </w:r>
          </w:p>
        </w:tc>
        <w:tc>
          <w:tcPr>
            <w:tcW w:w="2885" w:type="pct"/>
            <w:vMerge w:val="restart"/>
            <w:noWrap w:val="0"/>
            <w:vAlign w:val="center"/>
          </w:tcPr>
          <w:p w14:paraId="48AC247E">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《环境影响评价技术导则大气环境》（HJ2.2-2018）附录D</w:t>
            </w:r>
          </w:p>
        </w:tc>
      </w:tr>
      <w:tr w14:paraId="060A9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308" w:type="pct"/>
            <w:noWrap w:val="0"/>
            <w:vAlign w:val="center"/>
          </w:tcPr>
          <w:p w14:paraId="2CF02B8A">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w:t>
            </w:r>
          </w:p>
        </w:tc>
        <w:tc>
          <w:tcPr>
            <w:tcW w:w="561" w:type="pct"/>
            <w:noWrap w:val="0"/>
            <w:vAlign w:val="center"/>
          </w:tcPr>
          <w:p w14:paraId="182B5437">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H</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S</w:t>
            </w:r>
          </w:p>
        </w:tc>
        <w:tc>
          <w:tcPr>
            <w:tcW w:w="672" w:type="pct"/>
            <w:noWrap w:val="0"/>
            <w:vAlign w:val="center"/>
          </w:tcPr>
          <w:p w14:paraId="6F677DF5">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1h平均值</w:t>
            </w:r>
          </w:p>
        </w:tc>
        <w:tc>
          <w:tcPr>
            <w:tcW w:w="571" w:type="pct"/>
            <w:tcBorders>
              <w:bottom w:val="single" w:color="auto" w:sz="4" w:space="0"/>
            </w:tcBorders>
            <w:noWrap w:val="0"/>
            <w:vAlign w:val="center"/>
          </w:tcPr>
          <w:p w14:paraId="6ABF5129">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0.01</w:t>
            </w:r>
          </w:p>
        </w:tc>
        <w:tc>
          <w:tcPr>
            <w:tcW w:w="2885" w:type="pct"/>
            <w:vMerge w:val="continue"/>
            <w:tcBorders>
              <w:top w:val="nil"/>
              <w:bottom w:val="single" w:color="auto" w:sz="4" w:space="0"/>
            </w:tcBorders>
            <w:noWrap w:val="0"/>
            <w:vAlign w:val="center"/>
          </w:tcPr>
          <w:p w14:paraId="060450EB">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cs="Times New Roman"/>
                <w:color w:val="auto"/>
                <w:sz w:val="2"/>
                <w:szCs w:val="2"/>
                <w:highlight w:val="none"/>
              </w:rPr>
            </w:pPr>
          </w:p>
        </w:tc>
      </w:tr>
      <w:tr w14:paraId="15B0B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308" w:type="pct"/>
            <w:noWrap w:val="0"/>
            <w:vAlign w:val="center"/>
          </w:tcPr>
          <w:p w14:paraId="6F53DDA6">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w:t>
            </w:r>
          </w:p>
        </w:tc>
        <w:tc>
          <w:tcPr>
            <w:tcW w:w="561" w:type="pct"/>
            <w:noWrap w:val="0"/>
            <w:vAlign w:val="center"/>
          </w:tcPr>
          <w:p w14:paraId="7C0FE610">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TSP</w:t>
            </w:r>
          </w:p>
        </w:tc>
        <w:tc>
          <w:tcPr>
            <w:tcW w:w="672" w:type="pct"/>
            <w:noWrap w:val="0"/>
            <w:vAlign w:val="center"/>
          </w:tcPr>
          <w:p w14:paraId="684A4566">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24</w:t>
            </w:r>
            <w:r>
              <w:rPr>
                <w:rFonts w:hint="default" w:ascii="Times New Roman" w:hAnsi="Times New Roman" w:cs="Times New Roman"/>
                <w:color w:val="auto"/>
                <w:sz w:val="21"/>
                <w:highlight w:val="none"/>
              </w:rPr>
              <w:t>h平均值</w:t>
            </w:r>
          </w:p>
        </w:tc>
        <w:tc>
          <w:tcPr>
            <w:tcW w:w="571" w:type="pct"/>
            <w:tcBorders>
              <w:top w:val="single" w:color="auto" w:sz="4" w:space="0"/>
            </w:tcBorders>
            <w:noWrap w:val="0"/>
            <w:vAlign w:val="center"/>
          </w:tcPr>
          <w:p w14:paraId="227DEE00">
            <w:pPr>
              <w:pStyle w:val="69"/>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0.3</w:t>
            </w:r>
          </w:p>
        </w:tc>
        <w:tc>
          <w:tcPr>
            <w:tcW w:w="2885" w:type="pct"/>
            <w:tcBorders>
              <w:top w:val="single" w:color="auto" w:sz="4" w:space="0"/>
            </w:tcBorders>
            <w:noWrap w:val="0"/>
            <w:vAlign w:val="center"/>
          </w:tcPr>
          <w:p w14:paraId="06878148">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cs="Times New Roman"/>
                <w:color w:val="auto"/>
                <w:sz w:val="2"/>
                <w:szCs w:val="2"/>
                <w:highlight w:val="none"/>
              </w:rPr>
            </w:pPr>
            <w:r>
              <w:rPr>
                <w:rFonts w:hint="default" w:ascii="Times New Roman" w:hAnsi="Times New Roman" w:eastAsia="宋体" w:cs="Times New Roman"/>
                <w:color w:val="auto"/>
                <w:sz w:val="21"/>
                <w:szCs w:val="22"/>
                <w:highlight w:val="none"/>
                <w:lang w:val="zh-CN" w:eastAsia="zh-CN" w:bidi="zh-CN"/>
              </w:rPr>
              <w:t>《环境空气质量标准》（GB3095-2012）二级标准</w:t>
            </w:r>
          </w:p>
        </w:tc>
      </w:tr>
    </w:tbl>
    <w:p w14:paraId="76965353">
      <w:pPr>
        <w:pStyle w:val="73"/>
        <w:keepNext w:val="0"/>
        <w:keepLines w:val="0"/>
        <w:pageBreakBefore w:val="0"/>
        <w:widowControl w:val="0"/>
        <w:tabs>
          <w:tab w:val="left" w:pos="883"/>
        </w:tabs>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（4）评价方法</w:t>
      </w:r>
    </w:p>
    <w:p w14:paraId="653DADF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根据《环境影响评价技术导则大气环境》（HJ2.2-2018）中其他污染物补充监测数据的现状评价要求，分别对各监测点位不同污染物的短期浓度进行环境质量现状评价，评价方法采用超标率和最大浓度占标率进行评价，计算公式为：</w:t>
      </w:r>
    </w:p>
    <w:p w14:paraId="0707745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超标率=超标数据个数/总监测数据个数×100%</w:t>
      </w:r>
    </w:p>
    <w:p w14:paraId="6C271D6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Pi=Ci/Coi×100%</w:t>
      </w:r>
    </w:p>
    <w:p w14:paraId="45756CF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式中：Pi—第i个污染物的最大浓度占标率（无量纲）；</w:t>
      </w:r>
    </w:p>
    <w:p w14:paraId="391E1EF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Ci—第i个污染物的最大浓度（mg/m³）；</w:t>
      </w:r>
    </w:p>
    <w:p w14:paraId="5EE2355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Coi—第i个污染物的环境空气质量浓度标准（mg/m³）。</w:t>
      </w:r>
    </w:p>
    <w:p w14:paraId="33DE5865">
      <w:pPr>
        <w:pStyle w:val="73"/>
        <w:keepNext w:val="0"/>
        <w:keepLines w:val="0"/>
        <w:pageBreakBefore w:val="0"/>
        <w:widowControl w:val="0"/>
        <w:tabs>
          <w:tab w:val="left" w:pos="883"/>
        </w:tabs>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（5）监测结果与评价结果</w:t>
      </w:r>
    </w:p>
    <w:p w14:paraId="419B60D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项目</w:t>
      </w:r>
      <w:r>
        <w:rPr>
          <w:rFonts w:hint="default" w:ascii="Times New Roman" w:hAnsi="Times New Roman" w:cs="Times New Roman"/>
          <w:color w:val="auto"/>
          <w:lang w:eastAsia="zh-CN"/>
        </w:rPr>
        <w:t>所在地</w:t>
      </w:r>
      <w:r>
        <w:rPr>
          <w:rFonts w:hint="default" w:ascii="Times New Roman" w:hAnsi="Times New Roman" w:cs="Times New Roman"/>
          <w:color w:val="auto"/>
          <w:lang w:val="en-US"/>
        </w:rPr>
        <w:t>NH</w:t>
      </w:r>
      <w:r>
        <w:rPr>
          <w:rFonts w:hint="default" w:ascii="Times New Roman" w:hAnsi="Times New Roman" w:cs="Times New Roman"/>
          <w:color w:val="auto"/>
          <w:vertAlign w:val="subscript"/>
          <w:lang w:val="en-US"/>
        </w:rPr>
        <w:t>3</w:t>
      </w:r>
      <w:r>
        <w:rPr>
          <w:rFonts w:hint="default" w:ascii="Times New Roman" w:hAnsi="Times New Roman" w:cs="Times New Roman"/>
          <w:color w:val="auto"/>
          <w:lang w:val="en-US"/>
        </w:rPr>
        <w:t>、H</w:t>
      </w:r>
      <w:r>
        <w:rPr>
          <w:rFonts w:hint="default" w:ascii="Times New Roman" w:hAnsi="Times New Roman" w:cs="Times New Roman"/>
          <w:color w:val="auto"/>
          <w:vertAlign w:val="subscript"/>
          <w:lang w:val="en-US"/>
        </w:rPr>
        <w:t>2</w:t>
      </w:r>
      <w:r>
        <w:rPr>
          <w:rFonts w:hint="default" w:ascii="Times New Roman" w:hAnsi="Times New Roman" w:cs="Times New Roman"/>
          <w:color w:val="auto"/>
          <w:lang w:val="en-US"/>
        </w:rPr>
        <w:t>S</w:t>
      </w:r>
      <w:r>
        <w:rPr>
          <w:rFonts w:hint="default" w:ascii="Times New Roman" w:hAnsi="Times New Roman" w:cs="Times New Roman"/>
          <w:color w:val="auto"/>
          <w:lang w:val="en-US" w:eastAsia="zh-CN"/>
        </w:rPr>
        <w:t>、TSP</w:t>
      </w:r>
      <w:r>
        <w:rPr>
          <w:rFonts w:hint="default" w:ascii="Times New Roman" w:hAnsi="Times New Roman" w:cs="Times New Roman"/>
          <w:color w:val="auto"/>
        </w:rPr>
        <w:t>现状监测结果统计见表</w:t>
      </w:r>
      <w:r>
        <w:rPr>
          <w:rFonts w:hint="default" w:ascii="Times New Roman" w:hAnsi="Times New Roman" w:cs="Times New Roman"/>
          <w:color w:val="auto"/>
          <w:lang w:val="en-US"/>
        </w:rPr>
        <w:t>4.2-</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14:paraId="394A1001">
      <w:pPr>
        <w:pStyle w:val="14"/>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宋体" w:cs="Times New Roman"/>
          <w:b/>
          <w:bCs/>
          <w:color w:val="auto"/>
          <w:sz w:val="21"/>
          <w:szCs w:val="21"/>
          <w:lang w:val="en-US"/>
        </w:rPr>
        <w:t>其他污染物环境质量现状（监测结果）表</w:t>
      </w:r>
    </w:p>
    <w:tbl>
      <w:tblPr>
        <w:tblStyle w:val="33"/>
        <w:tblW w:w="51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5"/>
        <w:gridCol w:w="1035"/>
        <w:gridCol w:w="989"/>
        <w:gridCol w:w="1232"/>
        <w:gridCol w:w="810"/>
        <w:gridCol w:w="947"/>
        <w:gridCol w:w="1052"/>
        <w:gridCol w:w="858"/>
        <w:gridCol w:w="486"/>
        <w:gridCol w:w="578"/>
      </w:tblGrid>
      <w:tr w14:paraId="0E2D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68" w:type="pct"/>
            <w:vMerge w:val="restart"/>
            <w:noWrap w:val="0"/>
            <w:vAlign w:val="center"/>
          </w:tcPr>
          <w:p w14:paraId="6D8FBAE9">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监测</w:t>
            </w:r>
          </w:p>
          <w:p w14:paraId="1FADAE2F">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点位</w:t>
            </w:r>
          </w:p>
        </w:tc>
        <w:tc>
          <w:tcPr>
            <w:tcW w:w="1173" w:type="pct"/>
            <w:gridSpan w:val="2"/>
            <w:noWrap w:val="0"/>
            <w:vAlign w:val="center"/>
          </w:tcPr>
          <w:p w14:paraId="7C099AAC">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监测点坐标</w:t>
            </w:r>
          </w:p>
        </w:tc>
        <w:tc>
          <w:tcPr>
            <w:tcW w:w="714" w:type="pct"/>
            <w:vMerge w:val="restart"/>
            <w:noWrap w:val="0"/>
            <w:vAlign w:val="center"/>
          </w:tcPr>
          <w:p w14:paraId="10F45B8F">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污染物</w:t>
            </w:r>
          </w:p>
        </w:tc>
        <w:tc>
          <w:tcPr>
            <w:tcW w:w="469" w:type="pct"/>
            <w:vMerge w:val="restart"/>
            <w:noWrap w:val="0"/>
            <w:vAlign w:val="center"/>
          </w:tcPr>
          <w:p w14:paraId="1FEAE5C5">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平均时间</w:t>
            </w:r>
          </w:p>
        </w:tc>
        <w:tc>
          <w:tcPr>
            <w:tcW w:w="549" w:type="pct"/>
            <w:vMerge w:val="restart"/>
            <w:noWrap w:val="0"/>
            <w:vAlign w:val="center"/>
          </w:tcPr>
          <w:p w14:paraId="1DDAEB93">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评价</w:t>
            </w:r>
          </w:p>
          <w:p w14:paraId="253AA860">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标准mg/m</w:t>
            </w:r>
            <w:r>
              <w:rPr>
                <w:rFonts w:hint="default" w:ascii="Times New Roman" w:hAnsi="Times New Roman" w:cs="Times New Roman"/>
                <w:color w:val="auto"/>
                <w:sz w:val="21"/>
                <w:highlight w:val="none"/>
                <w:vertAlign w:val="superscript"/>
              </w:rPr>
              <w:t>3</w:t>
            </w:r>
          </w:p>
        </w:tc>
        <w:tc>
          <w:tcPr>
            <w:tcW w:w="610" w:type="pct"/>
            <w:vMerge w:val="restart"/>
            <w:noWrap w:val="0"/>
            <w:vAlign w:val="center"/>
          </w:tcPr>
          <w:p w14:paraId="155B28A5">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监测浓度范围mg/m</w:t>
            </w:r>
            <w:r>
              <w:rPr>
                <w:rFonts w:hint="default" w:ascii="Times New Roman" w:hAnsi="Times New Roman" w:cs="Times New Roman"/>
                <w:color w:val="auto"/>
                <w:sz w:val="21"/>
                <w:highlight w:val="none"/>
                <w:vertAlign w:val="superscript"/>
              </w:rPr>
              <w:t>3</w:t>
            </w:r>
          </w:p>
        </w:tc>
        <w:tc>
          <w:tcPr>
            <w:tcW w:w="497" w:type="pct"/>
            <w:vMerge w:val="restart"/>
            <w:noWrap w:val="0"/>
            <w:vAlign w:val="center"/>
          </w:tcPr>
          <w:p w14:paraId="06E0D738">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最大浓度占标率%</w:t>
            </w:r>
          </w:p>
        </w:tc>
        <w:tc>
          <w:tcPr>
            <w:tcW w:w="281" w:type="pct"/>
            <w:vMerge w:val="restart"/>
            <w:noWrap w:val="0"/>
            <w:vAlign w:val="center"/>
          </w:tcPr>
          <w:p w14:paraId="3C6426C9">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超标率%</w:t>
            </w:r>
          </w:p>
        </w:tc>
        <w:tc>
          <w:tcPr>
            <w:tcW w:w="334" w:type="pct"/>
            <w:vMerge w:val="restart"/>
            <w:noWrap w:val="0"/>
            <w:vAlign w:val="center"/>
          </w:tcPr>
          <w:p w14:paraId="588499AD">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达标</w:t>
            </w:r>
          </w:p>
          <w:p w14:paraId="155649E0">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情况</w:t>
            </w:r>
          </w:p>
        </w:tc>
      </w:tr>
      <w:tr w14:paraId="67A8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8" w:type="pct"/>
            <w:vMerge w:val="continue"/>
            <w:noWrap w:val="0"/>
            <w:vAlign w:val="center"/>
          </w:tcPr>
          <w:p w14:paraId="0E164524">
            <w:pPr>
              <w:pStyle w:val="69"/>
              <w:ind w:left="0" w:leftChars="0" w:right="-10" w:rightChars="0" w:firstLine="0" w:firstLineChars="0"/>
              <w:rPr>
                <w:rFonts w:hint="default" w:ascii="Times New Roman" w:hAnsi="Times New Roman" w:cs="Times New Roman"/>
                <w:color w:val="auto"/>
                <w:sz w:val="21"/>
                <w:highlight w:val="none"/>
              </w:rPr>
            </w:pPr>
          </w:p>
        </w:tc>
        <w:tc>
          <w:tcPr>
            <w:tcW w:w="600" w:type="pct"/>
            <w:noWrap w:val="0"/>
            <w:vAlign w:val="center"/>
          </w:tcPr>
          <w:p w14:paraId="0CE2B3A1">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经度</w:t>
            </w:r>
          </w:p>
        </w:tc>
        <w:tc>
          <w:tcPr>
            <w:tcW w:w="573" w:type="pct"/>
            <w:noWrap w:val="0"/>
            <w:vAlign w:val="center"/>
          </w:tcPr>
          <w:p w14:paraId="403BE9BF">
            <w:pPr>
              <w:pStyle w:val="69"/>
              <w:ind w:left="0" w:leftChars="0" w:right="-10" w:righ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en-US" w:eastAsia="zh-CN"/>
              </w:rPr>
              <w:t>纬度</w:t>
            </w:r>
          </w:p>
        </w:tc>
        <w:tc>
          <w:tcPr>
            <w:tcW w:w="714" w:type="pct"/>
            <w:vMerge w:val="continue"/>
            <w:noWrap w:val="0"/>
            <w:vAlign w:val="center"/>
          </w:tcPr>
          <w:p w14:paraId="6A61E4E1">
            <w:pPr>
              <w:pStyle w:val="69"/>
              <w:ind w:left="0" w:leftChars="0" w:right="-10" w:rightChars="0" w:firstLine="0" w:firstLineChars="0"/>
              <w:rPr>
                <w:rFonts w:hint="default" w:ascii="Times New Roman" w:hAnsi="Times New Roman" w:cs="Times New Roman"/>
                <w:color w:val="auto"/>
                <w:sz w:val="21"/>
                <w:highlight w:val="none"/>
              </w:rPr>
            </w:pPr>
          </w:p>
        </w:tc>
        <w:tc>
          <w:tcPr>
            <w:tcW w:w="469" w:type="pct"/>
            <w:vMerge w:val="continue"/>
            <w:noWrap w:val="0"/>
            <w:vAlign w:val="center"/>
          </w:tcPr>
          <w:p w14:paraId="2D0184AD">
            <w:pPr>
              <w:pStyle w:val="69"/>
              <w:ind w:left="0" w:leftChars="0" w:right="-10" w:rightChars="0" w:firstLine="0" w:firstLineChars="0"/>
              <w:rPr>
                <w:rFonts w:hint="default" w:ascii="Times New Roman" w:hAnsi="Times New Roman" w:cs="Times New Roman"/>
                <w:color w:val="auto"/>
                <w:sz w:val="21"/>
                <w:highlight w:val="none"/>
              </w:rPr>
            </w:pPr>
          </w:p>
        </w:tc>
        <w:tc>
          <w:tcPr>
            <w:tcW w:w="549" w:type="pct"/>
            <w:vMerge w:val="continue"/>
            <w:noWrap w:val="0"/>
            <w:vAlign w:val="center"/>
          </w:tcPr>
          <w:p w14:paraId="330A6DC0">
            <w:pPr>
              <w:pStyle w:val="69"/>
              <w:ind w:left="0" w:leftChars="0" w:right="-10" w:rightChars="0" w:firstLine="0" w:firstLineChars="0"/>
              <w:rPr>
                <w:rFonts w:hint="default" w:ascii="Times New Roman" w:hAnsi="Times New Roman" w:cs="Times New Roman"/>
                <w:color w:val="auto"/>
                <w:sz w:val="21"/>
                <w:highlight w:val="none"/>
              </w:rPr>
            </w:pPr>
          </w:p>
        </w:tc>
        <w:tc>
          <w:tcPr>
            <w:tcW w:w="610" w:type="pct"/>
            <w:vMerge w:val="continue"/>
            <w:noWrap w:val="0"/>
            <w:vAlign w:val="center"/>
          </w:tcPr>
          <w:p w14:paraId="5E53839A">
            <w:pPr>
              <w:pStyle w:val="69"/>
              <w:ind w:left="0" w:leftChars="0" w:right="-10" w:rightChars="0" w:firstLine="0" w:firstLineChars="0"/>
              <w:rPr>
                <w:rFonts w:hint="default" w:ascii="Times New Roman" w:hAnsi="Times New Roman" w:cs="Times New Roman"/>
                <w:color w:val="auto"/>
                <w:sz w:val="21"/>
                <w:highlight w:val="none"/>
              </w:rPr>
            </w:pPr>
          </w:p>
        </w:tc>
        <w:tc>
          <w:tcPr>
            <w:tcW w:w="497" w:type="pct"/>
            <w:vMerge w:val="continue"/>
            <w:noWrap w:val="0"/>
            <w:vAlign w:val="center"/>
          </w:tcPr>
          <w:p w14:paraId="74F28AAE">
            <w:pPr>
              <w:pStyle w:val="69"/>
              <w:ind w:left="0" w:leftChars="0" w:right="-10" w:rightChars="0" w:firstLine="0" w:firstLineChars="0"/>
              <w:rPr>
                <w:rFonts w:hint="default" w:ascii="Times New Roman" w:hAnsi="Times New Roman" w:cs="Times New Roman"/>
                <w:color w:val="auto"/>
                <w:sz w:val="21"/>
                <w:highlight w:val="none"/>
              </w:rPr>
            </w:pPr>
          </w:p>
        </w:tc>
        <w:tc>
          <w:tcPr>
            <w:tcW w:w="281" w:type="pct"/>
            <w:vMerge w:val="continue"/>
            <w:noWrap w:val="0"/>
            <w:vAlign w:val="center"/>
          </w:tcPr>
          <w:p w14:paraId="29934FF7">
            <w:pPr>
              <w:pStyle w:val="69"/>
              <w:ind w:left="0" w:leftChars="0" w:right="-10" w:rightChars="0" w:firstLine="0" w:firstLineChars="0"/>
              <w:rPr>
                <w:rFonts w:hint="default" w:ascii="Times New Roman" w:hAnsi="Times New Roman" w:cs="Times New Roman"/>
                <w:color w:val="auto"/>
                <w:sz w:val="21"/>
                <w:highlight w:val="none"/>
              </w:rPr>
            </w:pPr>
          </w:p>
        </w:tc>
        <w:tc>
          <w:tcPr>
            <w:tcW w:w="334" w:type="pct"/>
            <w:vMerge w:val="continue"/>
            <w:noWrap w:val="0"/>
            <w:vAlign w:val="center"/>
          </w:tcPr>
          <w:p w14:paraId="1BD11336">
            <w:pPr>
              <w:pStyle w:val="69"/>
              <w:ind w:left="0" w:leftChars="0" w:right="-10" w:rightChars="0" w:firstLine="0" w:firstLineChars="0"/>
              <w:rPr>
                <w:rFonts w:hint="default" w:ascii="Times New Roman" w:hAnsi="Times New Roman" w:cs="Times New Roman"/>
                <w:color w:val="auto"/>
                <w:sz w:val="21"/>
                <w:highlight w:val="none"/>
              </w:rPr>
            </w:pPr>
          </w:p>
        </w:tc>
      </w:tr>
      <w:tr w14:paraId="731C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8" w:type="pct"/>
            <w:vMerge w:val="restart"/>
            <w:noWrap w:val="0"/>
            <w:vAlign w:val="center"/>
          </w:tcPr>
          <w:p w14:paraId="280B6C4E">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项目区内1#</w:t>
            </w:r>
          </w:p>
        </w:tc>
        <w:tc>
          <w:tcPr>
            <w:tcW w:w="600" w:type="pct"/>
            <w:vMerge w:val="restart"/>
            <w:noWrap w:val="0"/>
            <w:vAlign w:val="center"/>
          </w:tcPr>
          <w:p w14:paraId="4BB77B25">
            <w:pPr>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pacing w:val="-6"/>
                <w:sz w:val="21"/>
                <w:szCs w:val="21"/>
                <w:highlight w:val="none"/>
                <w:lang w:val="en-US" w:eastAsia="zh-CN"/>
              </w:rPr>
              <w:t>87°40′19.53″</w:t>
            </w:r>
          </w:p>
        </w:tc>
        <w:tc>
          <w:tcPr>
            <w:tcW w:w="573" w:type="pct"/>
            <w:vMerge w:val="restart"/>
            <w:noWrap w:val="0"/>
            <w:vAlign w:val="center"/>
          </w:tcPr>
          <w:p w14:paraId="7BF09023">
            <w:pPr>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pacing w:val="-6"/>
                <w:sz w:val="21"/>
                <w:szCs w:val="21"/>
                <w:highlight w:val="none"/>
                <w:lang w:val="en-US" w:eastAsia="zh-CN"/>
              </w:rPr>
              <w:t>47°19′58.06″</w:t>
            </w:r>
          </w:p>
        </w:tc>
        <w:tc>
          <w:tcPr>
            <w:tcW w:w="714" w:type="pct"/>
            <w:noWrap w:val="0"/>
            <w:vAlign w:val="center"/>
          </w:tcPr>
          <w:p w14:paraId="01B31D4D">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NH</w:t>
            </w:r>
            <w:r>
              <w:rPr>
                <w:rFonts w:hint="default" w:ascii="Times New Roman" w:hAnsi="Times New Roman" w:cs="Times New Roman"/>
                <w:color w:val="auto"/>
                <w:sz w:val="21"/>
                <w:highlight w:val="none"/>
                <w:vertAlign w:val="subscript"/>
              </w:rPr>
              <w:t>3</w:t>
            </w:r>
          </w:p>
        </w:tc>
        <w:tc>
          <w:tcPr>
            <w:tcW w:w="469" w:type="pct"/>
            <w:noWrap w:val="0"/>
            <w:vAlign w:val="center"/>
          </w:tcPr>
          <w:p w14:paraId="44F9D6CE">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1h平均</w:t>
            </w:r>
          </w:p>
        </w:tc>
        <w:tc>
          <w:tcPr>
            <w:tcW w:w="549" w:type="pct"/>
            <w:noWrap w:val="0"/>
            <w:vAlign w:val="center"/>
          </w:tcPr>
          <w:p w14:paraId="16048F32">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0.2</w:t>
            </w:r>
          </w:p>
        </w:tc>
        <w:tc>
          <w:tcPr>
            <w:tcW w:w="610" w:type="pct"/>
            <w:noWrap w:val="0"/>
            <w:vAlign w:val="center"/>
          </w:tcPr>
          <w:p w14:paraId="1C272D6F">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0.086-0.098</w:t>
            </w:r>
          </w:p>
        </w:tc>
        <w:tc>
          <w:tcPr>
            <w:tcW w:w="497" w:type="pct"/>
            <w:noWrap w:val="0"/>
            <w:vAlign w:val="center"/>
          </w:tcPr>
          <w:p w14:paraId="645D8BCC">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49</w:t>
            </w:r>
          </w:p>
        </w:tc>
        <w:tc>
          <w:tcPr>
            <w:tcW w:w="281" w:type="pct"/>
            <w:noWrap w:val="0"/>
            <w:vAlign w:val="center"/>
          </w:tcPr>
          <w:p w14:paraId="14477C87">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0</w:t>
            </w:r>
          </w:p>
        </w:tc>
        <w:tc>
          <w:tcPr>
            <w:tcW w:w="334" w:type="pct"/>
            <w:noWrap w:val="0"/>
            <w:vAlign w:val="center"/>
          </w:tcPr>
          <w:p w14:paraId="613EE1D1">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达标</w:t>
            </w:r>
          </w:p>
        </w:tc>
      </w:tr>
      <w:tr w14:paraId="1F37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8" w:type="pct"/>
            <w:vMerge w:val="continue"/>
            <w:noWrap w:val="0"/>
            <w:vAlign w:val="center"/>
          </w:tcPr>
          <w:p w14:paraId="771BBD35">
            <w:pPr>
              <w:pStyle w:val="69"/>
              <w:ind w:left="0" w:leftChars="0" w:right="-10" w:rightChars="0" w:firstLine="0" w:firstLineChars="0"/>
              <w:rPr>
                <w:rFonts w:hint="default" w:ascii="Times New Roman" w:hAnsi="Times New Roman" w:cs="Times New Roman"/>
                <w:color w:val="auto"/>
                <w:sz w:val="21"/>
                <w:highlight w:val="none"/>
              </w:rPr>
            </w:pPr>
          </w:p>
        </w:tc>
        <w:tc>
          <w:tcPr>
            <w:tcW w:w="600" w:type="pct"/>
            <w:vMerge w:val="continue"/>
            <w:noWrap w:val="0"/>
            <w:vAlign w:val="center"/>
          </w:tcPr>
          <w:p w14:paraId="6F0B74EC">
            <w:pPr>
              <w:pStyle w:val="69"/>
              <w:ind w:left="0" w:leftChars="0" w:right="-10" w:rightChars="0" w:firstLine="0" w:firstLineChars="0"/>
              <w:rPr>
                <w:rFonts w:hint="default" w:ascii="Times New Roman" w:hAnsi="Times New Roman" w:cs="Times New Roman"/>
                <w:color w:val="auto"/>
                <w:sz w:val="21"/>
                <w:highlight w:val="none"/>
              </w:rPr>
            </w:pPr>
          </w:p>
        </w:tc>
        <w:tc>
          <w:tcPr>
            <w:tcW w:w="573" w:type="pct"/>
            <w:vMerge w:val="continue"/>
            <w:noWrap w:val="0"/>
            <w:vAlign w:val="center"/>
          </w:tcPr>
          <w:p w14:paraId="0FCFAC65">
            <w:pPr>
              <w:pStyle w:val="69"/>
              <w:ind w:left="0" w:leftChars="0" w:right="-10" w:rightChars="0" w:firstLine="0" w:firstLineChars="0"/>
              <w:rPr>
                <w:rFonts w:hint="default" w:ascii="Times New Roman" w:hAnsi="Times New Roman" w:cs="Times New Roman"/>
                <w:color w:val="auto"/>
                <w:sz w:val="21"/>
                <w:highlight w:val="none"/>
              </w:rPr>
            </w:pPr>
          </w:p>
        </w:tc>
        <w:tc>
          <w:tcPr>
            <w:tcW w:w="714" w:type="pct"/>
            <w:noWrap w:val="0"/>
            <w:vAlign w:val="center"/>
          </w:tcPr>
          <w:p w14:paraId="490991DD">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H</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S</w:t>
            </w:r>
          </w:p>
        </w:tc>
        <w:tc>
          <w:tcPr>
            <w:tcW w:w="469" w:type="pct"/>
            <w:noWrap w:val="0"/>
            <w:vAlign w:val="center"/>
          </w:tcPr>
          <w:p w14:paraId="5E81F3F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1h平均</w:t>
            </w:r>
          </w:p>
        </w:tc>
        <w:tc>
          <w:tcPr>
            <w:tcW w:w="549" w:type="pct"/>
            <w:noWrap w:val="0"/>
            <w:vAlign w:val="center"/>
          </w:tcPr>
          <w:p w14:paraId="5343F60D">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0.01</w:t>
            </w:r>
          </w:p>
        </w:tc>
        <w:tc>
          <w:tcPr>
            <w:tcW w:w="610" w:type="pct"/>
            <w:noWrap w:val="0"/>
            <w:vAlign w:val="center"/>
          </w:tcPr>
          <w:p w14:paraId="7814235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0.005</w:t>
            </w:r>
          </w:p>
        </w:tc>
        <w:tc>
          <w:tcPr>
            <w:tcW w:w="497" w:type="pct"/>
            <w:noWrap w:val="0"/>
            <w:vAlign w:val="center"/>
          </w:tcPr>
          <w:p w14:paraId="235E2F3D">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50</w:t>
            </w:r>
          </w:p>
        </w:tc>
        <w:tc>
          <w:tcPr>
            <w:tcW w:w="281" w:type="pct"/>
            <w:noWrap w:val="0"/>
            <w:vAlign w:val="center"/>
          </w:tcPr>
          <w:p w14:paraId="06E8496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0</w:t>
            </w:r>
          </w:p>
        </w:tc>
        <w:tc>
          <w:tcPr>
            <w:tcW w:w="334" w:type="pct"/>
            <w:noWrap w:val="0"/>
            <w:vAlign w:val="center"/>
          </w:tcPr>
          <w:p w14:paraId="3788AF91">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达标</w:t>
            </w:r>
          </w:p>
        </w:tc>
      </w:tr>
      <w:tr w14:paraId="2EE4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8" w:type="pct"/>
            <w:vMerge w:val="continue"/>
            <w:noWrap w:val="0"/>
            <w:vAlign w:val="center"/>
          </w:tcPr>
          <w:p w14:paraId="58DB75FD">
            <w:pPr>
              <w:pStyle w:val="69"/>
              <w:ind w:left="0" w:leftChars="0" w:right="-10" w:rightChars="0" w:firstLine="0" w:firstLineChars="0"/>
              <w:rPr>
                <w:rFonts w:hint="default" w:ascii="Times New Roman" w:hAnsi="Times New Roman" w:cs="Times New Roman"/>
                <w:color w:val="auto"/>
                <w:sz w:val="21"/>
                <w:highlight w:val="none"/>
              </w:rPr>
            </w:pPr>
          </w:p>
        </w:tc>
        <w:tc>
          <w:tcPr>
            <w:tcW w:w="600" w:type="pct"/>
            <w:vMerge w:val="continue"/>
            <w:noWrap w:val="0"/>
            <w:vAlign w:val="center"/>
          </w:tcPr>
          <w:p w14:paraId="612713D2">
            <w:pPr>
              <w:pStyle w:val="69"/>
              <w:ind w:left="0" w:leftChars="0" w:right="-10" w:rightChars="0" w:firstLine="0" w:firstLineChars="0"/>
              <w:rPr>
                <w:rFonts w:hint="default" w:ascii="Times New Roman" w:hAnsi="Times New Roman" w:cs="Times New Roman"/>
                <w:color w:val="auto"/>
                <w:sz w:val="21"/>
                <w:highlight w:val="none"/>
              </w:rPr>
            </w:pPr>
          </w:p>
        </w:tc>
        <w:tc>
          <w:tcPr>
            <w:tcW w:w="573" w:type="pct"/>
            <w:vMerge w:val="continue"/>
            <w:noWrap w:val="0"/>
            <w:vAlign w:val="center"/>
          </w:tcPr>
          <w:p w14:paraId="7708FA94">
            <w:pPr>
              <w:pStyle w:val="69"/>
              <w:ind w:left="0" w:leftChars="0" w:right="-10" w:rightChars="0" w:firstLine="0" w:firstLineChars="0"/>
              <w:rPr>
                <w:rFonts w:hint="default" w:ascii="Times New Roman" w:hAnsi="Times New Roman" w:cs="Times New Roman"/>
                <w:color w:val="auto"/>
                <w:sz w:val="21"/>
                <w:highlight w:val="none"/>
              </w:rPr>
            </w:pPr>
          </w:p>
        </w:tc>
        <w:tc>
          <w:tcPr>
            <w:tcW w:w="714" w:type="pct"/>
            <w:noWrap w:val="0"/>
            <w:vAlign w:val="center"/>
          </w:tcPr>
          <w:p w14:paraId="5C589E1A">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TSP</w:t>
            </w:r>
          </w:p>
        </w:tc>
        <w:tc>
          <w:tcPr>
            <w:tcW w:w="469" w:type="pct"/>
            <w:noWrap w:val="0"/>
            <w:vAlign w:val="center"/>
          </w:tcPr>
          <w:p w14:paraId="0745E5C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24h平均</w:t>
            </w:r>
          </w:p>
        </w:tc>
        <w:tc>
          <w:tcPr>
            <w:tcW w:w="549" w:type="pct"/>
            <w:noWrap w:val="0"/>
            <w:vAlign w:val="center"/>
          </w:tcPr>
          <w:p w14:paraId="545BA009">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0.3</w:t>
            </w:r>
          </w:p>
        </w:tc>
        <w:tc>
          <w:tcPr>
            <w:tcW w:w="610" w:type="pct"/>
            <w:noWrap w:val="0"/>
            <w:vAlign w:val="center"/>
          </w:tcPr>
          <w:p w14:paraId="43A6BBCB">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0.145-0.174</w:t>
            </w:r>
          </w:p>
        </w:tc>
        <w:tc>
          <w:tcPr>
            <w:tcW w:w="497" w:type="pct"/>
            <w:noWrap w:val="0"/>
            <w:vAlign w:val="center"/>
          </w:tcPr>
          <w:p w14:paraId="4694A1B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58</w:t>
            </w:r>
          </w:p>
        </w:tc>
        <w:tc>
          <w:tcPr>
            <w:tcW w:w="281" w:type="pct"/>
            <w:noWrap w:val="0"/>
            <w:vAlign w:val="center"/>
          </w:tcPr>
          <w:p w14:paraId="02E701E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w:t>
            </w:r>
          </w:p>
        </w:tc>
        <w:tc>
          <w:tcPr>
            <w:tcW w:w="334" w:type="pct"/>
            <w:noWrap w:val="0"/>
            <w:vAlign w:val="center"/>
          </w:tcPr>
          <w:p w14:paraId="3DA25A74">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达标</w:t>
            </w:r>
          </w:p>
        </w:tc>
      </w:tr>
      <w:tr w14:paraId="0A6E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8" w:type="pct"/>
            <w:vMerge w:val="continue"/>
            <w:noWrap w:val="0"/>
            <w:vAlign w:val="center"/>
          </w:tcPr>
          <w:p w14:paraId="63987C0E">
            <w:pPr>
              <w:pStyle w:val="69"/>
              <w:ind w:left="0" w:leftChars="0" w:right="-10" w:rightChars="0" w:firstLine="0" w:firstLineChars="0"/>
              <w:rPr>
                <w:rFonts w:hint="default" w:ascii="Times New Roman" w:hAnsi="Times New Roman" w:cs="Times New Roman"/>
                <w:color w:val="auto"/>
                <w:sz w:val="21"/>
                <w:highlight w:val="none"/>
              </w:rPr>
            </w:pPr>
          </w:p>
        </w:tc>
        <w:tc>
          <w:tcPr>
            <w:tcW w:w="600" w:type="pct"/>
            <w:vMerge w:val="continue"/>
            <w:noWrap w:val="0"/>
            <w:vAlign w:val="center"/>
          </w:tcPr>
          <w:p w14:paraId="4FA92B5C">
            <w:pPr>
              <w:pStyle w:val="69"/>
              <w:ind w:left="0" w:leftChars="0" w:right="-10" w:rightChars="0" w:firstLine="0" w:firstLineChars="0"/>
              <w:rPr>
                <w:rFonts w:hint="default" w:ascii="Times New Roman" w:hAnsi="Times New Roman" w:cs="Times New Roman"/>
                <w:color w:val="auto"/>
                <w:sz w:val="21"/>
                <w:highlight w:val="none"/>
              </w:rPr>
            </w:pPr>
          </w:p>
        </w:tc>
        <w:tc>
          <w:tcPr>
            <w:tcW w:w="573" w:type="pct"/>
            <w:vMerge w:val="continue"/>
            <w:noWrap w:val="0"/>
            <w:vAlign w:val="center"/>
          </w:tcPr>
          <w:p w14:paraId="3AED7021">
            <w:pPr>
              <w:pStyle w:val="69"/>
              <w:ind w:left="0" w:leftChars="0" w:right="-10" w:rightChars="0" w:firstLine="0" w:firstLineChars="0"/>
              <w:rPr>
                <w:rFonts w:hint="default" w:ascii="Times New Roman" w:hAnsi="Times New Roman" w:cs="Times New Roman"/>
                <w:color w:val="auto"/>
                <w:sz w:val="21"/>
                <w:highlight w:val="none"/>
              </w:rPr>
            </w:pPr>
          </w:p>
        </w:tc>
        <w:tc>
          <w:tcPr>
            <w:tcW w:w="714" w:type="pct"/>
            <w:noWrap w:val="0"/>
            <w:vAlign w:val="center"/>
          </w:tcPr>
          <w:p w14:paraId="2424B81E">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臭气浓度</w:t>
            </w:r>
          </w:p>
        </w:tc>
        <w:tc>
          <w:tcPr>
            <w:tcW w:w="469" w:type="pct"/>
            <w:noWrap w:val="0"/>
            <w:vAlign w:val="center"/>
          </w:tcPr>
          <w:p w14:paraId="196CFABB">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1h平均</w:t>
            </w:r>
          </w:p>
        </w:tc>
        <w:tc>
          <w:tcPr>
            <w:tcW w:w="549" w:type="pct"/>
            <w:noWrap w:val="0"/>
            <w:vAlign w:val="center"/>
          </w:tcPr>
          <w:p w14:paraId="61553141">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610" w:type="pct"/>
            <w:noWrap w:val="0"/>
            <w:vAlign w:val="center"/>
          </w:tcPr>
          <w:p w14:paraId="495232D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16-18</w:t>
            </w:r>
          </w:p>
        </w:tc>
        <w:tc>
          <w:tcPr>
            <w:tcW w:w="497" w:type="pct"/>
            <w:noWrap w:val="0"/>
            <w:vAlign w:val="center"/>
          </w:tcPr>
          <w:p w14:paraId="01F6AD96">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281" w:type="pct"/>
            <w:noWrap w:val="0"/>
            <w:vAlign w:val="center"/>
          </w:tcPr>
          <w:p w14:paraId="5B4AC66E">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334" w:type="pct"/>
            <w:noWrap w:val="0"/>
            <w:vAlign w:val="center"/>
          </w:tcPr>
          <w:p w14:paraId="387EF770">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r>
      <w:tr w14:paraId="70C8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8" w:type="pct"/>
            <w:vMerge w:val="restart"/>
            <w:noWrap w:val="0"/>
            <w:vAlign w:val="center"/>
          </w:tcPr>
          <w:p w14:paraId="31135FBF">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lang w:val="en-US" w:eastAsia="zh-CN"/>
              </w:rPr>
              <w:t>项目区下风向</w:t>
            </w:r>
            <w:r>
              <w:rPr>
                <w:rFonts w:hint="default" w:ascii="Times New Roman" w:hAnsi="Times New Roman" w:eastAsia="宋体" w:cs="Times New Roman"/>
                <w:color w:val="auto"/>
                <w:sz w:val="21"/>
                <w:highlight w:val="none"/>
                <w:lang w:val="en-US" w:eastAsia="zh-CN"/>
              </w:rPr>
              <w:t>2#</w:t>
            </w:r>
          </w:p>
        </w:tc>
        <w:tc>
          <w:tcPr>
            <w:tcW w:w="600" w:type="pct"/>
            <w:vMerge w:val="restart"/>
            <w:noWrap w:val="0"/>
            <w:vAlign w:val="center"/>
          </w:tcPr>
          <w:p w14:paraId="778DE6E9">
            <w:pPr>
              <w:ind w:left="0" w:leftChars="0" w:right="-10" w:rightChars="0" w:firstLine="0" w:firstLineChars="0"/>
              <w:jc w:val="center"/>
              <w:rPr>
                <w:rFonts w:hint="default" w:ascii="Times New Roman" w:hAnsi="Times New Roman" w:cs="Times New Roman"/>
                <w:color w:val="auto"/>
                <w:sz w:val="21"/>
                <w:szCs w:val="22"/>
                <w:highlight w:val="none"/>
                <w:lang w:val="zh-CN" w:eastAsia="zh-CN" w:bidi="zh-CN"/>
              </w:rPr>
            </w:pPr>
            <w:r>
              <w:rPr>
                <w:rFonts w:hint="default" w:ascii="Times New Roman" w:hAnsi="Times New Roman" w:cs="Times New Roman"/>
                <w:color w:val="auto"/>
                <w:sz w:val="21"/>
                <w:szCs w:val="21"/>
                <w:vertAlign w:val="baseline"/>
                <w:lang w:val="en-US" w:eastAsia="zh-CN"/>
              </w:rPr>
              <w:t>87°40′22.067″</w:t>
            </w:r>
          </w:p>
        </w:tc>
        <w:tc>
          <w:tcPr>
            <w:tcW w:w="573" w:type="pct"/>
            <w:vMerge w:val="restart"/>
            <w:noWrap w:val="0"/>
            <w:vAlign w:val="center"/>
          </w:tcPr>
          <w:p w14:paraId="5B64294E">
            <w:pPr>
              <w:ind w:left="0" w:leftChars="0" w:right="-10" w:rightChars="0" w:firstLine="0" w:firstLineChars="0"/>
              <w:jc w:val="center"/>
              <w:rPr>
                <w:rFonts w:hint="default" w:ascii="Times New Roman" w:hAnsi="Times New Roman" w:cs="Times New Roman"/>
                <w:color w:val="auto"/>
                <w:sz w:val="21"/>
                <w:szCs w:val="22"/>
                <w:highlight w:val="none"/>
                <w:lang w:val="zh-CN" w:eastAsia="zh-CN" w:bidi="zh-CN"/>
              </w:rPr>
            </w:pPr>
            <w:r>
              <w:rPr>
                <w:rFonts w:hint="default" w:ascii="Times New Roman" w:hAnsi="Times New Roman" w:cs="Times New Roman"/>
                <w:color w:val="auto"/>
                <w:sz w:val="21"/>
                <w:szCs w:val="21"/>
                <w:vertAlign w:val="baseline"/>
                <w:lang w:val="en-US" w:eastAsia="zh-CN"/>
              </w:rPr>
              <w:t>47°19′55.519″</w:t>
            </w:r>
          </w:p>
        </w:tc>
        <w:tc>
          <w:tcPr>
            <w:tcW w:w="714" w:type="pct"/>
            <w:noWrap w:val="0"/>
            <w:vAlign w:val="center"/>
          </w:tcPr>
          <w:p w14:paraId="6717004B">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NH</w:t>
            </w:r>
            <w:r>
              <w:rPr>
                <w:rFonts w:hint="default" w:ascii="Times New Roman" w:hAnsi="Times New Roman" w:cs="Times New Roman"/>
                <w:color w:val="auto"/>
                <w:sz w:val="21"/>
                <w:highlight w:val="none"/>
                <w:vertAlign w:val="subscript"/>
              </w:rPr>
              <w:t>3</w:t>
            </w:r>
          </w:p>
        </w:tc>
        <w:tc>
          <w:tcPr>
            <w:tcW w:w="469" w:type="pct"/>
            <w:noWrap w:val="0"/>
            <w:vAlign w:val="center"/>
          </w:tcPr>
          <w:p w14:paraId="36423882">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1h平均</w:t>
            </w:r>
          </w:p>
        </w:tc>
        <w:tc>
          <w:tcPr>
            <w:tcW w:w="549" w:type="pct"/>
            <w:noWrap w:val="0"/>
            <w:vAlign w:val="center"/>
          </w:tcPr>
          <w:p w14:paraId="4CC775DF">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0.2</w:t>
            </w:r>
          </w:p>
        </w:tc>
        <w:tc>
          <w:tcPr>
            <w:tcW w:w="610" w:type="pct"/>
            <w:noWrap w:val="0"/>
            <w:vAlign w:val="center"/>
          </w:tcPr>
          <w:p w14:paraId="18405057">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0.052-0.066</w:t>
            </w:r>
          </w:p>
        </w:tc>
        <w:tc>
          <w:tcPr>
            <w:tcW w:w="497" w:type="pct"/>
            <w:noWrap w:val="0"/>
            <w:vAlign w:val="center"/>
          </w:tcPr>
          <w:p w14:paraId="29CF7917">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33</w:t>
            </w:r>
          </w:p>
        </w:tc>
        <w:tc>
          <w:tcPr>
            <w:tcW w:w="281" w:type="pct"/>
            <w:noWrap w:val="0"/>
            <w:vAlign w:val="center"/>
          </w:tcPr>
          <w:p w14:paraId="5D56EE5E">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0</w:t>
            </w:r>
          </w:p>
        </w:tc>
        <w:tc>
          <w:tcPr>
            <w:tcW w:w="334" w:type="pct"/>
            <w:noWrap w:val="0"/>
            <w:vAlign w:val="center"/>
          </w:tcPr>
          <w:p w14:paraId="00DC6890">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达标</w:t>
            </w:r>
          </w:p>
        </w:tc>
      </w:tr>
      <w:tr w14:paraId="40FD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8" w:type="pct"/>
            <w:vMerge w:val="continue"/>
            <w:noWrap w:val="0"/>
            <w:vAlign w:val="center"/>
          </w:tcPr>
          <w:p w14:paraId="18BA870E">
            <w:pPr>
              <w:pStyle w:val="69"/>
              <w:ind w:left="0" w:leftChars="0" w:right="-10" w:rightChars="0" w:firstLine="0" w:firstLineChars="0"/>
              <w:rPr>
                <w:rFonts w:hint="default" w:ascii="Times New Roman" w:hAnsi="Times New Roman" w:cs="Times New Roman"/>
                <w:color w:val="auto"/>
                <w:sz w:val="21"/>
                <w:highlight w:val="none"/>
              </w:rPr>
            </w:pPr>
          </w:p>
        </w:tc>
        <w:tc>
          <w:tcPr>
            <w:tcW w:w="600" w:type="pct"/>
            <w:vMerge w:val="continue"/>
            <w:noWrap w:val="0"/>
            <w:vAlign w:val="center"/>
          </w:tcPr>
          <w:p w14:paraId="0868263C">
            <w:pPr>
              <w:pStyle w:val="69"/>
              <w:ind w:left="0" w:leftChars="0" w:right="-10" w:rightChars="0" w:firstLine="0" w:firstLineChars="0"/>
              <w:rPr>
                <w:rFonts w:hint="default" w:ascii="Times New Roman" w:hAnsi="Times New Roman" w:cs="Times New Roman"/>
                <w:color w:val="auto"/>
                <w:sz w:val="21"/>
                <w:highlight w:val="none"/>
              </w:rPr>
            </w:pPr>
          </w:p>
        </w:tc>
        <w:tc>
          <w:tcPr>
            <w:tcW w:w="573" w:type="pct"/>
            <w:vMerge w:val="continue"/>
            <w:noWrap w:val="0"/>
            <w:vAlign w:val="center"/>
          </w:tcPr>
          <w:p w14:paraId="16F02D54">
            <w:pPr>
              <w:pStyle w:val="69"/>
              <w:ind w:left="0" w:leftChars="0" w:right="-10" w:rightChars="0" w:firstLine="0" w:firstLineChars="0"/>
              <w:rPr>
                <w:rFonts w:hint="default" w:ascii="Times New Roman" w:hAnsi="Times New Roman" w:cs="Times New Roman"/>
                <w:color w:val="auto"/>
                <w:sz w:val="21"/>
                <w:highlight w:val="none"/>
              </w:rPr>
            </w:pPr>
          </w:p>
        </w:tc>
        <w:tc>
          <w:tcPr>
            <w:tcW w:w="714" w:type="pct"/>
            <w:noWrap w:val="0"/>
            <w:vAlign w:val="center"/>
          </w:tcPr>
          <w:p w14:paraId="5360A9AE">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H</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S</w:t>
            </w:r>
          </w:p>
        </w:tc>
        <w:tc>
          <w:tcPr>
            <w:tcW w:w="469" w:type="pct"/>
            <w:noWrap w:val="0"/>
            <w:vAlign w:val="center"/>
          </w:tcPr>
          <w:p w14:paraId="1C328029">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1h平均</w:t>
            </w:r>
          </w:p>
        </w:tc>
        <w:tc>
          <w:tcPr>
            <w:tcW w:w="549" w:type="pct"/>
            <w:noWrap w:val="0"/>
            <w:vAlign w:val="center"/>
          </w:tcPr>
          <w:p w14:paraId="07F5A84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0.01</w:t>
            </w:r>
          </w:p>
        </w:tc>
        <w:tc>
          <w:tcPr>
            <w:tcW w:w="610" w:type="pct"/>
            <w:noWrap w:val="0"/>
            <w:vAlign w:val="center"/>
          </w:tcPr>
          <w:p w14:paraId="58A3D46F">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0.005</w:t>
            </w:r>
          </w:p>
        </w:tc>
        <w:tc>
          <w:tcPr>
            <w:tcW w:w="497" w:type="pct"/>
            <w:noWrap w:val="0"/>
            <w:vAlign w:val="center"/>
          </w:tcPr>
          <w:p w14:paraId="311CDDD5">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50</w:t>
            </w:r>
          </w:p>
        </w:tc>
        <w:tc>
          <w:tcPr>
            <w:tcW w:w="281" w:type="pct"/>
            <w:noWrap w:val="0"/>
            <w:vAlign w:val="center"/>
          </w:tcPr>
          <w:p w14:paraId="3460F0FD">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0</w:t>
            </w:r>
          </w:p>
        </w:tc>
        <w:tc>
          <w:tcPr>
            <w:tcW w:w="334" w:type="pct"/>
            <w:noWrap w:val="0"/>
            <w:vAlign w:val="center"/>
          </w:tcPr>
          <w:p w14:paraId="3E957C1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rPr>
              <w:t>达标</w:t>
            </w:r>
          </w:p>
        </w:tc>
      </w:tr>
      <w:tr w14:paraId="5173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8" w:type="pct"/>
            <w:vMerge w:val="continue"/>
            <w:noWrap w:val="0"/>
            <w:vAlign w:val="center"/>
          </w:tcPr>
          <w:p w14:paraId="2299E0EC">
            <w:pPr>
              <w:pStyle w:val="69"/>
              <w:ind w:left="0" w:leftChars="0" w:right="-10" w:rightChars="0" w:firstLine="0" w:firstLineChars="0"/>
              <w:rPr>
                <w:rFonts w:hint="default" w:ascii="Times New Roman" w:hAnsi="Times New Roman" w:cs="Times New Roman"/>
                <w:color w:val="auto"/>
                <w:sz w:val="21"/>
                <w:highlight w:val="none"/>
              </w:rPr>
            </w:pPr>
          </w:p>
        </w:tc>
        <w:tc>
          <w:tcPr>
            <w:tcW w:w="600" w:type="pct"/>
            <w:vMerge w:val="continue"/>
            <w:noWrap w:val="0"/>
            <w:vAlign w:val="center"/>
          </w:tcPr>
          <w:p w14:paraId="5D2CFE3C">
            <w:pPr>
              <w:pStyle w:val="69"/>
              <w:ind w:left="0" w:leftChars="0" w:right="-10" w:rightChars="0" w:firstLine="0" w:firstLineChars="0"/>
              <w:rPr>
                <w:rFonts w:hint="default" w:ascii="Times New Roman" w:hAnsi="Times New Roman" w:cs="Times New Roman"/>
                <w:color w:val="auto"/>
                <w:sz w:val="21"/>
                <w:highlight w:val="none"/>
              </w:rPr>
            </w:pPr>
          </w:p>
        </w:tc>
        <w:tc>
          <w:tcPr>
            <w:tcW w:w="573" w:type="pct"/>
            <w:vMerge w:val="continue"/>
            <w:noWrap w:val="0"/>
            <w:vAlign w:val="center"/>
          </w:tcPr>
          <w:p w14:paraId="59D262CF">
            <w:pPr>
              <w:pStyle w:val="69"/>
              <w:ind w:left="0" w:leftChars="0" w:right="-10" w:rightChars="0" w:firstLine="0" w:firstLineChars="0"/>
              <w:rPr>
                <w:rFonts w:hint="default" w:ascii="Times New Roman" w:hAnsi="Times New Roman" w:cs="Times New Roman"/>
                <w:color w:val="auto"/>
                <w:sz w:val="21"/>
                <w:highlight w:val="none"/>
              </w:rPr>
            </w:pPr>
          </w:p>
        </w:tc>
        <w:tc>
          <w:tcPr>
            <w:tcW w:w="714" w:type="pct"/>
            <w:noWrap w:val="0"/>
            <w:vAlign w:val="center"/>
          </w:tcPr>
          <w:p w14:paraId="33EC672B">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TSP</w:t>
            </w:r>
          </w:p>
        </w:tc>
        <w:tc>
          <w:tcPr>
            <w:tcW w:w="469" w:type="pct"/>
            <w:noWrap w:val="0"/>
            <w:vAlign w:val="center"/>
          </w:tcPr>
          <w:p w14:paraId="67734C99">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24h平均</w:t>
            </w:r>
          </w:p>
        </w:tc>
        <w:tc>
          <w:tcPr>
            <w:tcW w:w="549" w:type="pct"/>
            <w:noWrap w:val="0"/>
            <w:vAlign w:val="center"/>
          </w:tcPr>
          <w:p w14:paraId="47E607B4">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0.3</w:t>
            </w:r>
          </w:p>
        </w:tc>
        <w:tc>
          <w:tcPr>
            <w:tcW w:w="610" w:type="pct"/>
            <w:noWrap w:val="0"/>
            <w:vAlign w:val="center"/>
          </w:tcPr>
          <w:p w14:paraId="1ED8462C">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0.153-0.178</w:t>
            </w:r>
          </w:p>
        </w:tc>
        <w:tc>
          <w:tcPr>
            <w:tcW w:w="497" w:type="pct"/>
            <w:noWrap w:val="0"/>
            <w:vAlign w:val="center"/>
          </w:tcPr>
          <w:p w14:paraId="2EAC6DD4">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59</w:t>
            </w:r>
          </w:p>
        </w:tc>
        <w:tc>
          <w:tcPr>
            <w:tcW w:w="281" w:type="pct"/>
            <w:noWrap w:val="0"/>
            <w:vAlign w:val="center"/>
          </w:tcPr>
          <w:p w14:paraId="250F0F28">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w:t>
            </w:r>
          </w:p>
        </w:tc>
        <w:tc>
          <w:tcPr>
            <w:tcW w:w="334" w:type="pct"/>
            <w:noWrap w:val="0"/>
            <w:vAlign w:val="center"/>
          </w:tcPr>
          <w:p w14:paraId="5A123DDD">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达标</w:t>
            </w:r>
          </w:p>
        </w:tc>
      </w:tr>
      <w:tr w14:paraId="434E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8" w:type="pct"/>
            <w:vMerge w:val="continue"/>
            <w:noWrap w:val="0"/>
            <w:vAlign w:val="center"/>
          </w:tcPr>
          <w:p w14:paraId="0BBEC877">
            <w:pPr>
              <w:pStyle w:val="69"/>
              <w:ind w:left="0" w:leftChars="0" w:right="-10" w:rightChars="0" w:firstLine="0" w:firstLineChars="0"/>
              <w:rPr>
                <w:rFonts w:hint="default" w:ascii="Times New Roman" w:hAnsi="Times New Roman" w:cs="Times New Roman"/>
                <w:color w:val="auto"/>
                <w:sz w:val="21"/>
                <w:highlight w:val="none"/>
              </w:rPr>
            </w:pPr>
          </w:p>
        </w:tc>
        <w:tc>
          <w:tcPr>
            <w:tcW w:w="600" w:type="pct"/>
            <w:vMerge w:val="continue"/>
            <w:noWrap w:val="0"/>
            <w:vAlign w:val="center"/>
          </w:tcPr>
          <w:p w14:paraId="4CEB9502">
            <w:pPr>
              <w:pStyle w:val="69"/>
              <w:ind w:left="0" w:leftChars="0" w:right="-10" w:rightChars="0" w:firstLine="0" w:firstLineChars="0"/>
              <w:rPr>
                <w:rFonts w:hint="default" w:ascii="Times New Roman" w:hAnsi="Times New Roman" w:cs="Times New Roman"/>
                <w:color w:val="auto"/>
                <w:sz w:val="21"/>
                <w:highlight w:val="none"/>
              </w:rPr>
            </w:pPr>
          </w:p>
        </w:tc>
        <w:tc>
          <w:tcPr>
            <w:tcW w:w="573" w:type="pct"/>
            <w:vMerge w:val="continue"/>
            <w:noWrap w:val="0"/>
            <w:vAlign w:val="center"/>
          </w:tcPr>
          <w:p w14:paraId="3B5E3276">
            <w:pPr>
              <w:pStyle w:val="69"/>
              <w:ind w:left="0" w:leftChars="0" w:right="-10" w:rightChars="0" w:firstLine="0" w:firstLineChars="0"/>
              <w:rPr>
                <w:rFonts w:hint="default" w:ascii="Times New Roman" w:hAnsi="Times New Roman" w:cs="Times New Roman"/>
                <w:color w:val="auto"/>
                <w:sz w:val="21"/>
                <w:highlight w:val="none"/>
              </w:rPr>
            </w:pPr>
          </w:p>
        </w:tc>
        <w:tc>
          <w:tcPr>
            <w:tcW w:w="714" w:type="pct"/>
            <w:noWrap w:val="0"/>
            <w:vAlign w:val="center"/>
          </w:tcPr>
          <w:p w14:paraId="57C52D92">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臭气浓度</w:t>
            </w:r>
          </w:p>
        </w:tc>
        <w:tc>
          <w:tcPr>
            <w:tcW w:w="469" w:type="pct"/>
            <w:noWrap w:val="0"/>
            <w:vAlign w:val="center"/>
          </w:tcPr>
          <w:p w14:paraId="2AA8810E">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1h平均</w:t>
            </w:r>
          </w:p>
        </w:tc>
        <w:tc>
          <w:tcPr>
            <w:tcW w:w="549" w:type="pct"/>
            <w:noWrap w:val="0"/>
            <w:vAlign w:val="center"/>
          </w:tcPr>
          <w:p w14:paraId="3E91A5AD">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610" w:type="pct"/>
            <w:noWrap w:val="0"/>
            <w:vAlign w:val="center"/>
          </w:tcPr>
          <w:p w14:paraId="5BCFD135">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11-13</w:t>
            </w:r>
          </w:p>
        </w:tc>
        <w:tc>
          <w:tcPr>
            <w:tcW w:w="497" w:type="pct"/>
            <w:noWrap w:val="0"/>
            <w:vAlign w:val="center"/>
          </w:tcPr>
          <w:p w14:paraId="37A3F5D1">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281" w:type="pct"/>
            <w:noWrap w:val="0"/>
            <w:vAlign w:val="center"/>
          </w:tcPr>
          <w:p w14:paraId="47421B92">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334" w:type="pct"/>
            <w:noWrap w:val="0"/>
            <w:vAlign w:val="center"/>
          </w:tcPr>
          <w:p w14:paraId="13698C9D">
            <w:pPr>
              <w:pStyle w:val="69"/>
              <w:ind w:left="0" w:leftChars="0" w:right="-10"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r>
    </w:tbl>
    <w:p w14:paraId="348C8310">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rPr>
        <w:t>监测结果显示，</w:t>
      </w:r>
      <w:r>
        <w:rPr>
          <w:rFonts w:hint="default" w:ascii="Times New Roman" w:hAnsi="Times New Roman" w:cs="Times New Roman"/>
          <w:color w:val="auto"/>
          <w:lang w:val="en-US" w:eastAsia="zh-CN"/>
        </w:rPr>
        <w:t>本项目</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default" w:ascii="Times New Roman" w:hAnsi="Times New Roman" w:cs="Times New Roman"/>
          <w:color w:val="auto"/>
          <w:lang w:val="en-US" w:eastAsia="zh-CN"/>
        </w:rPr>
        <w:t>小时</w:t>
      </w:r>
      <w:r>
        <w:rPr>
          <w:rFonts w:hint="default" w:ascii="Times New Roman" w:hAnsi="Times New Roman" w:cs="Times New Roman"/>
          <w:color w:val="auto"/>
        </w:rPr>
        <w:t>浓度</w:t>
      </w:r>
      <w:r>
        <w:rPr>
          <w:rFonts w:hint="default" w:ascii="Times New Roman" w:hAnsi="Times New Roman" w:cs="Times New Roman"/>
          <w:color w:val="auto"/>
          <w:lang w:val="en-US" w:eastAsia="zh-CN"/>
        </w:rPr>
        <w:t>满足</w:t>
      </w:r>
      <w:r>
        <w:rPr>
          <w:rFonts w:hint="default" w:ascii="Times New Roman" w:hAnsi="Times New Roman" w:cs="Times New Roman"/>
          <w:color w:val="auto"/>
        </w:rPr>
        <w:t>《环境影响评价技术导则大气环境》（HJ2.2-2018）附录D的参考浓度限值标准</w:t>
      </w:r>
      <w:r>
        <w:rPr>
          <w:rFonts w:hint="default" w:ascii="Times New Roman" w:hAnsi="Times New Roman" w:cs="Times New Roman"/>
          <w:color w:val="auto"/>
          <w:lang w:eastAsia="zh-CN"/>
        </w:rPr>
        <w:t>；TSP</w:t>
      </w:r>
      <w:r>
        <w:rPr>
          <w:rFonts w:hint="default" w:ascii="Times New Roman" w:hAnsi="Times New Roman" w:cs="Times New Roman"/>
          <w:color w:val="auto"/>
          <w:lang w:val="en-US" w:eastAsia="zh-CN"/>
        </w:rPr>
        <w:t>24小时平均</w:t>
      </w:r>
      <w:r>
        <w:rPr>
          <w:rFonts w:hint="default" w:ascii="Times New Roman" w:hAnsi="Times New Roman" w:cs="Times New Roman"/>
          <w:color w:val="auto"/>
          <w:lang w:eastAsia="zh-CN"/>
        </w:rPr>
        <w:t>浓度满足《环境空气质量标准》（GB3095-2012）二级标准。</w:t>
      </w:r>
    </w:p>
    <w:p w14:paraId="016CC8FF">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地下水环境现状调查与评价</w:t>
      </w:r>
    </w:p>
    <w:p w14:paraId="345BFF62">
      <w:pPr>
        <w:pStyle w:val="16"/>
        <w:bidi w:val="0"/>
        <w:rPr>
          <w:rFonts w:hint="default" w:ascii="Times New Roman" w:hAnsi="Times New Roman" w:cs="Times New Roman"/>
          <w:color w:val="auto"/>
        </w:rPr>
      </w:pPr>
      <w:r>
        <w:rPr>
          <w:rFonts w:hint="default" w:ascii="Times New Roman" w:hAnsi="Times New Roman" w:cs="Times New Roman"/>
          <w:color w:val="auto"/>
        </w:rPr>
        <w:t>本次地</w:t>
      </w:r>
      <w:r>
        <w:rPr>
          <w:rFonts w:hint="default" w:ascii="Times New Roman" w:hAnsi="Times New Roman" w:cs="Times New Roman"/>
          <w:color w:val="auto"/>
          <w:lang w:val="en-US" w:eastAsia="zh-CN"/>
        </w:rPr>
        <w:t>下</w:t>
      </w:r>
      <w:r>
        <w:rPr>
          <w:rFonts w:hint="default" w:ascii="Times New Roman" w:hAnsi="Times New Roman" w:cs="Times New Roman"/>
          <w:color w:val="auto"/>
        </w:rPr>
        <w:t>水环境现状监测</w:t>
      </w:r>
      <w:r>
        <w:rPr>
          <w:rFonts w:hint="default" w:ascii="Times New Roman" w:hAnsi="Times New Roman" w:cs="Times New Roman"/>
          <w:color w:val="auto"/>
          <w:lang w:eastAsia="zh-CN"/>
        </w:rPr>
        <w:t>数据</w:t>
      </w:r>
      <w:r>
        <w:rPr>
          <w:rFonts w:hint="default" w:ascii="Times New Roman" w:hAnsi="Times New Roman" w:cs="Times New Roman"/>
          <w:color w:val="auto"/>
          <w:lang w:val="en-US"/>
        </w:rPr>
        <w:t>委托</w:t>
      </w:r>
      <w:r>
        <w:rPr>
          <w:rFonts w:hint="default" w:ascii="Times New Roman" w:hAnsi="Times New Roman" w:cs="Times New Roman"/>
          <w:color w:val="auto"/>
          <w:lang w:val="en-US" w:eastAsia="zh-CN"/>
        </w:rPr>
        <w:t>新疆锡水金山环境科技有限公司</w:t>
      </w:r>
      <w:r>
        <w:rPr>
          <w:rFonts w:hint="default" w:ascii="Times New Roman" w:hAnsi="Times New Roman" w:cs="Times New Roman"/>
          <w:color w:val="auto"/>
          <w:lang w:eastAsia="zh-CN"/>
        </w:rPr>
        <w:t>于</w:t>
      </w:r>
      <w:r>
        <w:rPr>
          <w:rFonts w:hint="default" w:ascii="Times New Roman" w:hAnsi="Times New Roman" w:cs="Times New Roman"/>
          <w:color w:val="auto"/>
          <w:lang w:val="en-US" w:eastAsia="zh-CN"/>
        </w:rPr>
        <w:t>2025</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w:t>
      </w:r>
      <w:r>
        <w:rPr>
          <w:rFonts w:hint="default" w:ascii="Times New Roman" w:hAnsi="Times New Roman" w:cs="Times New Roman"/>
          <w:color w:val="auto"/>
          <w:lang w:val="en-US" w:eastAsia="zh-CN"/>
        </w:rPr>
        <w:t>21</w:t>
      </w:r>
      <w:r>
        <w:rPr>
          <w:rFonts w:hint="default" w:ascii="Times New Roman" w:hAnsi="Times New Roman" w:cs="Times New Roman"/>
          <w:color w:val="auto"/>
        </w:rPr>
        <w:t>日</w:t>
      </w:r>
      <w:r>
        <w:rPr>
          <w:rFonts w:hint="default" w:ascii="Times New Roman" w:hAnsi="Times New Roman" w:cs="Times New Roman"/>
          <w:color w:val="auto"/>
          <w:lang w:val="en-US" w:eastAsia="zh-CN"/>
        </w:rPr>
        <w:t>对项目区现状</w:t>
      </w:r>
      <w:r>
        <w:rPr>
          <w:rFonts w:hint="default" w:ascii="Times New Roman" w:hAnsi="Times New Roman" w:cs="Times New Roman"/>
          <w:color w:val="auto"/>
          <w:lang w:val="en-US"/>
        </w:rPr>
        <w:t>监测</w:t>
      </w:r>
      <w:r>
        <w:rPr>
          <w:rFonts w:hint="default" w:ascii="Times New Roman" w:hAnsi="Times New Roman" w:cs="Times New Roman"/>
          <w:color w:val="auto"/>
          <w:lang w:eastAsia="zh-CN"/>
        </w:rPr>
        <w:t>，对地下水质量现状进行评价。</w:t>
      </w:r>
      <w:r>
        <w:rPr>
          <w:rFonts w:hint="default" w:ascii="Times New Roman" w:hAnsi="Times New Roman" w:cs="Times New Roman"/>
          <w:color w:val="auto"/>
          <w:lang w:val="en-US"/>
        </w:rPr>
        <w:t>监测点的位置详见附图</w:t>
      </w:r>
      <w:r>
        <w:rPr>
          <w:rFonts w:hint="default" w:ascii="Times New Roman" w:hAnsi="Times New Roman" w:cs="Times New Roman"/>
          <w:color w:val="auto"/>
          <w:lang w:val="en-US" w:eastAsia="zh-CN"/>
        </w:rPr>
        <w:t>4-1项目监测布点图</w:t>
      </w:r>
      <w:r>
        <w:rPr>
          <w:rFonts w:hint="default" w:ascii="Times New Roman" w:hAnsi="Times New Roman" w:cs="Times New Roman"/>
          <w:color w:val="auto"/>
        </w:rPr>
        <w:t>。</w:t>
      </w:r>
    </w:p>
    <w:p w14:paraId="5C9AE521">
      <w:pPr>
        <w:pStyle w:val="73"/>
        <w:tabs>
          <w:tab w:val="left" w:pos="883"/>
        </w:tabs>
        <w:spacing w:line="360" w:lineRule="auto"/>
        <w:ind w:left="0" w:leftChars="0" w:right="-10" w:rightChars="0" w:firstLine="480" w:firstLineChars="200"/>
        <w:jc w:val="both"/>
        <w:rPr>
          <w:rFonts w:hint="default" w:ascii="Times New Roman" w:hAnsi="Times New Roman" w:cs="Times New Roman"/>
          <w:color w:val="FF0000"/>
          <w:sz w:val="24"/>
          <w:szCs w:val="24"/>
          <w:highlight w:val="none"/>
          <w:lang w:val="en-US"/>
        </w:rPr>
      </w:pPr>
      <w:r>
        <w:rPr>
          <w:rFonts w:hint="default" w:ascii="Times New Roman" w:hAnsi="Times New Roman" w:cs="Times New Roman"/>
          <w:color w:val="FF0000"/>
          <w:sz w:val="24"/>
          <w:szCs w:val="24"/>
          <w:highlight w:val="none"/>
          <w:lang w:val="en-US"/>
        </w:rPr>
        <w:t>（1）地下水监测布点</w:t>
      </w:r>
    </w:p>
    <w:p w14:paraId="0ADE003D">
      <w:pPr>
        <w:pStyle w:val="16"/>
        <w:bidi w:val="0"/>
        <w:rPr>
          <w:rFonts w:hint="default" w:ascii="Times New Roman" w:hAnsi="Times New Roman" w:cs="Times New Roman"/>
          <w:color w:val="FF0000"/>
        </w:rPr>
      </w:pPr>
      <w:r>
        <w:rPr>
          <w:rFonts w:hint="default" w:ascii="Times New Roman" w:hAnsi="Times New Roman" w:cs="Times New Roman"/>
          <w:color w:val="FF0000"/>
        </w:rPr>
        <w:t>根据项目所在地的地下水走向</w:t>
      </w: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东南向西北</w:t>
      </w: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以及养殖场位置</w:t>
      </w:r>
      <w:r>
        <w:rPr>
          <w:rFonts w:hint="default" w:ascii="Times New Roman" w:hAnsi="Times New Roman" w:cs="Times New Roman"/>
          <w:color w:val="FF0000"/>
        </w:rPr>
        <w:t>，本次地下水监测设置</w:t>
      </w:r>
      <w:r>
        <w:rPr>
          <w:rFonts w:hint="default" w:ascii="Times New Roman" w:hAnsi="Times New Roman" w:cs="Times New Roman"/>
          <w:color w:val="FF0000"/>
          <w:lang w:val="en-US" w:eastAsia="zh-CN"/>
        </w:rPr>
        <w:t>3</w:t>
      </w:r>
      <w:r>
        <w:rPr>
          <w:rFonts w:hint="default" w:ascii="Times New Roman" w:hAnsi="Times New Roman" w:cs="Times New Roman"/>
          <w:color w:val="FF0000"/>
        </w:rPr>
        <w:t>个监测点位</w:t>
      </w:r>
      <w:r>
        <w:rPr>
          <w:rFonts w:hint="default" w:ascii="Times New Roman" w:hAnsi="Times New Roman" w:cs="Times New Roman"/>
          <w:color w:val="FF0000"/>
          <w:lang w:val="en-US" w:eastAsia="zh-CN"/>
        </w:rPr>
        <w:t>和6个水位监测点</w:t>
      </w:r>
      <w:r>
        <w:rPr>
          <w:rFonts w:hint="default" w:ascii="Times New Roman" w:hAnsi="Times New Roman" w:cs="Times New Roman"/>
          <w:color w:val="FF0000"/>
        </w:rPr>
        <w:t>，具体位置详见表4.2-</w:t>
      </w:r>
      <w:r>
        <w:rPr>
          <w:rFonts w:hint="default" w:ascii="Times New Roman" w:hAnsi="Times New Roman" w:cs="Times New Roman"/>
          <w:color w:val="FF0000"/>
          <w:lang w:val="en-US" w:eastAsia="zh-CN"/>
        </w:rPr>
        <w:t>5</w:t>
      </w:r>
      <w:r>
        <w:rPr>
          <w:rFonts w:hint="default" w:ascii="Times New Roman" w:hAnsi="Times New Roman" w:cs="Times New Roman"/>
          <w:color w:val="FF0000"/>
        </w:rPr>
        <w:t>及附图4</w:t>
      </w:r>
      <w:r>
        <w:rPr>
          <w:rFonts w:hint="default" w:ascii="Times New Roman" w:hAnsi="Times New Roman" w:cs="Times New Roman"/>
          <w:color w:val="FF0000"/>
          <w:lang w:val="en-US" w:eastAsia="zh-CN"/>
        </w:rPr>
        <w:t>-1</w:t>
      </w:r>
      <w:r>
        <w:rPr>
          <w:rFonts w:hint="default" w:ascii="Times New Roman" w:hAnsi="Times New Roman" w:cs="Times New Roman"/>
          <w:color w:val="FF0000"/>
        </w:rPr>
        <w:t>。</w:t>
      </w:r>
    </w:p>
    <w:p w14:paraId="34DA54C4">
      <w:pPr>
        <w:pStyle w:val="14"/>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b/>
          <w:bCs/>
          <w:color w:val="FF0000"/>
          <w:sz w:val="21"/>
          <w:szCs w:val="21"/>
          <w:lang w:val="en-US"/>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4.2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w:t>
      </w:r>
      <w:r>
        <w:rPr>
          <w:rFonts w:hint="default" w:ascii="Times New Roman" w:hAnsi="Times New Roman" w:cs="Times New Roman"/>
          <w:color w:val="FF0000"/>
        </w:rPr>
        <w:fldChar w:fldCharType="end"/>
      </w:r>
      <w:r>
        <w:rPr>
          <w:rFonts w:hint="default" w:ascii="Times New Roman" w:hAnsi="Times New Roman" w:eastAsia="宋体" w:cs="Times New Roman"/>
          <w:b/>
          <w:bCs/>
          <w:color w:val="FF0000"/>
          <w:sz w:val="21"/>
          <w:szCs w:val="21"/>
          <w:lang w:val="en-US"/>
        </w:rPr>
        <w:t>地下水环境质量现状监测布点和地下水</w:t>
      </w:r>
      <w:r>
        <w:rPr>
          <w:rFonts w:hint="default" w:ascii="Times New Roman" w:hAnsi="Times New Roman" w:eastAsia="宋体" w:cs="Times New Roman"/>
          <w:b/>
          <w:bCs/>
          <w:color w:val="FF0000"/>
          <w:sz w:val="21"/>
          <w:szCs w:val="21"/>
          <w:lang w:val="en-US" w:eastAsia="zh-CN"/>
        </w:rPr>
        <w:t>水位</w:t>
      </w:r>
      <w:r>
        <w:rPr>
          <w:rFonts w:hint="default" w:ascii="Times New Roman" w:hAnsi="Times New Roman" w:eastAsia="宋体" w:cs="Times New Roman"/>
          <w:b/>
          <w:bCs/>
          <w:color w:val="FF0000"/>
          <w:sz w:val="21"/>
          <w:szCs w:val="21"/>
          <w:lang w:val="en-US"/>
        </w:rPr>
        <w:t>点位一览表</w:t>
      </w:r>
    </w:p>
    <w:tbl>
      <w:tblPr>
        <w:tblStyle w:val="33"/>
        <w:tblW w:w="504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6"/>
        <w:gridCol w:w="1806"/>
        <w:gridCol w:w="2458"/>
        <w:gridCol w:w="1237"/>
        <w:gridCol w:w="1101"/>
        <w:gridCol w:w="1065"/>
      </w:tblGrid>
      <w:tr w14:paraId="062C1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pct"/>
            <w:tcBorders>
              <w:right w:val="single" w:color="auto" w:sz="4" w:space="0"/>
            </w:tcBorders>
            <w:noWrap w:val="0"/>
            <w:vAlign w:val="center"/>
          </w:tcPr>
          <w:p w14:paraId="7FA12D77">
            <w:pPr>
              <w:ind w:left="0" w:leftChars="0" w:right="-10" w:rightChars="0" w:firstLine="0" w:firstLineChars="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序号</w:t>
            </w:r>
          </w:p>
        </w:tc>
        <w:tc>
          <w:tcPr>
            <w:tcW w:w="1074" w:type="pct"/>
            <w:tcBorders>
              <w:left w:val="single" w:color="auto" w:sz="4" w:space="0"/>
            </w:tcBorders>
            <w:noWrap w:val="0"/>
            <w:vAlign w:val="center"/>
          </w:tcPr>
          <w:p w14:paraId="23926103">
            <w:pPr>
              <w:ind w:left="0" w:leftChars="0" w:right="-10" w:rightChars="0" w:firstLine="0" w:firstLineChars="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监测点位</w:t>
            </w:r>
          </w:p>
        </w:tc>
        <w:tc>
          <w:tcPr>
            <w:tcW w:w="1462" w:type="pct"/>
            <w:tcBorders>
              <w:right w:val="single" w:color="auto" w:sz="4" w:space="0"/>
            </w:tcBorders>
            <w:noWrap w:val="0"/>
            <w:vAlign w:val="center"/>
          </w:tcPr>
          <w:p w14:paraId="54B6BCD1">
            <w:pPr>
              <w:ind w:left="0" w:leftChars="0" w:right="-10" w:rightChars="0" w:firstLine="0" w:firstLineChars="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相对位置</w:t>
            </w:r>
          </w:p>
        </w:tc>
        <w:tc>
          <w:tcPr>
            <w:tcW w:w="736" w:type="pct"/>
            <w:tcBorders>
              <w:left w:val="single" w:color="auto" w:sz="4" w:space="0"/>
            </w:tcBorders>
            <w:noWrap w:val="0"/>
            <w:vAlign w:val="center"/>
          </w:tcPr>
          <w:p w14:paraId="533A4198">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lang w:val="en-US" w:eastAsia="zh-CN"/>
              </w:rPr>
              <w:t>上下游关系</w:t>
            </w:r>
          </w:p>
        </w:tc>
        <w:tc>
          <w:tcPr>
            <w:tcW w:w="655" w:type="pct"/>
            <w:tcBorders>
              <w:left w:val="single" w:color="auto" w:sz="4" w:space="0"/>
            </w:tcBorders>
            <w:noWrap w:val="0"/>
            <w:vAlign w:val="center"/>
          </w:tcPr>
          <w:p w14:paraId="566FCE36">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lang w:val="en-US" w:eastAsia="zh-CN"/>
              </w:rPr>
              <w:t>井深（m）</w:t>
            </w:r>
          </w:p>
        </w:tc>
        <w:tc>
          <w:tcPr>
            <w:tcW w:w="633" w:type="pct"/>
            <w:tcBorders>
              <w:left w:val="single" w:color="auto" w:sz="4" w:space="0"/>
            </w:tcBorders>
            <w:noWrap w:val="0"/>
            <w:vAlign w:val="center"/>
          </w:tcPr>
          <w:p w14:paraId="6103759E">
            <w:pPr>
              <w:ind w:left="0" w:leftChars="0" w:right="-10" w:rightChars="0"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水位（m）</w:t>
            </w:r>
          </w:p>
        </w:tc>
      </w:tr>
      <w:tr w14:paraId="00670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pct"/>
            <w:tcBorders>
              <w:right w:val="single" w:color="auto" w:sz="4" w:space="0"/>
            </w:tcBorders>
            <w:noWrap w:val="0"/>
            <w:vAlign w:val="center"/>
          </w:tcPr>
          <w:p w14:paraId="5BDAC621">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rPr>
              <w:t>1</w:t>
            </w:r>
            <w:r>
              <w:rPr>
                <w:rFonts w:hint="default" w:ascii="Times New Roman" w:hAnsi="Times New Roman" w:cs="Times New Roman"/>
                <w:color w:val="FF0000"/>
                <w:sz w:val="21"/>
                <w:szCs w:val="21"/>
                <w:lang w:val="en-US" w:eastAsia="zh-CN"/>
              </w:rPr>
              <w:t>#</w:t>
            </w:r>
          </w:p>
        </w:tc>
        <w:tc>
          <w:tcPr>
            <w:tcW w:w="1074" w:type="pct"/>
            <w:tcBorders>
              <w:left w:val="single" w:color="auto" w:sz="4" w:space="0"/>
            </w:tcBorders>
            <w:noWrap w:val="0"/>
            <w:vAlign w:val="center"/>
          </w:tcPr>
          <w:p w14:paraId="0BC41D3B">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项目区上游（东南侧）</w:t>
            </w:r>
          </w:p>
        </w:tc>
        <w:tc>
          <w:tcPr>
            <w:tcW w:w="1462" w:type="pct"/>
            <w:tcBorders>
              <w:right w:val="single" w:color="auto" w:sz="4" w:space="0"/>
            </w:tcBorders>
            <w:noWrap w:val="0"/>
            <w:vAlign w:val="center"/>
          </w:tcPr>
          <w:p w14:paraId="1E354B6F">
            <w:pPr>
              <w:jc w:val="center"/>
              <w:rPr>
                <w:rFonts w:hint="default" w:ascii="Times New Roman" w:hAnsi="Times New Roman" w:cs="Times New Roman"/>
                <w:color w:val="FF0000"/>
                <w:spacing w:val="-6"/>
                <w:sz w:val="21"/>
                <w:szCs w:val="21"/>
                <w:highlight w:val="none"/>
                <w:lang w:val="en-US" w:eastAsia="zh-CN"/>
              </w:rPr>
            </w:pPr>
            <w:r>
              <w:rPr>
                <w:rFonts w:hint="default" w:ascii="Times New Roman" w:hAnsi="Times New Roman" w:cs="Times New Roman"/>
                <w:color w:val="FF0000"/>
                <w:spacing w:val="-6"/>
                <w:sz w:val="21"/>
                <w:szCs w:val="21"/>
                <w:highlight w:val="none"/>
                <w:lang w:val="en-US" w:eastAsia="zh-CN"/>
              </w:rPr>
              <w:t>E：87°40′31.71″</w:t>
            </w:r>
          </w:p>
          <w:p w14:paraId="41E20F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0"/>
                <w:sz w:val="21"/>
                <w:szCs w:val="21"/>
                <w:highlight w:val="none"/>
                <w:lang w:val="en-US" w:eastAsia="zh-CN" w:bidi="ar-SA"/>
              </w:rPr>
            </w:pPr>
            <w:r>
              <w:rPr>
                <w:rFonts w:hint="default" w:ascii="Times New Roman" w:hAnsi="Times New Roman" w:cs="Times New Roman"/>
                <w:color w:val="FF0000"/>
                <w:spacing w:val="-6"/>
                <w:sz w:val="21"/>
                <w:szCs w:val="21"/>
                <w:highlight w:val="none"/>
                <w:lang w:val="en-US" w:eastAsia="zh-CN"/>
              </w:rPr>
              <w:t>N：47°19′37.36″</w:t>
            </w:r>
          </w:p>
        </w:tc>
        <w:tc>
          <w:tcPr>
            <w:tcW w:w="736" w:type="pct"/>
            <w:tcBorders>
              <w:left w:val="single" w:color="auto" w:sz="4" w:space="0"/>
            </w:tcBorders>
            <w:noWrap w:val="0"/>
            <w:vAlign w:val="center"/>
          </w:tcPr>
          <w:p w14:paraId="619BC497">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bidi="zh-CN"/>
              </w:rPr>
              <w:t>上游</w:t>
            </w:r>
            <w:r>
              <w:rPr>
                <w:rFonts w:hint="default" w:ascii="Times New Roman" w:hAnsi="Times New Roman" w:eastAsia="宋体" w:cs="Times New Roman"/>
                <w:color w:val="FF0000"/>
                <w:sz w:val="21"/>
                <w:szCs w:val="21"/>
                <w:lang w:val="en-US" w:eastAsia="zh-CN"/>
              </w:rPr>
              <w:t>0.6km</w:t>
            </w:r>
          </w:p>
        </w:tc>
        <w:tc>
          <w:tcPr>
            <w:tcW w:w="655" w:type="pct"/>
            <w:tcBorders>
              <w:left w:val="single" w:color="auto" w:sz="4" w:space="0"/>
            </w:tcBorders>
            <w:noWrap w:val="0"/>
            <w:vAlign w:val="center"/>
          </w:tcPr>
          <w:p w14:paraId="6119FC28">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200</w:t>
            </w:r>
          </w:p>
        </w:tc>
        <w:tc>
          <w:tcPr>
            <w:tcW w:w="633" w:type="pct"/>
            <w:tcBorders>
              <w:left w:val="single" w:color="auto" w:sz="4" w:space="0"/>
            </w:tcBorders>
            <w:noWrap w:val="0"/>
            <w:vAlign w:val="center"/>
          </w:tcPr>
          <w:p w14:paraId="5009BE65">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35</w:t>
            </w:r>
          </w:p>
        </w:tc>
      </w:tr>
      <w:tr w14:paraId="7FFAF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pct"/>
            <w:tcBorders>
              <w:right w:val="single" w:color="auto" w:sz="4" w:space="0"/>
            </w:tcBorders>
            <w:noWrap w:val="0"/>
            <w:vAlign w:val="center"/>
          </w:tcPr>
          <w:p w14:paraId="5D002C54">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lang w:val="en-US" w:eastAsia="zh-CN"/>
              </w:rPr>
              <w:t>2#</w:t>
            </w:r>
          </w:p>
        </w:tc>
        <w:tc>
          <w:tcPr>
            <w:tcW w:w="1074" w:type="pct"/>
            <w:tcBorders>
              <w:left w:val="single" w:color="auto" w:sz="4" w:space="0"/>
            </w:tcBorders>
            <w:noWrap w:val="0"/>
            <w:vAlign w:val="center"/>
          </w:tcPr>
          <w:p w14:paraId="3A4B1AF4">
            <w:pPr>
              <w:ind w:left="0" w:leftChars="0" w:right="-10" w:rightChars="0"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项目区下游（西北侧）</w:t>
            </w:r>
          </w:p>
        </w:tc>
        <w:tc>
          <w:tcPr>
            <w:tcW w:w="1462" w:type="pct"/>
            <w:tcBorders>
              <w:right w:val="single" w:color="auto" w:sz="4" w:space="0"/>
            </w:tcBorders>
            <w:noWrap w:val="0"/>
            <w:vAlign w:val="center"/>
          </w:tcPr>
          <w:p w14:paraId="379BAE67">
            <w:pPr>
              <w:jc w:val="center"/>
              <w:rPr>
                <w:rFonts w:hint="default" w:ascii="Times New Roman" w:hAnsi="Times New Roman" w:cs="Times New Roman"/>
                <w:color w:val="FF0000"/>
                <w:spacing w:val="-6"/>
                <w:sz w:val="21"/>
                <w:szCs w:val="21"/>
                <w:highlight w:val="none"/>
                <w:lang w:val="en-US" w:eastAsia="zh-CN"/>
              </w:rPr>
            </w:pPr>
            <w:r>
              <w:rPr>
                <w:rFonts w:hint="default" w:ascii="Times New Roman" w:hAnsi="Times New Roman" w:cs="Times New Roman"/>
                <w:color w:val="FF0000"/>
                <w:spacing w:val="-6"/>
                <w:sz w:val="21"/>
                <w:szCs w:val="21"/>
                <w:highlight w:val="none"/>
                <w:lang w:val="en-US" w:eastAsia="zh-CN"/>
              </w:rPr>
              <w:t>E：87°37′41.47″</w:t>
            </w:r>
          </w:p>
          <w:p w14:paraId="37BC4B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0"/>
                <w:sz w:val="21"/>
                <w:szCs w:val="21"/>
                <w:highlight w:val="none"/>
                <w:lang w:val="en-US" w:eastAsia="zh-CN" w:bidi="ar-SA"/>
              </w:rPr>
            </w:pPr>
            <w:r>
              <w:rPr>
                <w:rFonts w:hint="default" w:ascii="Times New Roman" w:hAnsi="Times New Roman" w:cs="Times New Roman"/>
                <w:color w:val="FF0000"/>
                <w:spacing w:val="-6"/>
                <w:sz w:val="21"/>
                <w:szCs w:val="21"/>
                <w:highlight w:val="none"/>
                <w:lang w:val="en-US" w:eastAsia="zh-CN"/>
              </w:rPr>
              <w:t>N：47°20′31.44″</w:t>
            </w:r>
          </w:p>
        </w:tc>
        <w:tc>
          <w:tcPr>
            <w:tcW w:w="736" w:type="pct"/>
            <w:tcBorders>
              <w:left w:val="single" w:color="auto" w:sz="4" w:space="0"/>
            </w:tcBorders>
            <w:noWrap w:val="0"/>
            <w:vAlign w:val="center"/>
          </w:tcPr>
          <w:p w14:paraId="7FCF656B">
            <w:pPr>
              <w:ind w:left="0" w:leftChars="0" w:right="-10" w:rightChars="0" w:firstLine="0" w:firstLineChars="0"/>
              <w:jc w:val="center"/>
              <w:rPr>
                <w:rFonts w:hint="default" w:ascii="Times New Roman" w:hAnsi="Times New Roman" w:eastAsia="宋体" w:cs="Times New Roman"/>
                <w:color w:val="FF0000"/>
                <w:sz w:val="21"/>
                <w:szCs w:val="21"/>
                <w:lang w:val="en-US" w:eastAsia="zh-CN" w:bidi="zh-CN"/>
              </w:rPr>
            </w:pPr>
            <w:r>
              <w:rPr>
                <w:rFonts w:hint="default" w:ascii="Times New Roman" w:hAnsi="Times New Roman" w:eastAsia="宋体" w:cs="Times New Roman"/>
                <w:color w:val="FF0000"/>
                <w:sz w:val="21"/>
                <w:szCs w:val="21"/>
                <w:lang w:val="en-US" w:eastAsia="zh-CN"/>
              </w:rPr>
              <w:t>下游</w:t>
            </w:r>
            <w:r>
              <w:rPr>
                <w:rFonts w:hint="default" w:ascii="Times New Roman" w:hAnsi="Times New Roman" w:eastAsia="宋体" w:cs="Times New Roman"/>
                <w:color w:val="FF0000"/>
                <w:sz w:val="21"/>
                <w:szCs w:val="21"/>
                <w:lang w:val="en-US" w:eastAsia="zh-CN" w:bidi="zh-CN"/>
              </w:rPr>
              <w:t>3.9km</w:t>
            </w:r>
          </w:p>
        </w:tc>
        <w:tc>
          <w:tcPr>
            <w:tcW w:w="655" w:type="pct"/>
            <w:tcBorders>
              <w:left w:val="single" w:color="auto" w:sz="4" w:space="0"/>
            </w:tcBorders>
            <w:noWrap w:val="0"/>
            <w:vAlign w:val="center"/>
          </w:tcPr>
          <w:p w14:paraId="2E0BE5A8">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30</w:t>
            </w:r>
          </w:p>
        </w:tc>
        <w:tc>
          <w:tcPr>
            <w:tcW w:w="633" w:type="pct"/>
            <w:tcBorders>
              <w:left w:val="single" w:color="auto" w:sz="4" w:space="0"/>
            </w:tcBorders>
            <w:noWrap w:val="0"/>
            <w:vAlign w:val="center"/>
          </w:tcPr>
          <w:p w14:paraId="5FFB7B3D">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15</w:t>
            </w:r>
          </w:p>
        </w:tc>
      </w:tr>
      <w:tr w14:paraId="27D23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38" w:type="pct"/>
            <w:tcBorders>
              <w:right w:val="single" w:color="auto" w:sz="4" w:space="0"/>
            </w:tcBorders>
            <w:noWrap w:val="0"/>
            <w:vAlign w:val="center"/>
          </w:tcPr>
          <w:p w14:paraId="4F2A8117">
            <w:pPr>
              <w:ind w:left="0" w:leftChars="0" w:right="-10" w:rightChars="0"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3#</w:t>
            </w:r>
          </w:p>
        </w:tc>
        <w:tc>
          <w:tcPr>
            <w:tcW w:w="1074" w:type="pct"/>
            <w:tcBorders>
              <w:left w:val="single" w:color="auto" w:sz="4" w:space="0"/>
            </w:tcBorders>
            <w:noWrap w:val="0"/>
            <w:vAlign w:val="center"/>
          </w:tcPr>
          <w:p w14:paraId="0952E63E">
            <w:pPr>
              <w:ind w:left="0" w:leftChars="0" w:right="-10" w:rightChars="0"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项目区下游（西侧）</w:t>
            </w:r>
          </w:p>
        </w:tc>
        <w:tc>
          <w:tcPr>
            <w:tcW w:w="1462" w:type="pct"/>
            <w:tcBorders>
              <w:right w:val="single" w:color="auto" w:sz="4" w:space="0"/>
            </w:tcBorders>
            <w:noWrap w:val="0"/>
            <w:vAlign w:val="center"/>
          </w:tcPr>
          <w:p w14:paraId="24125D57">
            <w:pPr>
              <w:jc w:val="center"/>
              <w:rPr>
                <w:rFonts w:hint="default" w:ascii="Times New Roman" w:hAnsi="Times New Roman" w:cs="Times New Roman"/>
                <w:color w:val="FF0000"/>
                <w:spacing w:val="-6"/>
                <w:sz w:val="21"/>
                <w:szCs w:val="21"/>
                <w:highlight w:val="none"/>
                <w:lang w:val="en-US" w:eastAsia="zh-CN"/>
              </w:rPr>
            </w:pPr>
            <w:r>
              <w:rPr>
                <w:rFonts w:hint="default" w:ascii="Times New Roman" w:hAnsi="Times New Roman" w:cs="Times New Roman"/>
                <w:color w:val="FF0000"/>
                <w:spacing w:val="-6"/>
                <w:sz w:val="21"/>
                <w:szCs w:val="21"/>
                <w:highlight w:val="none"/>
                <w:lang w:val="en-US" w:eastAsia="zh-CN"/>
              </w:rPr>
              <w:t>E：87°35′39.73″</w:t>
            </w:r>
          </w:p>
          <w:p w14:paraId="2D265E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0"/>
                <w:sz w:val="21"/>
                <w:szCs w:val="21"/>
                <w:highlight w:val="none"/>
                <w:lang w:val="en-US" w:eastAsia="zh-CN" w:bidi="ar-SA"/>
              </w:rPr>
            </w:pPr>
            <w:r>
              <w:rPr>
                <w:rFonts w:hint="default" w:ascii="Times New Roman" w:hAnsi="Times New Roman" w:cs="Times New Roman"/>
                <w:color w:val="FF0000"/>
                <w:spacing w:val="-6"/>
                <w:sz w:val="21"/>
                <w:szCs w:val="21"/>
                <w:highlight w:val="none"/>
                <w:lang w:val="en-US" w:eastAsia="zh-CN"/>
              </w:rPr>
              <w:t>N：47°20′10.12″</w:t>
            </w:r>
          </w:p>
        </w:tc>
        <w:tc>
          <w:tcPr>
            <w:tcW w:w="736" w:type="pct"/>
            <w:tcBorders>
              <w:left w:val="single" w:color="auto" w:sz="4" w:space="0"/>
            </w:tcBorders>
            <w:noWrap w:val="0"/>
            <w:vAlign w:val="center"/>
          </w:tcPr>
          <w:p w14:paraId="345AEEDE">
            <w:pPr>
              <w:ind w:left="0" w:leftChars="0" w:right="-10" w:rightChars="0" w:firstLine="0" w:firstLineChars="0"/>
              <w:jc w:val="center"/>
              <w:rPr>
                <w:rFonts w:hint="default" w:ascii="Times New Roman" w:hAnsi="Times New Roman" w:eastAsia="宋体" w:cs="Times New Roman"/>
                <w:color w:val="FF0000"/>
                <w:sz w:val="21"/>
                <w:szCs w:val="21"/>
                <w:lang w:val="en-US" w:eastAsia="zh-CN" w:bidi="zh-CN"/>
              </w:rPr>
            </w:pPr>
            <w:r>
              <w:rPr>
                <w:rFonts w:hint="default" w:ascii="Times New Roman" w:hAnsi="Times New Roman" w:eastAsia="宋体" w:cs="Times New Roman"/>
                <w:color w:val="FF0000"/>
                <w:sz w:val="21"/>
                <w:szCs w:val="21"/>
                <w:lang w:val="en-US" w:eastAsia="zh-CN"/>
              </w:rPr>
              <w:t>下游6.2km</w:t>
            </w:r>
          </w:p>
        </w:tc>
        <w:tc>
          <w:tcPr>
            <w:tcW w:w="655" w:type="pct"/>
            <w:tcBorders>
              <w:left w:val="single" w:color="auto" w:sz="4" w:space="0"/>
            </w:tcBorders>
            <w:noWrap w:val="0"/>
            <w:vAlign w:val="center"/>
          </w:tcPr>
          <w:p w14:paraId="3C691535">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45</w:t>
            </w:r>
          </w:p>
        </w:tc>
        <w:tc>
          <w:tcPr>
            <w:tcW w:w="633" w:type="pct"/>
            <w:tcBorders>
              <w:left w:val="single" w:color="auto" w:sz="4" w:space="0"/>
            </w:tcBorders>
            <w:noWrap w:val="0"/>
            <w:vAlign w:val="center"/>
          </w:tcPr>
          <w:p w14:paraId="0C562792">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20</w:t>
            </w:r>
          </w:p>
        </w:tc>
      </w:tr>
      <w:tr w14:paraId="18BB4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38" w:type="pct"/>
            <w:tcBorders>
              <w:right w:val="single" w:color="auto" w:sz="4" w:space="0"/>
            </w:tcBorders>
            <w:noWrap w:val="0"/>
            <w:vAlign w:val="center"/>
          </w:tcPr>
          <w:p w14:paraId="262AA64E">
            <w:pPr>
              <w:ind w:left="0" w:leftChars="0" w:right="-10" w:rightChars="0"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4#</w:t>
            </w:r>
          </w:p>
        </w:tc>
        <w:tc>
          <w:tcPr>
            <w:tcW w:w="1074" w:type="pct"/>
            <w:tcBorders>
              <w:left w:val="single" w:color="auto" w:sz="4" w:space="0"/>
            </w:tcBorders>
            <w:noWrap w:val="0"/>
            <w:vAlign w:val="center"/>
          </w:tcPr>
          <w:p w14:paraId="4563CD7B">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188团8连地下水井</w:t>
            </w:r>
          </w:p>
        </w:tc>
        <w:tc>
          <w:tcPr>
            <w:tcW w:w="1462" w:type="pct"/>
            <w:tcBorders>
              <w:right w:val="single" w:color="auto" w:sz="4" w:space="0"/>
            </w:tcBorders>
            <w:noWrap w:val="0"/>
            <w:vAlign w:val="center"/>
          </w:tcPr>
          <w:p w14:paraId="3DCD2D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FF0000"/>
                <w:spacing w:val="-6"/>
                <w:sz w:val="21"/>
                <w:szCs w:val="21"/>
                <w:highlight w:val="none"/>
                <w:lang w:val="en-US" w:eastAsia="zh-CN"/>
              </w:rPr>
            </w:pPr>
            <w:r>
              <w:rPr>
                <w:rFonts w:hint="default" w:ascii="Times New Roman" w:hAnsi="Times New Roman" w:cs="Times New Roman"/>
                <w:color w:val="FF0000"/>
                <w:spacing w:val="-6"/>
                <w:sz w:val="21"/>
                <w:szCs w:val="21"/>
                <w:highlight w:val="none"/>
                <w:lang w:val="en-US" w:eastAsia="zh-CN"/>
              </w:rPr>
              <w:t>87.700064352,47.307628089</w:t>
            </w:r>
          </w:p>
        </w:tc>
        <w:tc>
          <w:tcPr>
            <w:tcW w:w="736" w:type="pct"/>
            <w:tcBorders>
              <w:left w:val="single" w:color="auto" w:sz="4" w:space="0"/>
            </w:tcBorders>
            <w:noWrap w:val="0"/>
            <w:vAlign w:val="center"/>
          </w:tcPr>
          <w:p w14:paraId="4629383E">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上游3.2km</w:t>
            </w:r>
          </w:p>
        </w:tc>
        <w:tc>
          <w:tcPr>
            <w:tcW w:w="1101" w:type="dxa"/>
            <w:tcBorders>
              <w:left w:val="single" w:color="auto" w:sz="4" w:space="0"/>
            </w:tcBorders>
            <w:noWrap w:val="0"/>
            <w:vAlign w:val="center"/>
          </w:tcPr>
          <w:p w14:paraId="05C2D623">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190</w:t>
            </w:r>
          </w:p>
        </w:tc>
        <w:tc>
          <w:tcPr>
            <w:tcW w:w="1065" w:type="dxa"/>
            <w:tcBorders>
              <w:left w:val="single" w:color="auto" w:sz="4" w:space="0"/>
            </w:tcBorders>
            <w:noWrap w:val="0"/>
            <w:vAlign w:val="center"/>
          </w:tcPr>
          <w:p w14:paraId="0FC01281">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30</w:t>
            </w:r>
          </w:p>
        </w:tc>
      </w:tr>
      <w:tr w14:paraId="58E8F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38" w:type="pct"/>
            <w:tcBorders>
              <w:right w:val="single" w:color="auto" w:sz="4" w:space="0"/>
            </w:tcBorders>
            <w:noWrap w:val="0"/>
            <w:vAlign w:val="center"/>
          </w:tcPr>
          <w:p w14:paraId="59B1DF46">
            <w:pPr>
              <w:ind w:left="0" w:leftChars="0" w:right="-10" w:rightChars="0"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5#</w:t>
            </w:r>
          </w:p>
        </w:tc>
        <w:tc>
          <w:tcPr>
            <w:tcW w:w="1074" w:type="pct"/>
            <w:tcBorders>
              <w:left w:val="single" w:color="auto" w:sz="4" w:space="0"/>
            </w:tcBorders>
            <w:noWrap w:val="0"/>
            <w:vAlign w:val="center"/>
          </w:tcPr>
          <w:p w14:paraId="1DEF0DDE">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188团7连地下水井</w:t>
            </w:r>
          </w:p>
        </w:tc>
        <w:tc>
          <w:tcPr>
            <w:tcW w:w="1462" w:type="pct"/>
            <w:tcBorders>
              <w:right w:val="single" w:color="auto" w:sz="4" w:space="0"/>
            </w:tcBorders>
            <w:noWrap w:val="0"/>
            <w:vAlign w:val="center"/>
          </w:tcPr>
          <w:p w14:paraId="18F9DF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FF0000"/>
                <w:spacing w:val="-6"/>
                <w:sz w:val="21"/>
                <w:szCs w:val="21"/>
                <w:highlight w:val="none"/>
                <w:lang w:val="en-US" w:eastAsia="zh-CN"/>
              </w:rPr>
            </w:pPr>
            <w:r>
              <w:rPr>
                <w:rFonts w:hint="default" w:ascii="Times New Roman" w:hAnsi="Times New Roman" w:cs="Times New Roman"/>
                <w:color w:val="FF0000"/>
                <w:spacing w:val="-6"/>
                <w:sz w:val="21"/>
                <w:szCs w:val="21"/>
                <w:highlight w:val="none"/>
                <w:lang w:val="en-US" w:eastAsia="zh-CN"/>
              </w:rPr>
              <w:t>87.657749823,47.310460502</w:t>
            </w:r>
          </w:p>
        </w:tc>
        <w:tc>
          <w:tcPr>
            <w:tcW w:w="736" w:type="pct"/>
            <w:tcBorders>
              <w:left w:val="single" w:color="auto" w:sz="4" w:space="0"/>
            </w:tcBorders>
            <w:noWrap w:val="0"/>
            <w:vAlign w:val="center"/>
          </w:tcPr>
          <w:p w14:paraId="61E160A3">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上游2.5km</w:t>
            </w:r>
          </w:p>
        </w:tc>
        <w:tc>
          <w:tcPr>
            <w:tcW w:w="1101" w:type="dxa"/>
            <w:tcBorders>
              <w:left w:val="single" w:color="auto" w:sz="4" w:space="0"/>
            </w:tcBorders>
            <w:noWrap w:val="0"/>
            <w:vAlign w:val="center"/>
          </w:tcPr>
          <w:p w14:paraId="453EEBA9">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195</w:t>
            </w:r>
          </w:p>
        </w:tc>
        <w:tc>
          <w:tcPr>
            <w:tcW w:w="1065" w:type="dxa"/>
            <w:tcBorders>
              <w:left w:val="single" w:color="auto" w:sz="4" w:space="0"/>
            </w:tcBorders>
            <w:noWrap w:val="0"/>
            <w:vAlign w:val="center"/>
          </w:tcPr>
          <w:p w14:paraId="5E64536B">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36</w:t>
            </w:r>
          </w:p>
        </w:tc>
      </w:tr>
      <w:tr w14:paraId="08C6A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38" w:type="pct"/>
            <w:tcBorders>
              <w:right w:val="single" w:color="auto" w:sz="4" w:space="0"/>
            </w:tcBorders>
            <w:noWrap w:val="0"/>
            <w:vAlign w:val="center"/>
          </w:tcPr>
          <w:p w14:paraId="107D8DD3">
            <w:pPr>
              <w:ind w:left="0" w:leftChars="0" w:right="-10" w:rightChars="0" w:firstLine="0" w:firstLineChars="0"/>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6#</w:t>
            </w:r>
          </w:p>
        </w:tc>
        <w:tc>
          <w:tcPr>
            <w:tcW w:w="1074" w:type="pct"/>
            <w:tcBorders>
              <w:left w:val="single" w:color="auto" w:sz="4" w:space="0"/>
            </w:tcBorders>
            <w:noWrap w:val="0"/>
            <w:vAlign w:val="center"/>
          </w:tcPr>
          <w:p w14:paraId="09ADD9E6">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188团9连地下水井</w:t>
            </w:r>
          </w:p>
        </w:tc>
        <w:tc>
          <w:tcPr>
            <w:tcW w:w="1462" w:type="pct"/>
            <w:tcBorders>
              <w:right w:val="single" w:color="auto" w:sz="4" w:space="0"/>
            </w:tcBorders>
            <w:noWrap w:val="0"/>
            <w:vAlign w:val="center"/>
          </w:tcPr>
          <w:p w14:paraId="4C51CC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FF0000"/>
                <w:spacing w:val="-6"/>
                <w:sz w:val="21"/>
                <w:szCs w:val="21"/>
                <w:highlight w:val="none"/>
                <w:lang w:val="en-US" w:eastAsia="zh-CN"/>
              </w:rPr>
            </w:pPr>
            <w:r>
              <w:rPr>
                <w:rFonts w:hint="default" w:ascii="Times New Roman" w:hAnsi="Times New Roman" w:cs="Times New Roman"/>
                <w:color w:val="FF0000"/>
                <w:spacing w:val="-6"/>
                <w:sz w:val="21"/>
                <w:szCs w:val="21"/>
                <w:highlight w:val="none"/>
                <w:lang w:val="en-US" w:eastAsia="zh-CN"/>
              </w:rPr>
              <w:t>87.676975897,47.325137550</w:t>
            </w:r>
          </w:p>
        </w:tc>
        <w:tc>
          <w:tcPr>
            <w:tcW w:w="736" w:type="pct"/>
            <w:tcBorders>
              <w:left w:val="single" w:color="auto" w:sz="4" w:space="0"/>
            </w:tcBorders>
            <w:noWrap w:val="0"/>
            <w:vAlign w:val="center"/>
          </w:tcPr>
          <w:p w14:paraId="2ABAC845">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上游0.8km</w:t>
            </w:r>
          </w:p>
        </w:tc>
        <w:tc>
          <w:tcPr>
            <w:tcW w:w="1101" w:type="dxa"/>
            <w:tcBorders>
              <w:left w:val="single" w:color="auto" w:sz="4" w:space="0"/>
            </w:tcBorders>
            <w:noWrap w:val="0"/>
            <w:vAlign w:val="center"/>
          </w:tcPr>
          <w:p w14:paraId="6A9E0ECD">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200</w:t>
            </w:r>
          </w:p>
        </w:tc>
        <w:tc>
          <w:tcPr>
            <w:tcW w:w="1065" w:type="dxa"/>
            <w:tcBorders>
              <w:left w:val="single" w:color="auto" w:sz="4" w:space="0"/>
            </w:tcBorders>
            <w:noWrap w:val="0"/>
            <w:vAlign w:val="center"/>
          </w:tcPr>
          <w:p w14:paraId="5B7B9EED">
            <w:pPr>
              <w:ind w:left="0" w:leftChars="0" w:right="-10" w:rightChars="0" w:firstLine="0" w:firstLineChars="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35</w:t>
            </w:r>
          </w:p>
        </w:tc>
      </w:tr>
    </w:tbl>
    <w:p w14:paraId="072B9600">
      <w:pPr>
        <w:pStyle w:val="73"/>
        <w:keepNext w:val="0"/>
        <w:keepLines w:val="0"/>
        <w:pageBreakBefore w:val="0"/>
        <w:widowControl w:val="0"/>
        <w:tabs>
          <w:tab w:val="left" w:pos="883"/>
        </w:tabs>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（2）监测因子</w:t>
      </w:r>
    </w:p>
    <w:p w14:paraId="7263011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选取pH、氨氮、硝酸盐、亚硝酸盐、挥发性酚类、氰化物、砷、汞、铬</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六价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、总硬度、铅、氟、镉、铁、锰、溶解性总固体、高锰酸盐指数、硫酸盐、氯化物、总大肠菌群、细菌总数</w:t>
      </w:r>
      <w:r>
        <w:rPr>
          <w:rFonts w:hint="default" w:ascii="Times New Roman" w:hAnsi="Times New Roman" w:cs="Times New Roman"/>
          <w:color w:val="auto"/>
          <w:sz w:val="24"/>
          <w:szCs w:val="24"/>
          <w:lang w:eastAsia="zh-CN"/>
        </w:rPr>
        <w:t>、K+、Na+、Ca</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lang w:eastAsia="zh-CN"/>
        </w:rPr>
        <w:t>、Mg</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lang w:eastAsia="zh-CN"/>
        </w:rPr>
        <w:t>、CO</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lang w:eastAsia="zh-CN"/>
        </w:rPr>
        <w:t>、HCO</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rPr>
        <w:t>进行监测。</w:t>
      </w:r>
    </w:p>
    <w:p w14:paraId="3F204429">
      <w:pPr>
        <w:pStyle w:val="73"/>
        <w:keepNext w:val="0"/>
        <w:keepLines w:val="0"/>
        <w:pageBreakBefore w:val="0"/>
        <w:widowControl w:val="0"/>
        <w:tabs>
          <w:tab w:val="left" w:pos="883"/>
        </w:tabs>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rPr>
        <w:t>（3）</w:t>
      </w:r>
      <w:r>
        <w:rPr>
          <w:rFonts w:hint="default" w:ascii="Times New Roman" w:hAnsi="Times New Roman" w:cs="Times New Roman"/>
          <w:color w:val="auto"/>
          <w:sz w:val="24"/>
          <w:szCs w:val="24"/>
          <w:highlight w:val="none"/>
        </w:rPr>
        <w:t>监测时间、频率及监测方法</w:t>
      </w:r>
    </w:p>
    <w:p w14:paraId="4976C44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地下水监测点监测采样日期为</w:t>
      </w:r>
      <w:r>
        <w:rPr>
          <w:rFonts w:hint="default" w:ascii="Times New Roman" w:hAnsi="Times New Roman" w:cs="Times New Roman"/>
          <w:color w:val="auto"/>
          <w:sz w:val="24"/>
          <w:szCs w:val="24"/>
          <w:lang w:val="en-US" w:eastAsia="zh-CN"/>
        </w:rPr>
        <w:t>2025</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日，共监测一天，采样一次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按《地下水质量标准》（GB/T14848-2017）中的要求执行</w:t>
      </w:r>
      <w:r>
        <w:rPr>
          <w:rFonts w:hint="default" w:ascii="Times New Roman" w:hAnsi="Times New Roman" w:cs="Times New Roman"/>
          <w:color w:val="auto"/>
          <w:sz w:val="24"/>
          <w:szCs w:val="24"/>
          <w:lang w:eastAsia="zh-CN"/>
        </w:rPr>
        <w:t>。</w:t>
      </w:r>
    </w:p>
    <w:p w14:paraId="502F896A">
      <w:pPr>
        <w:pStyle w:val="73"/>
        <w:keepNext w:val="0"/>
        <w:keepLines w:val="0"/>
        <w:pageBreakBefore w:val="0"/>
        <w:widowControl w:val="0"/>
        <w:tabs>
          <w:tab w:val="left" w:pos="883"/>
        </w:tabs>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（4）评价方法</w:t>
      </w:r>
    </w:p>
    <w:p w14:paraId="71BB184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监测结果采用单项指数评价法对地下水环境现状进行评价，评价标准采用《地下水质量标准》（GB/T14848-2017）Ⅲ类标准。本次评价采用单因子污染指数法对监测结果进行评价。其单项水质参数i在第j点的标准指数为：</w:t>
      </w:r>
    </w:p>
    <w:p w14:paraId="1D0B861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sz w:val="24"/>
          <w:szCs w:val="24"/>
        </w:rPr>
      </w:pPr>
    </w:p>
    <w:p w14:paraId="44D39B48">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drawing>
          <wp:inline distT="0" distB="0" distL="114300" distR="114300">
            <wp:extent cx="583565" cy="469265"/>
            <wp:effectExtent l="0" t="0" r="6985" b="6985"/>
            <wp:docPr id="58" name="图片 404" descr="1746940829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4" descr="1746940829844(1)"/>
                    <pic:cNvPicPr>
                      <a:picLocks noChangeAspect="1"/>
                    </pic:cNvPicPr>
                  </pic:nvPicPr>
                  <pic:blipFill>
                    <a:blip r:embed="rId22"/>
                    <a:stretch>
                      <a:fillRect/>
                    </a:stretch>
                  </pic:blipFill>
                  <pic:spPr>
                    <a:xfrm>
                      <a:off x="0" y="0"/>
                      <a:ext cx="583565" cy="469265"/>
                    </a:xfrm>
                    <a:prstGeom prst="rect">
                      <a:avLst/>
                    </a:prstGeom>
                    <a:noFill/>
                    <a:ln>
                      <a:noFill/>
                    </a:ln>
                  </pic:spPr>
                </pic:pic>
              </a:graphicData>
            </a:graphic>
          </wp:inline>
        </w:drawing>
      </w:r>
    </w:p>
    <w:p w14:paraId="42E1E49E">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式中：P</w:t>
      </w:r>
      <w:r>
        <w:rPr>
          <w:rFonts w:hint="default" w:ascii="Times New Roman" w:hAnsi="Times New Roman" w:cs="Times New Roman"/>
          <w:bCs/>
          <w:color w:val="auto"/>
          <w:sz w:val="24"/>
          <w:szCs w:val="24"/>
          <w:highlight w:val="none"/>
          <w:vertAlign w:val="subscript"/>
          <w:lang w:val="en-US"/>
        </w:rPr>
        <w:t>i</w:t>
      </w:r>
      <w:r>
        <w:rPr>
          <w:rFonts w:hint="default" w:ascii="Times New Roman" w:hAnsi="Times New Roman" w:cs="Times New Roman"/>
          <w:bCs/>
          <w:color w:val="auto"/>
          <w:sz w:val="24"/>
          <w:szCs w:val="24"/>
          <w:highlight w:val="none"/>
          <w:lang w:val="en-US"/>
        </w:rPr>
        <w:t>——第i个水质因子的标准指数，无量纲；</w:t>
      </w:r>
    </w:p>
    <w:p w14:paraId="01687858">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C</w:t>
      </w:r>
      <w:r>
        <w:rPr>
          <w:rFonts w:hint="default" w:ascii="Times New Roman" w:hAnsi="Times New Roman" w:cs="Times New Roman"/>
          <w:bCs/>
          <w:color w:val="auto"/>
          <w:sz w:val="24"/>
          <w:szCs w:val="24"/>
          <w:highlight w:val="none"/>
          <w:vertAlign w:val="subscript"/>
          <w:lang w:val="en-US"/>
        </w:rPr>
        <w:t>i</w:t>
      </w:r>
      <w:r>
        <w:rPr>
          <w:rFonts w:hint="default" w:ascii="Times New Roman" w:hAnsi="Times New Roman" w:cs="Times New Roman"/>
          <w:bCs/>
          <w:color w:val="auto"/>
          <w:sz w:val="24"/>
          <w:szCs w:val="24"/>
          <w:highlight w:val="none"/>
          <w:lang w:val="en-US"/>
        </w:rPr>
        <w:t>——第i个水质因子的监测浓度值，mg/L；</w:t>
      </w:r>
    </w:p>
    <w:p w14:paraId="32A7A5FE">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C</w:t>
      </w:r>
      <w:r>
        <w:rPr>
          <w:rFonts w:hint="default" w:ascii="Times New Roman" w:hAnsi="Times New Roman" w:cs="Times New Roman"/>
          <w:bCs/>
          <w:color w:val="auto"/>
          <w:sz w:val="24"/>
          <w:szCs w:val="24"/>
          <w:highlight w:val="none"/>
          <w:vertAlign w:val="subscript"/>
          <w:lang w:val="en-US"/>
        </w:rPr>
        <w:t>si</w:t>
      </w:r>
      <w:r>
        <w:rPr>
          <w:rFonts w:hint="default" w:ascii="Times New Roman" w:hAnsi="Times New Roman" w:cs="Times New Roman"/>
          <w:bCs/>
          <w:color w:val="auto"/>
          <w:sz w:val="24"/>
          <w:szCs w:val="24"/>
          <w:highlight w:val="none"/>
          <w:lang w:val="en-US"/>
        </w:rPr>
        <w:t>——第i个水质因子的标准浓度值，mg/L。</w:t>
      </w:r>
    </w:p>
    <w:p w14:paraId="61757715">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对于评价标准为区间值的水质因子（如pH值），其标准指数计算方法见公式3，公式如下：</w:t>
      </w:r>
    </w:p>
    <w:p w14:paraId="6A17506C">
      <w:pPr>
        <w:pStyle w:val="16"/>
        <w:keepNext w:val="0"/>
        <w:keepLines w:val="0"/>
        <w:pageBreakBefore w:val="0"/>
        <w:widowControl w:val="0"/>
        <w:kinsoku/>
        <w:wordWrap/>
        <w:overflowPunct/>
        <w:topLinePunct w:val="0"/>
        <w:autoSpaceDE w:val="0"/>
        <w:autoSpaceDN w:val="0"/>
        <w:bidi w:val="0"/>
        <w:adjustRightInd/>
        <w:snapToGrid/>
        <w:spacing w:before="0" w:line="240" w:lineRule="exact"/>
        <w:ind w:right="0" w:rightChars="0" w:firstLine="1200" w:firstLineChars="5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7.0－pH</w:t>
      </w:r>
    </w:p>
    <w:p w14:paraId="44493695">
      <w:pPr>
        <w:pStyle w:val="16"/>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firstLine="480" w:firstLineChars="2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P</w:t>
      </w:r>
      <w:r>
        <w:rPr>
          <w:rFonts w:hint="default" w:ascii="Times New Roman" w:hAnsi="Times New Roman" w:cs="Times New Roman"/>
          <w:bCs/>
          <w:color w:val="auto"/>
          <w:sz w:val="24"/>
          <w:szCs w:val="24"/>
          <w:highlight w:val="none"/>
          <w:vertAlign w:val="subscript"/>
          <w:lang w:val="en-US"/>
        </w:rPr>
        <w:t>pH</w:t>
      </w:r>
      <w:r>
        <w:rPr>
          <w:rFonts w:hint="default" w:ascii="Times New Roman" w:hAnsi="Times New Roman" w:cs="Times New Roman"/>
          <w:bCs/>
          <w:color w:val="auto"/>
          <w:sz w:val="24"/>
          <w:szCs w:val="24"/>
          <w:highlight w:val="none"/>
          <w:lang w:val="en-US"/>
        </w:rPr>
        <w:t>=———————pH≤7.0时</w:t>
      </w:r>
    </w:p>
    <w:p w14:paraId="77FA1250">
      <w:pPr>
        <w:pStyle w:val="16"/>
        <w:keepNext w:val="0"/>
        <w:keepLines w:val="0"/>
        <w:pageBreakBefore w:val="0"/>
        <w:widowControl w:val="0"/>
        <w:kinsoku/>
        <w:wordWrap/>
        <w:overflowPunct/>
        <w:topLinePunct w:val="0"/>
        <w:autoSpaceDE w:val="0"/>
        <w:autoSpaceDN w:val="0"/>
        <w:bidi w:val="0"/>
        <w:adjustRightInd/>
        <w:snapToGrid/>
        <w:spacing w:before="0" w:line="240" w:lineRule="exact"/>
        <w:ind w:right="0" w:rightChars="0" w:firstLine="1200" w:firstLineChars="500"/>
        <w:textAlignment w:val="auto"/>
        <w:rPr>
          <w:rFonts w:hint="default" w:ascii="Times New Roman" w:hAnsi="Times New Roman" w:cs="Times New Roman"/>
          <w:bCs/>
          <w:color w:val="auto"/>
          <w:sz w:val="24"/>
          <w:szCs w:val="24"/>
          <w:highlight w:val="none"/>
          <w:vertAlign w:val="subscript"/>
          <w:lang w:val="en-US"/>
        </w:rPr>
      </w:pPr>
      <w:r>
        <w:rPr>
          <w:rFonts w:hint="default" w:ascii="Times New Roman" w:hAnsi="Times New Roman" w:cs="Times New Roman"/>
          <w:bCs/>
          <w:color w:val="auto"/>
          <w:sz w:val="24"/>
          <w:szCs w:val="24"/>
          <w:highlight w:val="none"/>
          <w:lang w:val="en-US"/>
        </w:rPr>
        <w:t>7.0－pH</w:t>
      </w:r>
      <w:r>
        <w:rPr>
          <w:rFonts w:hint="default" w:ascii="Times New Roman" w:hAnsi="Times New Roman" w:cs="Times New Roman"/>
          <w:bCs/>
          <w:color w:val="auto"/>
          <w:sz w:val="24"/>
          <w:szCs w:val="24"/>
          <w:highlight w:val="none"/>
          <w:vertAlign w:val="subscript"/>
          <w:lang w:val="en-US"/>
        </w:rPr>
        <w:t>sd</w:t>
      </w:r>
    </w:p>
    <w:p w14:paraId="75855468">
      <w:pPr>
        <w:pStyle w:val="16"/>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firstLine="1440" w:firstLineChars="600"/>
        <w:textAlignment w:val="auto"/>
        <w:rPr>
          <w:rFonts w:hint="default" w:ascii="Times New Roman" w:hAnsi="Times New Roman" w:cs="Times New Roman"/>
          <w:bCs/>
          <w:color w:val="auto"/>
          <w:sz w:val="24"/>
          <w:szCs w:val="24"/>
          <w:highlight w:val="none"/>
          <w:vertAlign w:val="subscript"/>
          <w:lang w:val="en-US"/>
        </w:rPr>
      </w:pPr>
    </w:p>
    <w:p w14:paraId="6F5B0B8F">
      <w:pPr>
        <w:pStyle w:val="16"/>
        <w:keepNext w:val="0"/>
        <w:keepLines w:val="0"/>
        <w:pageBreakBefore w:val="0"/>
        <w:widowControl w:val="0"/>
        <w:kinsoku/>
        <w:wordWrap/>
        <w:overflowPunct/>
        <w:topLinePunct w:val="0"/>
        <w:autoSpaceDE w:val="0"/>
        <w:autoSpaceDN w:val="0"/>
        <w:bidi w:val="0"/>
        <w:adjustRightInd/>
        <w:snapToGrid/>
        <w:spacing w:before="0" w:line="240" w:lineRule="exact"/>
        <w:ind w:right="0" w:rightChars="0" w:firstLine="1200" w:firstLineChars="5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pH－7.0</w:t>
      </w:r>
    </w:p>
    <w:p w14:paraId="1A4DA17E">
      <w:pPr>
        <w:pStyle w:val="16"/>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firstLine="480" w:firstLineChars="2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P</w:t>
      </w:r>
      <w:r>
        <w:rPr>
          <w:rFonts w:hint="default" w:ascii="Times New Roman" w:hAnsi="Times New Roman" w:cs="Times New Roman"/>
          <w:bCs/>
          <w:color w:val="auto"/>
          <w:sz w:val="24"/>
          <w:szCs w:val="24"/>
          <w:highlight w:val="none"/>
          <w:vertAlign w:val="subscript"/>
          <w:lang w:val="en-US"/>
        </w:rPr>
        <w:t>pH</w:t>
      </w:r>
      <w:r>
        <w:rPr>
          <w:rFonts w:hint="default" w:ascii="Times New Roman" w:hAnsi="Times New Roman" w:cs="Times New Roman"/>
          <w:bCs/>
          <w:color w:val="auto"/>
          <w:sz w:val="24"/>
          <w:szCs w:val="24"/>
          <w:highlight w:val="none"/>
          <w:lang w:val="en-US"/>
        </w:rPr>
        <w:t>=———————pH＞7.0时</w:t>
      </w:r>
    </w:p>
    <w:p w14:paraId="66049E1E">
      <w:pPr>
        <w:pStyle w:val="16"/>
        <w:keepNext w:val="0"/>
        <w:keepLines w:val="0"/>
        <w:pageBreakBefore w:val="0"/>
        <w:widowControl w:val="0"/>
        <w:kinsoku/>
        <w:wordWrap/>
        <w:overflowPunct/>
        <w:topLinePunct w:val="0"/>
        <w:autoSpaceDE w:val="0"/>
        <w:autoSpaceDN w:val="0"/>
        <w:bidi w:val="0"/>
        <w:adjustRightInd/>
        <w:snapToGrid/>
        <w:spacing w:before="0" w:line="240" w:lineRule="exact"/>
        <w:ind w:right="0" w:rightChars="0" w:firstLine="1200" w:firstLineChars="5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pH</w:t>
      </w:r>
      <w:r>
        <w:rPr>
          <w:rFonts w:hint="default" w:ascii="Times New Roman" w:hAnsi="Times New Roman" w:cs="Times New Roman"/>
          <w:bCs/>
          <w:color w:val="auto"/>
          <w:sz w:val="24"/>
          <w:szCs w:val="24"/>
          <w:highlight w:val="none"/>
          <w:vertAlign w:val="subscript"/>
          <w:lang w:val="en-US"/>
        </w:rPr>
        <w:t>su</w:t>
      </w:r>
      <w:r>
        <w:rPr>
          <w:rFonts w:hint="default" w:ascii="Times New Roman" w:hAnsi="Times New Roman" w:cs="Times New Roman"/>
          <w:bCs/>
          <w:color w:val="auto"/>
          <w:sz w:val="24"/>
          <w:szCs w:val="24"/>
          <w:highlight w:val="none"/>
          <w:lang w:val="en-US"/>
        </w:rPr>
        <w:t>－7.0</w:t>
      </w:r>
    </w:p>
    <w:p w14:paraId="144264BD">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bCs/>
          <w:color w:val="auto"/>
          <w:sz w:val="24"/>
          <w:szCs w:val="24"/>
          <w:highlight w:val="none"/>
          <w:lang w:val="en-US"/>
        </w:rPr>
      </w:pPr>
    </w:p>
    <w:p w14:paraId="5183701C">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式中：P</w:t>
      </w:r>
      <w:r>
        <w:rPr>
          <w:rFonts w:hint="default" w:ascii="Times New Roman" w:hAnsi="Times New Roman" w:cs="Times New Roman"/>
          <w:bCs/>
          <w:color w:val="auto"/>
          <w:sz w:val="24"/>
          <w:szCs w:val="24"/>
          <w:highlight w:val="none"/>
          <w:vertAlign w:val="subscript"/>
          <w:lang w:val="en-US"/>
        </w:rPr>
        <w:t>pH</w:t>
      </w:r>
      <w:r>
        <w:rPr>
          <w:rFonts w:hint="default" w:ascii="Times New Roman" w:hAnsi="Times New Roman" w:cs="Times New Roman"/>
          <w:bCs/>
          <w:color w:val="auto"/>
          <w:sz w:val="24"/>
          <w:szCs w:val="24"/>
          <w:highlight w:val="none"/>
          <w:lang w:val="en-US"/>
        </w:rPr>
        <w:t>——pH的标准指数，无量纲；</w:t>
      </w:r>
    </w:p>
    <w:p w14:paraId="1F4C250C">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rPr>
        <w:t>Ph</w:t>
      </w:r>
      <w:r>
        <w:rPr>
          <w:rFonts w:hint="default" w:ascii="Times New Roman" w:hAnsi="Times New Roman" w:cs="Times New Roman"/>
          <w:bCs/>
          <w:color w:val="auto"/>
          <w:sz w:val="24"/>
          <w:szCs w:val="24"/>
          <w:highlight w:val="none"/>
          <w:vertAlign w:val="subscript"/>
          <w:lang w:val="en-US"/>
        </w:rPr>
        <w:t>su</w:t>
      </w:r>
      <w:r>
        <w:rPr>
          <w:rFonts w:hint="default" w:ascii="Times New Roman" w:hAnsi="Times New Roman" w:cs="Times New Roman"/>
          <w:bCs/>
          <w:color w:val="auto"/>
          <w:sz w:val="24"/>
          <w:szCs w:val="24"/>
          <w:highlight w:val="none"/>
          <w:lang w:val="en-US"/>
        </w:rPr>
        <w:t>——标准中pH的上限值；</w:t>
      </w:r>
    </w:p>
    <w:p w14:paraId="03532DEA">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lang w:val="en-US"/>
        </w:rPr>
        <w:t>pH</w:t>
      </w:r>
      <w:r>
        <w:rPr>
          <w:rFonts w:hint="default" w:ascii="Times New Roman" w:hAnsi="Times New Roman" w:cs="Times New Roman"/>
          <w:bCs/>
          <w:color w:val="auto"/>
          <w:sz w:val="24"/>
          <w:szCs w:val="24"/>
          <w:highlight w:val="none"/>
          <w:vertAlign w:val="subscript"/>
          <w:lang w:val="en-US"/>
        </w:rPr>
        <w:t>sd</w:t>
      </w:r>
      <w:r>
        <w:rPr>
          <w:rFonts w:hint="default" w:ascii="Times New Roman" w:hAnsi="Times New Roman" w:cs="Times New Roman"/>
          <w:bCs/>
          <w:color w:val="auto"/>
          <w:sz w:val="24"/>
          <w:szCs w:val="24"/>
          <w:highlight w:val="none"/>
          <w:lang w:val="en-US"/>
        </w:rPr>
        <w:t>——标准中pH的下限值。</w:t>
      </w:r>
    </w:p>
    <w:p w14:paraId="78ECE83D">
      <w:pPr>
        <w:pStyle w:val="73"/>
        <w:keepNext w:val="0"/>
        <w:keepLines w:val="0"/>
        <w:pageBreakBefore w:val="0"/>
        <w:widowControl w:val="0"/>
        <w:tabs>
          <w:tab w:val="left" w:pos="883"/>
        </w:tabs>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b w:val="0"/>
          <w:bCs/>
          <w:color w:val="auto"/>
          <w:sz w:val="24"/>
          <w:szCs w:val="24"/>
          <w:highlight w:val="none"/>
          <w:lang w:val="en-US"/>
        </w:rPr>
      </w:pPr>
      <w:r>
        <w:rPr>
          <w:rFonts w:hint="default" w:ascii="Times New Roman" w:hAnsi="Times New Roman" w:cs="Times New Roman"/>
          <w:b w:val="0"/>
          <w:bCs/>
          <w:color w:val="auto"/>
          <w:sz w:val="24"/>
          <w:szCs w:val="24"/>
          <w:highlight w:val="none"/>
          <w:lang w:val="en-US"/>
        </w:rPr>
        <w:t>（5）评价方法及结论</w:t>
      </w:r>
    </w:p>
    <w:p w14:paraId="2EFEC4DD">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rPr>
        <w:t>地下水环境现状监测检测数据统计及评价结果见表</w:t>
      </w:r>
      <w:r>
        <w:rPr>
          <w:rFonts w:hint="default" w:ascii="Times New Roman" w:hAnsi="Times New Roman" w:cs="Times New Roman"/>
          <w:color w:val="auto"/>
          <w:sz w:val="24"/>
          <w:szCs w:val="24"/>
          <w:highlight w:val="none"/>
        </w:rPr>
        <w:t>4.2-</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14:paraId="60DA6A0E">
      <w:pPr>
        <w:pStyle w:val="16"/>
        <w:bidi w:val="0"/>
        <w:rPr>
          <w:rFonts w:hint="default" w:ascii="Times New Roman" w:hAnsi="Times New Roman" w:cs="Times New Roman"/>
          <w:color w:val="auto"/>
          <w:highlight w:val="yellow"/>
          <w:lang w:val="en-US"/>
        </w:rPr>
        <w:sectPr>
          <w:footerReference r:id="rId11" w:type="default"/>
          <w:pgSz w:w="11910" w:h="16840"/>
          <w:pgMar w:top="1440" w:right="1797" w:bottom="1417" w:left="1797" w:header="896" w:footer="1236" w:gutter="0"/>
          <w:pgBorders>
            <w:top w:val="none" w:sz="0" w:space="0"/>
            <w:left w:val="none" w:sz="0" w:space="0"/>
            <w:bottom w:val="none" w:sz="0" w:space="0"/>
            <w:right w:val="none" w:sz="0" w:space="0"/>
          </w:pgBorders>
          <w:pgNumType w:fmt="decimal"/>
          <w:cols w:space="720" w:num="1"/>
          <w:rtlGutter w:val="0"/>
          <w:docGrid w:linePitch="1" w:charSpace="0"/>
        </w:sectPr>
      </w:pPr>
    </w:p>
    <w:p w14:paraId="6F25032E">
      <w:pPr>
        <w:pStyle w:val="14"/>
        <w:bidi w:val="0"/>
        <w:rPr>
          <w:rFonts w:hint="default" w:ascii="Times New Roman" w:hAnsi="Times New Roman" w:cs="Times New Roman"/>
          <w:sz w:val="18"/>
          <w:szCs w:val="18"/>
          <w:lang w:val="en-US"/>
        </w:rPr>
      </w:pPr>
      <w:r>
        <w:rPr>
          <w:rFonts w:hint="default" w:ascii="Times New Roman" w:hAnsi="Times New Roman" w:cs="Times New Roman"/>
          <w:sz w:val="18"/>
          <w:szCs w:val="18"/>
          <w:highlight w:val="none"/>
        </w:rPr>
        <w:t>表</w:t>
      </w: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STYLEREF 2 \s </w:instrText>
      </w:r>
      <w:r>
        <w:rPr>
          <w:rFonts w:hint="default" w:ascii="Times New Roman" w:hAnsi="Times New Roman" w:cs="Times New Roman"/>
          <w:sz w:val="18"/>
          <w:szCs w:val="18"/>
          <w:highlight w:val="none"/>
        </w:rPr>
        <w:fldChar w:fldCharType="separate"/>
      </w:r>
      <w:r>
        <w:rPr>
          <w:rFonts w:hint="default" w:ascii="Times New Roman" w:hAnsi="Times New Roman" w:cs="Times New Roman"/>
          <w:sz w:val="18"/>
          <w:szCs w:val="18"/>
          <w:highlight w:val="none"/>
        </w:rPr>
        <w:t>4.2</w:t>
      </w:r>
      <w:r>
        <w:rPr>
          <w:rFonts w:hint="default" w:ascii="Times New Roman" w:hAnsi="Times New Roman" w:cs="Times New Roman"/>
          <w:sz w:val="18"/>
          <w:szCs w:val="18"/>
          <w:highlight w:val="none"/>
        </w:rPr>
        <w:fldChar w:fldCharType="end"/>
      </w:r>
      <w:r>
        <w:rPr>
          <w:rFonts w:hint="default" w:ascii="Times New Roman" w:hAnsi="Times New Roman" w:cs="Times New Roman"/>
          <w:sz w:val="18"/>
          <w:szCs w:val="18"/>
          <w:highlight w:val="none"/>
          <w:lang w:eastAsia="zh-CN"/>
        </w:rPr>
        <w:t>-</w:t>
      </w: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SEQ 表 \* ARABIC \s 2 </w:instrText>
      </w:r>
      <w:r>
        <w:rPr>
          <w:rFonts w:hint="default" w:ascii="Times New Roman" w:hAnsi="Times New Roman" w:cs="Times New Roman"/>
          <w:sz w:val="18"/>
          <w:szCs w:val="18"/>
          <w:highlight w:val="none"/>
        </w:rPr>
        <w:fldChar w:fldCharType="separate"/>
      </w:r>
      <w:r>
        <w:rPr>
          <w:rFonts w:hint="default" w:ascii="Times New Roman" w:hAnsi="Times New Roman" w:cs="Times New Roman"/>
          <w:sz w:val="18"/>
          <w:szCs w:val="18"/>
          <w:highlight w:val="none"/>
        </w:rPr>
        <w:t>6</w:t>
      </w:r>
      <w:r>
        <w:rPr>
          <w:rFonts w:hint="default" w:ascii="Times New Roman" w:hAnsi="Times New Roman" w:cs="Times New Roman"/>
          <w:sz w:val="18"/>
          <w:szCs w:val="18"/>
          <w:highlight w:val="none"/>
        </w:rPr>
        <w:fldChar w:fldCharType="end"/>
      </w:r>
      <w:r>
        <w:rPr>
          <w:rFonts w:hint="default" w:ascii="Times New Roman" w:hAnsi="Times New Roman" w:cs="Times New Roman"/>
          <w:sz w:val="18"/>
          <w:szCs w:val="18"/>
          <w:highlight w:val="none"/>
        </w:rPr>
        <w:t>地</w:t>
      </w:r>
      <w:r>
        <w:rPr>
          <w:rFonts w:hint="default" w:ascii="Times New Roman" w:hAnsi="Times New Roman" w:cs="Times New Roman"/>
          <w:sz w:val="18"/>
          <w:szCs w:val="18"/>
        </w:rPr>
        <w:t>下水环境质量</w:t>
      </w:r>
      <w:r>
        <w:rPr>
          <w:rFonts w:hint="default" w:ascii="Times New Roman" w:hAnsi="Times New Roman" w:cs="Times New Roman"/>
          <w:sz w:val="18"/>
          <w:szCs w:val="18"/>
          <w:lang w:val="en-US" w:eastAsia="zh-CN"/>
        </w:rPr>
        <w:t>监测</w:t>
      </w:r>
      <w:r>
        <w:rPr>
          <w:rFonts w:hint="default" w:ascii="Times New Roman" w:hAnsi="Times New Roman" w:cs="Times New Roman"/>
          <w:sz w:val="18"/>
          <w:szCs w:val="18"/>
        </w:rPr>
        <w:t>数据统计及评价结果单位：mg/L</w:t>
      </w:r>
      <w:r>
        <w:rPr>
          <w:rFonts w:hint="default" w:ascii="Times New Roman" w:hAnsi="Times New Roman" w:cs="Times New Roman"/>
          <w:sz w:val="18"/>
          <w:szCs w:val="18"/>
          <w:lang w:eastAsia="zh-CN"/>
        </w:rPr>
        <w:t>（</w:t>
      </w:r>
      <w:r>
        <w:rPr>
          <w:rFonts w:hint="default" w:ascii="Times New Roman" w:hAnsi="Times New Roman" w:cs="Times New Roman"/>
          <w:sz w:val="18"/>
          <w:szCs w:val="18"/>
        </w:rPr>
        <w:t>pH</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总大肠菌群、细菌总数</w:t>
      </w:r>
      <w:r>
        <w:rPr>
          <w:rFonts w:hint="default" w:ascii="Times New Roman" w:hAnsi="Times New Roman" w:cs="Times New Roman"/>
          <w:sz w:val="18"/>
          <w:szCs w:val="18"/>
        </w:rPr>
        <w:t>除外</w:t>
      </w:r>
      <w:r>
        <w:rPr>
          <w:rFonts w:hint="default" w:ascii="Times New Roman" w:hAnsi="Times New Roman" w:cs="Times New Roman"/>
          <w:sz w:val="18"/>
          <w:szCs w:val="18"/>
          <w:lang w:eastAsia="zh-CN"/>
        </w:rPr>
        <w:t>）</w:t>
      </w:r>
    </w:p>
    <w:tbl>
      <w:tblPr>
        <w:tblStyle w:val="3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660"/>
        <w:gridCol w:w="977"/>
        <w:gridCol w:w="763"/>
        <w:gridCol w:w="951"/>
        <w:gridCol w:w="815"/>
        <w:gridCol w:w="917"/>
        <w:gridCol w:w="824"/>
        <w:gridCol w:w="1238"/>
      </w:tblGrid>
      <w:tr w14:paraId="5ADA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195" w:type="pct"/>
            <w:gridSpan w:val="2"/>
            <w:noWrap w:val="0"/>
            <w:vAlign w:val="center"/>
          </w:tcPr>
          <w:p w14:paraId="23EACC72">
            <w:pPr>
              <w:snapToGrid w:val="0"/>
              <w:ind w:left="72" w:lef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样品编号</w:t>
            </w:r>
          </w:p>
        </w:tc>
        <w:tc>
          <w:tcPr>
            <w:tcW w:w="1020" w:type="pct"/>
            <w:gridSpan w:val="2"/>
            <w:noWrap w:val="0"/>
            <w:vAlign w:val="center"/>
          </w:tcPr>
          <w:p w14:paraId="2CA8D79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DXS-1</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rPr>
              <w:t>-1-1</w:t>
            </w:r>
          </w:p>
        </w:tc>
        <w:tc>
          <w:tcPr>
            <w:tcW w:w="1036" w:type="pct"/>
            <w:gridSpan w:val="2"/>
            <w:noWrap w:val="0"/>
            <w:vAlign w:val="center"/>
          </w:tcPr>
          <w:p w14:paraId="7BA1C22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DXS-</w:t>
            </w: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rPr>
              <w:t>-1-1</w:t>
            </w:r>
          </w:p>
        </w:tc>
        <w:tc>
          <w:tcPr>
            <w:tcW w:w="1021" w:type="pct"/>
            <w:gridSpan w:val="2"/>
            <w:noWrap w:val="0"/>
            <w:vAlign w:val="center"/>
          </w:tcPr>
          <w:p w14:paraId="2137317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DXS-</w:t>
            </w:r>
            <w:r>
              <w:rPr>
                <w:rFonts w:hint="default"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rPr>
              <w:t>-1-1</w:t>
            </w:r>
          </w:p>
        </w:tc>
        <w:tc>
          <w:tcPr>
            <w:tcW w:w="726" w:type="pct"/>
            <w:vMerge w:val="restart"/>
            <w:noWrap w:val="0"/>
            <w:vAlign w:val="center"/>
          </w:tcPr>
          <w:p w14:paraId="74F86CA2">
            <w:pPr>
              <w:snapToGrid w:val="0"/>
              <w:ind w:left="72" w:leftChars="0"/>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《地下水质量标准》（GB/T14848-2017)中Ⅲ类水质标准</w:t>
            </w:r>
          </w:p>
        </w:tc>
      </w:tr>
      <w:tr w14:paraId="7A68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95" w:type="pct"/>
            <w:gridSpan w:val="2"/>
            <w:noWrap w:val="0"/>
            <w:vAlign w:val="center"/>
          </w:tcPr>
          <w:p w14:paraId="30133EAA">
            <w:pPr>
              <w:snapToGrid w:val="0"/>
              <w:ind w:left="72" w:lef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采样地点</w:t>
            </w:r>
          </w:p>
        </w:tc>
        <w:tc>
          <w:tcPr>
            <w:tcW w:w="1020" w:type="pct"/>
            <w:gridSpan w:val="2"/>
            <w:noWrap w:val="0"/>
            <w:vAlign w:val="center"/>
          </w:tcPr>
          <w:p w14:paraId="68527207">
            <w:pPr>
              <w:jc w:val="center"/>
              <w:rPr>
                <w:rFonts w:hint="default" w:ascii="Times New Roman" w:hAnsi="Times New Roman"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E：87°40′31.71″</w:t>
            </w:r>
          </w:p>
          <w:p w14:paraId="7F18F988">
            <w:pPr>
              <w:snapToGrid w:val="0"/>
              <w:ind w:left="72" w:leftChars="0"/>
              <w:jc w:val="center"/>
              <w:rPr>
                <w:rFonts w:hint="default" w:ascii="Times New Roman" w:hAnsi="Times New Roman"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N：47°19′37.36″</w:t>
            </w:r>
          </w:p>
        </w:tc>
        <w:tc>
          <w:tcPr>
            <w:tcW w:w="1036" w:type="pct"/>
            <w:gridSpan w:val="2"/>
            <w:noWrap w:val="0"/>
            <w:vAlign w:val="center"/>
          </w:tcPr>
          <w:p w14:paraId="18F00A0F">
            <w:pPr>
              <w:jc w:val="center"/>
              <w:rPr>
                <w:rFonts w:hint="default" w:ascii="Times New Roman" w:hAnsi="Times New Roman"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E：87°37′41.47″</w:t>
            </w:r>
          </w:p>
          <w:p w14:paraId="16E4FAA8">
            <w:pPr>
              <w:snapToGrid w:val="0"/>
              <w:ind w:left="72" w:leftChars="0"/>
              <w:jc w:val="center"/>
              <w:rPr>
                <w:rFonts w:hint="default" w:ascii="Times New Roman" w:hAnsi="Times New Roman"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N：47°20′31.44″</w:t>
            </w:r>
          </w:p>
        </w:tc>
        <w:tc>
          <w:tcPr>
            <w:tcW w:w="1021" w:type="pct"/>
            <w:gridSpan w:val="2"/>
            <w:noWrap w:val="0"/>
            <w:vAlign w:val="center"/>
          </w:tcPr>
          <w:p w14:paraId="6E9F9F59">
            <w:pPr>
              <w:jc w:val="center"/>
              <w:rPr>
                <w:rFonts w:hint="default" w:ascii="Times New Roman" w:hAnsi="Times New Roman"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E：87°35′39.73″</w:t>
            </w:r>
          </w:p>
          <w:p w14:paraId="12A4A3C1">
            <w:pPr>
              <w:snapToGrid w:val="0"/>
              <w:ind w:left="72" w:leftChars="0"/>
              <w:jc w:val="center"/>
              <w:rPr>
                <w:rFonts w:hint="default" w:ascii="Times New Roman" w:hAnsi="Times New Roman"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N：47°20′10.12″</w:t>
            </w:r>
          </w:p>
        </w:tc>
        <w:tc>
          <w:tcPr>
            <w:tcW w:w="726" w:type="pct"/>
            <w:vMerge w:val="continue"/>
            <w:noWrap w:val="0"/>
            <w:vAlign w:val="center"/>
          </w:tcPr>
          <w:p w14:paraId="7207368C">
            <w:pPr>
              <w:snapToGrid w:val="0"/>
              <w:ind w:left="72" w:leftChars="0"/>
              <w:jc w:val="center"/>
              <w:rPr>
                <w:rFonts w:hint="default" w:ascii="Times New Roman" w:hAnsi="Times New Roman" w:cs="Times New Roman"/>
                <w:color w:val="auto"/>
                <w:sz w:val="18"/>
                <w:szCs w:val="18"/>
                <w:lang w:val="en-US" w:eastAsia="zh-CN"/>
              </w:rPr>
            </w:pPr>
          </w:p>
        </w:tc>
      </w:tr>
      <w:tr w14:paraId="22CE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1195" w:type="pct"/>
            <w:gridSpan w:val="2"/>
            <w:noWrap w:val="0"/>
            <w:vAlign w:val="center"/>
          </w:tcPr>
          <w:p w14:paraId="115EC03E">
            <w:pPr>
              <w:snapToGrid w:val="0"/>
              <w:ind w:left="72"/>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样品状态</w:t>
            </w:r>
          </w:p>
        </w:tc>
        <w:tc>
          <w:tcPr>
            <w:tcW w:w="1020" w:type="pct"/>
            <w:gridSpan w:val="2"/>
            <w:noWrap w:val="0"/>
            <w:vAlign w:val="center"/>
          </w:tcPr>
          <w:p w14:paraId="72EF41B9">
            <w:pPr>
              <w:snapToGrid w:val="0"/>
              <w:ind w:left="72" w:leftChars="0"/>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清澈、透明、无异味</w:t>
            </w:r>
          </w:p>
        </w:tc>
        <w:tc>
          <w:tcPr>
            <w:tcW w:w="1036" w:type="pct"/>
            <w:gridSpan w:val="2"/>
            <w:noWrap w:val="0"/>
            <w:vAlign w:val="center"/>
          </w:tcPr>
          <w:p w14:paraId="4281E902">
            <w:pPr>
              <w:snapToGrid w:val="0"/>
              <w:ind w:left="72" w:leftChars="0"/>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清澈、透明、无异味</w:t>
            </w:r>
          </w:p>
        </w:tc>
        <w:tc>
          <w:tcPr>
            <w:tcW w:w="1021" w:type="pct"/>
            <w:gridSpan w:val="2"/>
            <w:noWrap w:val="0"/>
            <w:vAlign w:val="center"/>
          </w:tcPr>
          <w:p w14:paraId="187520CE">
            <w:pPr>
              <w:snapToGrid w:val="0"/>
              <w:ind w:left="72" w:leftChars="0"/>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清澈、透明、无异味</w:t>
            </w:r>
          </w:p>
        </w:tc>
        <w:tc>
          <w:tcPr>
            <w:tcW w:w="726" w:type="pct"/>
            <w:vMerge w:val="continue"/>
            <w:noWrap w:val="0"/>
            <w:vAlign w:val="center"/>
          </w:tcPr>
          <w:p w14:paraId="60F4C3C0">
            <w:pPr>
              <w:snapToGrid w:val="0"/>
              <w:ind w:left="72" w:leftChars="0"/>
              <w:jc w:val="center"/>
              <w:rPr>
                <w:rFonts w:hint="default" w:ascii="Times New Roman" w:hAnsi="Times New Roman" w:cs="Times New Roman"/>
                <w:color w:val="auto"/>
                <w:kern w:val="2"/>
                <w:sz w:val="18"/>
                <w:szCs w:val="18"/>
                <w:lang w:val="en-US" w:eastAsia="zh-CN" w:bidi="ar-SA"/>
              </w:rPr>
            </w:pPr>
          </w:p>
        </w:tc>
      </w:tr>
      <w:tr w14:paraId="5819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7" w:type="pct"/>
            <w:noWrap w:val="0"/>
            <w:vAlign w:val="center"/>
          </w:tcPr>
          <w:p w14:paraId="5254B470">
            <w:pPr>
              <w:snapToGrid w:val="0"/>
              <w:ind w:left="72"/>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检测项目</w:t>
            </w:r>
          </w:p>
        </w:tc>
        <w:tc>
          <w:tcPr>
            <w:tcW w:w="387" w:type="pct"/>
            <w:noWrap w:val="0"/>
            <w:vAlign w:val="center"/>
          </w:tcPr>
          <w:p w14:paraId="5A78B206">
            <w:pPr>
              <w:snapToGrid w:val="0"/>
              <w:ind w:left="72"/>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单位</w:t>
            </w:r>
          </w:p>
        </w:tc>
        <w:tc>
          <w:tcPr>
            <w:tcW w:w="573" w:type="pct"/>
            <w:noWrap w:val="0"/>
            <w:vAlign w:val="center"/>
          </w:tcPr>
          <w:p w14:paraId="572CF931">
            <w:pPr>
              <w:snapToGrid w:val="0"/>
              <w:ind w:left="72" w:lef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检测结果</w:t>
            </w:r>
          </w:p>
        </w:tc>
        <w:tc>
          <w:tcPr>
            <w:tcW w:w="447" w:type="pct"/>
            <w:noWrap w:val="0"/>
            <w:vAlign w:val="center"/>
          </w:tcPr>
          <w:p w14:paraId="04170EAF">
            <w:pPr>
              <w:snapToGrid w:val="0"/>
              <w:ind w:left="72" w:lef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napToGrid w:val="0"/>
                <w:color w:val="auto"/>
                <w:kern w:val="2"/>
                <w:sz w:val="18"/>
                <w:szCs w:val="18"/>
                <w:highlight w:val="none"/>
                <w:lang w:val="en-US" w:bidi="ar-SA"/>
              </w:rPr>
              <w:t>污染指数</w:t>
            </w:r>
          </w:p>
        </w:tc>
        <w:tc>
          <w:tcPr>
            <w:tcW w:w="557" w:type="pct"/>
            <w:noWrap w:val="0"/>
            <w:vAlign w:val="center"/>
          </w:tcPr>
          <w:p w14:paraId="271D469E">
            <w:pPr>
              <w:snapToGrid w:val="0"/>
              <w:ind w:left="72" w:lef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检测结果</w:t>
            </w:r>
          </w:p>
        </w:tc>
        <w:tc>
          <w:tcPr>
            <w:tcW w:w="478" w:type="pct"/>
            <w:noWrap w:val="0"/>
            <w:vAlign w:val="center"/>
          </w:tcPr>
          <w:p w14:paraId="3EBF1ABB">
            <w:pPr>
              <w:snapToGrid w:val="0"/>
              <w:ind w:left="72" w:lef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napToGrid w:val="0"/>
                <w:color w:val="auto"/>
                <w:kern w:val="2"/>
                <w:sz w:val="18"/>
                <w:szCs w:val="18"/>
                <w:highlight w:val="none"/>
                <w:lang w:val="en-US" w:bidi="ar-SA"/>
              </w:rPr>
              <w:t>污染指数</w:t>
            </w:r>
          </w:p>
        </w:tc>
        <w:tc>
          <w:tcPr>
            <w:tcW w:w="538" w:type="pct"/>
            <w:noWrap w:val="0"/>
            <w:vAlign w:val="center"/>
          </w:tcPr>
          <w:p w14:paraId="5CC22A2E">
            <w:pPr>
              <w:snapToGrid w:val="0"/>
              <w:ind w:left="72" w:lef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检测结果</w:t>
            </w:r>
          </w:p>
        </w:tc>
        <w:tc>
          <w:tcPr>
            <w:tcW w:w="483" w:type="pct"/>
            <w:noWrap w:val="0"/>
            <w:vAlign w:val="center"/>
          </w:tcPr>
          <w:p w14:paraId="10DA0DB2">
            <w:pPr>
              <w:snapToGrid w:val="0"/>
              <w:ind w:left="72" w:lef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napToGrid w:val="0"/>
                <w:color w:val="auto"/>
                <w:kern w:val="2"/>
                <w:sz w:val="18"/>
                <w:szCs w:val="18"/>
                <w:highlight w:val="none"/>
                <w:lang w:val="en-US" w:bidi="ar-SA"/>
              </w:rPr>
              <w:t>污染指数</w:t>
            </w:r>
          </w:p>
        </w:tc>
        <w:tc>
          <w:tcPr>
            <w:tcW w:w="726" w:type="pct"/>
            <w:vMerge w:val="continue"/>
            <w:noWrap w:val="0"/>
            <w:vAlign w:val="center"/>
          </w:tcPr>
          <w:p w14:paraId="71B36648">
            <w:pPr>
              <w:snapToGrid w:val="0"/>
              <w:ind w:left="72" w:leftChars="0"/>
              <w:jc w:val="center"/>
              <w:rPr>
                <w:rFonts w:hint="default" w:ascii="Times New Roman" w:hAnsi="Times New Roman" w:eastAsia="宋体" w:cs="Times New Roman"/>
                <w:color w:val="auto"/>
                <w:sz w:val="18"/>
                <w:szCs w:val="18"/>
                <w:lang w:val="en-US" w:eastAsia="zh-CN"/>
              </w:rPr>
            </w:pPr>
          </w:p>
        </w:tc>
      </w:tr>
      <w:tr w14:paraId="52FA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2A784C05">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SA"/>
              </w:rPr>
              <w:t>pH</w:t>
            </w:r>
          </w:p>
        </w:tc>
        <w:tc>
          <w:tcPr>
            <w:tcW w:w="387" w:type="pct"/>
            <w:noWrap w:val="0"/>
            <w:vAlign w:val="center"/>
          </w:tcPr>
          <w:p w14:paraId="2D48904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无量纲</w:t>
            </w:r>
          </w:p>
        </w:tc>
        <w:tc>
          <w:tcPr>
            <w:tcW w:w="573" w:type="pct"/>
            <w:noWrap w:val="0"/>
            <w:vAlign w:val="center"/>
          </w:tcPr>
          <w:p w14:paraId="66B361AE">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447" w:type="pct"/>
            <w:noWrap w:val="0"/>
            <w:vAlign w:val="center"/>
          </w:tcPr>
          <w:p w14:paraId="714459C8">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0.2</w:t>
            </w:r>
          </w:p>
        </w:tc>
        <w:tc>
          <w:tcPr>
            <w:tcW w:w="557" w:type="pct"/>
            <w:noWrap w:val="0"/>
            <w:vAlign w:val="center"/>
          </w:tcPr>
          <w:p w14:paraId="6AE09874">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478" w:type="pct"/>
            <w:noWrap w:val="0"/>
            <w:vAlign w:val="center"/>
          </w:tcPr>
          <w:p w14:paraId="35468744">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0.267</w:t>
            </w:r>
          </w:p>
        </w:tc>
        <w:tc>
          <w:tcPr>
            <w:tcW w:w="538" w:type="pct"/>
            <w:noWrap w:val="0"/>
            <w:vAlign w:val="center"/>
          </w:tcPr>
          <w:p w14:paraId="259B15F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483" w:type="pct"/>
            <w:noWrap w:val="0"/>
            <w:vAlign w:val="center"/>
          </w:tcPr>
          <w:p w14:paraId="0C1CFB5D">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0.2</w:t>
            </w:r>
          </w:p>
        </w:tc>
        <w:tc>
          <w:tcPr>
            <w:tcW w:w="726" w:type="pct"/>
            <w:noWrap w:val="0"/>
            <w:vAlign w:val="center"/>
          </w:tcPr>
          <w:p w14:paraId="3319CAD5">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6.5~8.5</w:t>
            </w:r>
          </w:p>
        </w:tc>
      </w:tr>
      <w:tr w14:paraId="32A8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577695DE">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硝酸盐氮</w:t>
            </w:r>
          </w:p>
        </w:tc>
        <w:tc>
          <w:tcPr>
            <w:tcW w:w="387" w:type="pct"/>
            <w:noWrap w:val="0"/>
            <w:vAlign w:val="center"/>
          </w:tcPr>
          <w:p w14:paraId="01383EA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630251A9">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0.27</w:t>
            </w:r>
          </w:p>
        </w:tc>
        <w:tc>
          <w:tcPr>
            <w:tcW w:w="447" w:type="pct"/>
            <w:noWrap w:val="0"/>
            <w:vAlign w:val="center"/>
          </w:tcPr>
          <w:p w14:paraId="0A8F9B7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0.014</w:t>
            </w:r>
          </w:p>
        </w:tc>
        <w:tc>
          <w:tcPr>
            <w:tcW w:w="557" w:type="pct"/>
            <w:noWrap w:val="0"/>
            <w:vAlign w:val="center"/>
          </w:tcPr>
          <w:p w14:paraId="5273B650">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0.25</w:t>
            </w:r>
          </w:p>
        </w:tc>
        <w:tc>
          <w:tcPr>
            <w:tcW w:w="478" w:type="pct"/>
            <w:noWrap w:val="0"/>
            <w:vAlign w:val="center"/>
          </w:tcPr>
          <w:p w14:paraId="7DAC8602">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0.0125</w:t>
            </w:r>
          </w:p>
        </w:tc>
        <w:tc>
          <w:tcPr>
            <w:tcW w:w="538" w:type="pct"/>
            <w:noWrap w:val="0"/>
            <w:vAlign w:val="center"/>
          </w:tcPr>
          <w:p w14:paraId="3356C001">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0.28</w:t>
            </w:r>
          </w:p>
        </w:tc>
        <w:tc>
          <w:tcPr>
            <w:tcW w:w="483" w:type="pct"/>
            <w:noWrap w:val="0"/>
            <w:vAlign w:val="center"/>
          </w:tcPr>
          <w:p w14:paraId="6135276A">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0.014</w:t>
            </w:r>
          </w:p>
        </w:tc>
        <w:tc>
          <w:tcPr>
            <w:tcW w:w="726" w:type="pct"/>
            <w:noWrap w:val="0"/>
            <w:vAlign w:val="center"/>
          </w:tcPr>
          <w:p w14:paraId="497DAB55">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≤20.0</w:t>
            </w:r>
            <w:r>
              <w:rPr>
                <w:rFonts w:hint="default" w:ascii="Times New Roman" w:hAnsi="Times New Roman" w:cs="Times New Roman"/>
                <w:color w:val="auto"/>
                <w:sz w:val="18"/>
                <w:szCs w:val="18"/>
                <w:highlight w:val="none"/>
              </w:rPr>
              <w:t>mg/L</w:t>
            </w:r>
          </w:p>
        </w:tc>
      </w:tr>
      <w:tr w14:paraId="1900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2E9B5027">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亚硝酸盐氮</w:t>
            </w:r>
          </w:p>
        </w:tc>
        <w:tc>
          <w:tcPr>
            <w:tcW w:w="387" w:type="pct"/>
            <w:noWrap w:val="0"/>
            <w:vAlign w:val="center"/>
          </w:tcPr>
          <w:p w14:paraId="4070FDC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251D9431">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0.003L</w:t>
            </w:r>
          </w:p>
        </w:tc>
        <w:tc>
          <w:tcPr>
            <w:tcW w:w="447" w:type="pct"/>
            <w:noWrap w:val="0"/>
            <w:vAlign w:val="center"/>
          </w:tcPr>
          <w:p w14:paraId="34EE92DB">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557" w:type="pct"/>
            <w:noWrap w:val="0"/>
            <w:vAlign w:val="center"/>
          </w:tcPr>
          <w:p w14:paraId="2BDA9C16">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0.003L</w:t>
            </w:r>
          </w:p>
        </w:tc>
        <w:tc>
          <w:tcPr>
            <w:tcW w:w="478" w:type="pct"/>
            <w:noWrap w:val="0"/>
            <w:vAlign w:val="center"/>
          </w:tcPr>
          <w:p w14:paraId="18DAA0D6">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538" w:type="pct"/>
            <w:noWrap w:val="0"/>
            <w:vAlign w:val="center"/>
          </w:tcPr>
          <w:p w14:paraId="44F0F1CA">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0.003L</w:t>
            </w:r>
          </w:p>
        </w:tc>
        <w:tc>
          <w:tcPr>
            <w:tcW w:w="483" w:type="pct"/>
            <w:noWrap w:val="0"/>
            <w:vAlign w:val="center"/>
          </w:tcPr>
          <w:p w14:paraId="2F92E49C">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726" w:type="pct"/>
            <w:noWrap w:val="0"/>
            <w:vAlign w:val="center"/>
          </w:tcPr>
          <w:p w14:paraId="20148205">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≤1.00</w:t>
            </w:r>
            <w:r>
              <w:rPr>
                <w:rFonts w:hint="default" w:ascii="Times New Roman" w:hAnsi="Times New Roman" w:cs="Times New Roman"/>
                <w:color w:val="auto"/>
                <w:sz w:val="18"/>
                <w:szCs w:val="18"/>
                <w:highlight w:val="none"/>
              </w:rPr>
              <w:t>mg/L</w:t>
            </w:r>
          </w:p>
        </w:tc>
      </w:tr>
      <w:tr w14:paraId="2C2A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2FBD89A3">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氟化物</w:t>
            </w:r>
          </w:p>
        </w:tc>
        <w:tc>
          <w:tcPr>
            <w:tcW w:w="387" w:type="pct"/>
            <w:noWrap w:val="0"/>
            <w:vAlign w:val="center"/>
          </w:tcPr>
          <w:p w14:paraId="09B938E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364DF00C">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0.58</w:t>
            </w:r>
          </w:p>
        </w:tc>
        <w:tc>
          <w:tcPr>
            <w:tcW w:w="447" w:type="pct"/>
            <w:noWrap w:val="0"/>
            <w:vAlign w:val="center"/>
          </w:tcPr>
          <w:p w14:paraId="281ADA4E">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0.580</w:t>
            </w:r>
          </w:p>
        </w:tc>
        <w:tc>
          <w:tcPr>
            <w:tcW w:w="557" w:type="pct"/>
            <w:noWrap w:val="0"/>
            <w:vAlign w:val="center"/>
          </w:tcPr>
          <w:p w14:paraId="053669DE">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0.64</w:t>
            </w:r>
          </w:p>
        </w:tc>
        <w:tc>
          <w:tcPr>
            <w:tcW w:w="478" w:type="pct"/>
            <w:noWrap w:val="0"/>
            <w:vAlign w:val="center"/>
          </w:tcPr>
          <w:p w14:paraId="1F2604DA">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0.64</w:t>
            </w:r>
          </w:p>
        </w:tc>
        <w:tc>
          <w:tcPr>
            <w:tcW w:w="538" w:type="pct"/>
            <w:noWrap w:val="0"/>
            <w:vAlign w:val="center"/>
          </w:tcPr>
          <w:p w14:paraId="7A399ACD">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0.51</w:t>
            </w:r>
          </w:p>
        </w:tc>
        <w:tc>
          <w:tcPr>
            <w:tcW w:w="483" w:type="pct"/>
            <w:noWrap w:val="0"/>
            <w:vAlign w:val="center"/>
          </w:tcPr>
          <w:p w14:paraId="1D156344">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0.510</w:t>
            </w:r>
          </w:p>
        </w:tc>
        <w:tc>
          <w:tcPr>
            <w:tcW w:w="726" w:type="pct"/>
            <w:noWrap w:val="0"/>
            <w:vAlign w:val="center"/>
          </w:tcPr>
          <w:p w14:paraId="0B1B480A">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mg/L</w:t>
            </w:r>
          </w:p>
        </w:tc>
      </w:tr>
      <w:tr w14:paraId="1541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727873C4">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硫酸盐</w:t>
            </w:r>
          </w:p>
        </w:tc>
        <w:tc>
          <w:tcPr>
            <w:tcW w:w="387" w:type="pct"/>
            <w:noWrap w:val="0"/>
            <w:vAlign w:val="center"/>
          </w:tcPr>
          <w:p w14:paraId="7AAD787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0C8CC023">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217</w:t>
            </w:r>
          </w:p>
        </w:tc>
        <w:tc>
          <w:tcPr>
            <w:tcW w:w="447" w:type="pct"/>
            <w:noWrap w:val="0"/>
            <w:vAlign w:val="center"/>
          </w:tcPr>
          <w:p w14:paraId="2EDBA4CB">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0.868</w:t>
            </w:r>
          </w:p>
        </w:tc>
        <w:tc>
          <w:tcPr>
            <w:tcW w:w="557" w:type="pct"/>
            <w:noWrap w:val="0"/>
            <w:vAlign w:val="center"/>
          </w:tcPr>
          <w:p w14:paraId="2DEA19A8">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478" w:type="pct"/>
            <w:noWrap w:val="0"/>
            <w:vAlign w:val="center"/>
          </w:tcPr>
          <w:p w14:paraId="023EB8F7">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0.208</w:t>
            </w:r>
          </w:p>
        </w:tc>
        <w:tc>
          <w:tcPr>
            <w:tcW w:w="538" w:type="pct"/>
            <w:noWrap w:val="0"/>
            <w:vAlign w:val="center"/>
          </w:tcPr>
          <w:p w14:paraId="0CF385A1">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483" w:type="pct"/>
            <w:noWrap w:val="0"/>
            <w:vAlign w:val="center"/>
          </w:tcPr>
          <w:p w14:paraId="54F9ABD8">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0.160</w:t>
            </w:r>
          </w:p>
        </w:tc>
        <w:tc>
          <w:tcPr>
            <w:tcW w:w="726" w:type="pct"/>
            <w:noWrap w:val="0"/>
            <w:vAlign w:val="center"/>
          </w:tcPr>
          <w:p w14:paraId="7E2CD541">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≤250</w:t>
            </w:r>
            <w:r>
              <w:rPr>
                <w:rFonts w:hint="default" w:ascii="Times New Roman" w:hAnsi="Times New Roman" w:cs="Times New Roman"/>
                <w:color w:val="auto"/>
                <w:sz w:val="18"/>
                <w:szCs w:val="18"/>
                <w:highlight w:val="none"/>
              </w:rPr>
              <w:t>mg/L</w:t>
            </w:r>
          </w:p>
        </w:tc>
      </w:tr>
      <w:tr w14:paraId="44DD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7645B278">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氯化物</w:t>
            </w:r>
          </w:p>
        </w:tc>
        <w:tc>
          <w:tcPr>
            <w:tcW w:w="387" w:type="pct"/>
            <w:noWrap w:val="0"/>
            <w:vAlign w:val="center"/>
          </w:tcPr>
          <w:p w14:paraId="3E1D5A9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325D453F">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447" w:type="pct"/>
            <w:noWrap w:val="0"/>
            <w:vAlign w:val="center"/>
          </w:tcPr>
          <w:p w14:paraId="185867EC">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0.580</w:t>
            </w:r>
          </w:p>
        </w:tc>
        <w:tc>
          <w:tcPr>
            <w:tcW w:w="557" w:type="pct"/>
            <w:noWrap w:val="0"/>
            <w:vAlign w:val="center"/>
          </w:tcPr>
          <w:p w14:paraId="63D1292E">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478" w:type="pct"/>
            <w:noWrap w:val="0"/>
            <w:vAlign w:val="center"/>
          </w:tcPr>
          <w:p w14:paraId="37698321">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0.072</w:t>
            </w:r>
          </w:p>
        </w:tc>
        <w:tc>
          <w:tcPr>
            <w:tcW w:w="538" w:type="pct"/>
            <w:noWrap w:val="0"/>
            <w:vAlign w:val="center"/>
          </w:tcPr>
          <w:p w14:paraId="7D3667BF">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83" w:type="pct"/>
            <w:noWrap w:val="0"/>
            <w:vAlign w:val="center"/>
          </w:tcPr>
          <w:p w14:paraId="03F4F0F8">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0.064</w:t>
            </w:r>
          </w:p>
        </w:tc>
        <w:tc>
          <w:tcPr>
            <w:tcW w:w="726" w:type="pct"/>
            <w:noWrap w:val="0"/>
            <w:vAlign w:val="center"/>
          </w:tcPr>
          <w:p w14:paraId="7CB394EF">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≤250</w:t>
            </w:r>
            <w:r>
              <w:rPr>
                <w:rFonts w:hint="default" w:ascii="Times New Roman" w:hAnsi="Times New Roman" w:cs="Times New Roman"/>
                <w:color w:val="auto"/>
                <w:sz w:val="18"/>
                <w:szCs w:val="18"/>
                <w:highlight w:val="none"/>
              </w:rPr>
              <w:t>mg/L</w:t>
            </w:r>
          </w:p>
        </w:tc>
      </w:tr>
      <w:tr w14:paraId="15EC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66D4EB62">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bCs/>
                <w:color w:val="auto"/>
                <w:kern w:val="0"/>
                <w:sz w:val="18"/>
                <w:szCs w:val="18"/>
                <w:highlight w:val="none"/>
                <w:lang w:eastAsia="zh-CN"/>
              </w:rPr>
              <w:t>挥发酚</w:t>
            </w:r>
          </w:p>
        </w:tc>
        <w:tc>
          <w:tcPr>
            <w:tcW w:w="387" w:type="pct"/>
            <w:noWrap w:val="0"/>
            <w:vAlign w:val="center"/>
          </w:tcPr>
          <w:p w14:paraId="55300EF3">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highlight w:val="none"/>
              </w:rPr>
              <w:t>mg/L</w:t>
            </w:r>
          </w:p>
        </w:tc>
        <w:tc>
          <w:tcPr>
            <w:tcW w:w="573" w:type="pct"/>
            <w:noWrap w:val="0"/>
            <w:vAlign w:val="center"/>
          </w:tcPr>
          <w:p w14:paraId="759ABA51">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0.0003L</w:t>
            </w:r>
          </w:p>
        </w:tc>
        <w:tc>
          <w:tcPr>
            <w:tcW w:w="447" w:type="pct"/>
            <w:noWrap w:val="0"/>
            <w:vAlign w:val="center"/>
          </w:tcPr>
          <w:p w14:paraId="6899E36B">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0.150</w:t>
            </w:r>
          </w:p>
        </w:tc>
        <w:tc>
          <w:tcPr>
            <w:tcW w:w="557" w:type="pct"/>
            <w:noWrap w:val="0"/>
            <w:vAlign w:val="center"/>
          </w:tcPr>
          <w:p w14:paraId="73DE5FE5">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yellow"/>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0.0003L</w:t>
            </w:r>
          </w:p>
        </w:tc>
        <w:tc>
          <w:tcPr>
            <w:tcW w:w="478" w:type="pct"/>
            <w:noWrap w:val="0"/>
            <w:vAlign w:val="center"/>
          </w:tcPr>
          <w:p w14:paraId="28C4A21B">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0.15</w:t>
            </w:r>
          </w:p>
        </w:tc>
        <w:tc>
          <w:tcPr>
            <w:tcW w:w="538" w:type="pct"/>
            <w:noWrap w:val="0"/>
            <w:vAlign w:val="center"/>
          </w:tcPr>
          <w:p w14:paraId="40C3F646">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yellow"/>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0.0003L</w:t>
            </w:r>
          </w:p>
        </w:tc>
        <w:tc>
          <w:tcPr>
            <w:tcW w:w="483" w:type="pct"/>
            <w:noWrap w:val="0"/>
            <w:vAlign w:val="center"/>
          </w:tcPr>
          <w:p w14:paraId="06BCF8B7">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0.150</w:t>
            </w:r>
          </w:p>
        </w:tc>
        <w:tc>
          <w:tcPr>
            <w:tcW w:w="726" w:type="pct"/>
            <w:noWrap w:val="0"/>
            <w:vAlign w:val="center"/>
          </w:tcPr>
          <w:p w14:paraId="72E1A4E1">
            <w:pPr>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≤0.002</w:t>
            </w:r>
            <w:r>
              <w:rPr>
                <w:rFonts w:hint="default" w:ascii="Times New Roman" w:hAnsi="Times New Roman" w:cs="Times New Roman"/>
                <w:color w:val="auto"/>
                <w:sz w:val="18"/>
                <w:szCs w:val="18"/>
                <w:highlight w:val="none"/>
              </w:rPr>
              <w:t>mg/L</w:t>
            </w:r>
          </w:p>
        </w:tc>
      </w:tr>
      <w:tr w14:paraId="70B8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57FEE07F">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kern w:val="0"/>
                <w:sz w:val="18"/>
                <w:szCs w:val="18"/>
                <w:highlight w:val="none"/>
                <w:lang w:val="en-US" w:eastAsia="zh-CN"/>
              </w:rPr>
              <w:t>铁</w:t>
            </w:r>
          </w:p>
        </w:tc>
        <w:tc>
          <w:tcPr>
            <w:tcW w:w="387" w:type="pct"/>
            <w:noWrap w:val="0"/>
            <w:vAlign w:val="center"/>
          </w:tcPr>
          <w:p w14:paraId="0696ECE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mg/L</w:t>
            </w:r>
          </w:p>
        </w:tc>
        <w:tc>
          <w:tcPr>
            <w:tcW w:w="573" w:type="pct"/>
            <w:noWrap w:val="0"/>
            <w:vAlign w:val="center"/>
          </w:tcPr>
          <w:p w14:paraId="322D4CB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0.03L</w:t>
            </w:r>
          </w:p>
        </w:tc>
        <w:tc>
          <w:tcPr>
            <w:tcW w:w="447" w:type="pct"/>
            <w:noWrap w:val="0"/>
            <w:vAlign w:val="center"/>
          </w:tcPr>
          <w:p w14:paraId="7D8B1C58">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0.100</w:t>
            </w:r>
          </w:p>
        </w:tc>
        <w:tc>
          <w:tcPr>
            <w:tcW w:w="557" w:type="pct"/>
            <w:noWrap w:val="0"/>
            <w:vAlign w:val="center"/>
          </w:tcPr>
          <w:p w14:paraId="50A3CCA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0.03L</w:t>
            </w:r>
          </w:p>
        </w:tc>
        <w:tc>
          <w:tcPr>
            <w:tcW w:w="478" w:type="pct"/>
            <w:noWrap w:val="0"/>
            <w:vAlign w:val="center"/>
          </w:tcPr>
          <w:p w14:paraId="5A3D8BE7">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538" w:type="pct"/>
            <w:noWrap w:val="0"/>
            <w:vAlign w:val="center"/>
          </w:tcPr>
          <w:p w14:paraId="67B415CC">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0.03L</w:t>
            </w:r>
          </w:p>
        </w:tc>
        <w:tc>
          <w:tcPr>
            <w:tcW w:w="483" w:type="pct"/>
            <w:noWrap w:val="0"/>
            <w:vAlign w:val="center"/>
          </w:tcPr>
          <w:p w14:paraId="4EE4380F">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0.100</w:t>
            </w:r>
          </w:p>
        </w:tc>
        <w:tc>
          <w:tcPr>
            <w:tcW w:w="726" w:type="pct"/>
            <w:noWrap w:val="0"/>
            <w:vAlign w:val="center"/>
          </w:tcPr>
          <w:p w14:paraId="09DA099C">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0.3</w:t>
            </w:r>
            <w:r>
              <w:rPr>
                <w:rFonts w:hint="default" w:ascii="Times New Roman" w:hAnsi="Times New Roman" w:cs="Times New Roman"/>
                <w:color w:val="auto"/>
                <w:sz w:val="18"/>
                <w:szCs w:val="18"/>
                <w:highlight w:val="none"/>
              </w:rPr>
              <w:t>mg/L</w:t>
            </w:r>
          </w:p>
        </w:tc>
      </w:tr>
      <w:tr w14:paraId="0B27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41252FBC">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kern w:val="0"/>
                <w:sz w:val="18"/>
                <w:szCs w:val="18"/>
                <w:highlight w:val="none"/>
                <w:lang w:val="en-US" w:eastAsia="zh-CN"/>
              </w:rPr>
              <w:t>锰</w:t>
            </w:r>
          </w:p>
        </w:tc>
        <w:tc>
          <w:tcPr>
            <w:tcW w:w="387" w:type="pct"/>
            <w:noWrap w:val="0"/>
            <w:vAlign w:val="center"/>
          </w:tcPr>
          <w:p w14:paraId="782C98D2">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mg/L</w:t>
            </w:r>
          </w:p>
        </w:tc>
        <w:tc>
          <w:tcPr>
            <w:tcW w:w="573" w:type="pct"/>
            <w:noWrap w:val="0"/>
            <w:vAlign w:val="center"/>
          </w:tcPr>
          <w:p w14:paraId="24D3E3C8">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0.01L</w:t>
            </w:r>
          </w:p>
        </w:tc>
        <w:tc>
          <w:tcPr>
            <w:tcW w:w="447" w:type="pct"/>
            <w:noWrap w:val="0"/>
            <w:vAlign w:val="center"/>
          </w:tcPr>
          <w:p w14:paraId="783D269A">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0.100</w:t>
            </w:r>
          </w:p>
        </w:tc>
        <w:tc>
          <w:tcPr>
            <w:tcW w:w="557" w:type="pct"/>
            <w:noWrap w:val="0"/>
            <w:vAlign w:val="center"/>
          </w:tcPr>
          <w:p w14:paraId="72F9BB10">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0.01L</w:t>
            </w:r>
          </w:p>
        </w:tc>
        <w:tc>
          <w:tcPr>
            <w:tcW w:w="478" w:type="pct"/>
            <w:noWrap w:val="0"/>
            <w:vAlign w:val="center"/>
          </w:tcPr>
          <w:p w14:paraId="694709B3">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538" w:type="pct"/>
            <w:noWrap w:val="0"/>
            <w:vAlign w:val="center"/>
          </w:tcPr>
          <w:p w14:paraId="32EF1015">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0.01L</w:t>
            </w:r>
          </w:p>
        </w:tc>
        <w:tc>
          <w:tcPr>
            <w:tcW w:w="483" w:type="pct"/>
            <w:noWrap w:val="0"/>
            <w:vAlign w:val="center"/>
          </w:tcPr>
          <w:p w14:paraId="1ABAF448">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0.100</w:t>
            </w:r>
          </w:p>
        </w:tc>
        <w:tc>
          <w:tcPr>
            <w:tcW w:w="726" w:type="pct"/>
            <w:noWrap w:val="0"/>
            <w:vAlign w:val="center"/>
          </w:tcPr>
          <w:p w14:paraId="01076C0A">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0.10</w:t>
            </w:r>
            <w:r>
              <w:rPr>
                <w:rFonts w:hint="default" w:ascii="Times New Roman" w:hAnsi="Times New Roman" w:cs="Times New Roman"/>
                <w:color w:val="auto"/>
                <w:sz w:val="18"/>
                <w:szCs w:val="18"/>
                <w:highlight w:val="none"/>
              </w:rPr>
              <w:t>mg/L</w:t>
            </w:r>
          </w:p>
        </w:tc>
      </w:tr>
      <w:tr w14:paraId="2E3A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4D490946">
            <w:pPr>
              <w:jc w:val="center"/>
              <w:rPr>
                <w:rFonts w:hint="default" w:ascii="Times New Roman" w:hAnsi="Times New Roman" w:cs="Times New Roman"/>
                <w:bCs/>
                <w:color w:val="auto"/>
                <w:kern w:val="0"/>
                <w:sz w:val="18"/>
                <w:szCs w:val="18"/>
                <w:highlight w:val="none"/>
                <w:lang w:val="en-US" w:eastAsia="zh-CN"/>
              </w:rPr>
            </w:pPr>
            <w:r>
              <w:rPr>
                <w:rFonts w:hint="default" w:ascii="Times New Roman" w:hAnsi="Times New Roman" w:cs="Times New Roman"/>
                <w:bCs/>
                <w:color w:val="auto"/>
                <w:kern w:val="0"/>
                <w:sz w:val="18"/>
                <w:szCs w:val="18"/>
                <w:highlight w:val="none"/>
                <w:lang w:val="en-US" w:eastAsia="zh-CN"/>
              </w:rPr>
              <w:t>铜</w:t>
            </w:r>
          </w:p>
        </w:tc>
        <w:tc>
          <w:tcPr>
            <w:tcW w:w="387" w:type="pct"/>
            <w:noWrap w:val="0"/>
            <w:vAlign w:val="center"/>
          </w:tcPr>
          <w:p w14:paraId="4BAC3EB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μ</w:t>
            </w:r>
            <w:r>
              <w:rPr>
                <w:rFonts w:hint="default" w:ascii="Times New Roman" w:hAnsi="Times New Roman" w:cs="Times New Roman"/>
                <w:color w:val="auto"/>
                <w:sz w:val="18"/>
                <w:szCs w:val="18"/>
              </w:rPr>
              <w:t>g/L</w:t>
            </w:r>
          </w:p>
        </w:tc>
        <w:tc>
          <w:tcPr>
            <w:tcW w:w="573" w:type="pct"/>
            <w:noWrap w:val="0"/>
            <w:vAlign w:val="center"/>
          </w:tcPr>
          <w:p w14:paraId="2759ADA1">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447" w:type="pct"/>
            <w:noWrap w:val="0"/>
            <w:vAlign w:val="center"/>
          </w:tcPr>
          <w:p w14:paraId="4409E30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0.001</w:t>
            </w:r>
          </w:p>
        </w:tc>
        <w:tc>
          <w:tcPr>
            <w:tcW w:w="557" w:type="pct"/>
            <w:noWrap w:val="0"/>
            <w:vAlign w:val="center"/>
          </w:tcPr>
          <w:p w14:paraId="228E9954">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478" w:type="pct"/>
            <w:noWrap w:val="0"/>
            <w:vAlign w:val="center"/>
          </w:tcPr>
          <w:p w14:paraId="3D53DABC">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0.001</w:t>
            </w:r>
          </w:p>
        </w:tc>
        <w:tc>
          <w:tcPr>
            <w:tcW w:w="538" w:type="pct"/>
            <w:noWrap w:val="0"/>
            <w:vAlign w:val="center"/>
          </w:tcPr>
          <w:p w14:paraId="7EB5DA6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483" w:type="pct"/>
            <w:noWrap w:val="0"/>
            <w:vAlign w:val="center"/>
          </w:tcPr>
          <w:p w14:paraId="76022E92">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0.001</w:t>
            </w:r>
          </w:p>
        </w:tc>
        <w:tc>
          <w:tcPr>
            <w:tcW w:w="726" w:type="pct"/>
            <w:noWrap w:val="0"/>
            <w:vAlign w:val="center"/>
          </w:tcPr>
          <w:p w14:paraId="7B2124E5">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mg/L</w:t>
            </w:r>
          </w:p>
        </w:tc>
      </w:tr>
      <w:tr w14:paraId="44D8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3FEB86ED">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bCs/>
                <w:color w:val="auto"/>
                <w:kern w:val="0"/>
                <w:sz w:val="18"/>
                <w:szCs w:val="18"/>
                <w:lang w:eastAsia="zh-CN"/>
              </w:rPr>
              <w:t>镉</w:t>
            </w:r>
          </w:p>
        </w:tc>
        <w:tc>
          <w:tcPr>
            <w:tcW w:w="387" w:type="pct"/>
            <w:noWrap w:val="0"/>
            <w:vAlign w:val="center"/>
          </w:tcPr>
          <w:p w14:paraId="3E2AA0FF">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μ</w:t>
            </w:r>
            <w:r>
              <w:rPr>
                <w:rFonts w:hint="default" w:ascii="Times New Roman" w:hAnsi="Times New Roman" w:cs="Times New Roman"/>
                <w:color w:val="auto"/>
                <w:sz w:val="18"/>
                <w:szCs w:val="18"/>
              </w:rPr>
              <w:t>g/L</w:t>
            </w:r>
          </w:p>
        </w:tc>
        <w:tc>
          <w:tcPr>
            <w:tcW w:w="573" w:type="pct"/>
            <w:noWrap w:val="0"/>
            <w:vAlign w:val="center"/>
          </w:tcPr>
          <w:p w14:paraId="57603FF0">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447" w:type="pct"/>
            <w:noWrap w:val="0"/>
            <w:vAlign w:val="center"/>
          </w:tcPr>
          <w:p w14:paraId="025BD476">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0.200</w:t>
            </w:r>
          </w:p>
        </w:tc>
        <w:tc>
          <w:tcPr>
            <w:tcW w:w="557" w:type="pct"/>
            <w:noWrap w:val="0"/>
            <w:vAlign w:val="center"/>
          </w:tcPr>
          <w:p w14:paraId="2DA0727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478" w:type="pct"/>
            <w:noWrap w:val="0"/>
            <w:vAlign w:val="center"/>
          </w:tcPr>
          <w:p w14:paraId="1042F1D9">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538" w:type="pct"/>
            <w:noWrap w:val="0"/>
            <w:vAlign w:val="center"/>
          </w:tcPr>
          <w:p w14:paraId="0778938D">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483" w:type="pct"/>
            <w:noWrap w:val="0"/>
            <w:vAlign w:val="center"/>
          </w:tcPr>
          <w:p w14:paraId="1EE9D0D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726" w:type="pct"/>
            <w:noWrap w:val="0"/>
            <w:vAlign w:val="center"/>
          </w:tcPr>
          <w:p w14:paraId="77902631">
            <w:pPr>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≤0.005</w:t>
            </w:r>
            <w:r>
              <w:rPr>
                <w:rFonts w:hint="default" w:ascii="Times New Roman" w:hAnsi="Times New Roman" w:cs="Times New Roman"/>
                <w:color w:val="auto"/>
                <w:sz w:val="18"/>
                <w:szCs w:val="18"/>
                <w:highlight w:val="none"/>
              </w:rPr>
              <w:t>mg/L</w:t>
            </w:r>
          </w:p>
        </w:tc>
      </w:tr>
      <w:tr w14:paraId="0719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2DDB3AE7">
            <w:pPr>
              <w:jc w:val="center"/>
              <w:rPr>
                <w:rFonts w:hint="default" w:ascii="Times New Roman" w:hAnsi="Times New Roman"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氨氮</w:t>
            </w:r>
          </w:p>
        </w:tc>
        <w:tc>
          <w:tcPr>
            <w:tcW w:w="387" w:type="pct"/>
            <w:noWrap w:val="0"/>
            <w:vAlign w:val="center"/>
          </w:tcPr>
          <w:p w14:paraId="5C3FD794">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highlight w:val="none"/>
              </w:rPr>
              <w:t>mg/L</w:t>
            </w:r>
          </w:p>
        </w:tc>
        <w:tc>
          <w:tcPr>
            <w:tcW w:w="573" w:type="pct"/>
            <w:noWrap w:val="0"/>
            <w:vAlign w:val="center"/>
          </w:tcPr>
          <w:p w14:paraId="6DA8DBB2">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0.01L</w:t>
            </w:r>
          </w:p>
        </w:tc>
        <w:tc>
          <w:tcPr>
            <w:tcW w:w="447" w:type="pct"/>
            <w:noWrap w:val="0"/>
            <w:vAlign w:val="center"/>
          </w:tcPr>
          <w:p w14:paraId="1A76BBF4">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0.020</w:t>
            </w:r>
          </w:p>
        </w:tc>
        <w:tc>
          <w:tcPr>
            <w:tcW w:w="557" w:type="pct"/>
            <w:noWrap w:val="0"/>
            <w:vAlign w:val="center"/>
          </w:tcPr>
          <w:p w14:paraId="30DED8E9">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0.01L</w:t>
            </w:r>
          </w:p>
        </w:tc>
        <w:tc>
          <w:tcPr>
            <w:tcW w:w="478" w:type="pct"/>
            <w:noWrap w:val="0"/>
            <w:vAlign w:val="center"/>
          </w:tcPr>
          <w:p w14:paraId="71A0451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538" w:type="pct"/>
            <w:noWrap w:val="0"/>
            <w:vAlign w:val="center"/>
          </w:tcPr>
          <w:p w14:paraId="11B99376">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0.01L</w:t>
            </w:r>
          </w:p>
        </w:tc>
        <w:tc>
          <w:tcPr>
            <w:tcW w:w="483" w:type="pct"/>
            <w:noWrap w:val="0"/>
            <w:vAlign w:val="center"/>
          </w:tcPr>
          <w:p w14:paraId="755A1953">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0.020</w:t>
            </w:r>
          </w:p>
        </w:tc>
        <w:tc>
          <w:tcPr>
            <w:tcW w:w="726" w:type="pct"/>
            <w:noWrap w:val="0"/>
            <w:vAlign w:val="center"/>
          </w:tcPr>
          <w:p w14:paraId="666FA79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≤0.50</w:t>
            </w:r>
            <w:r>
              <w:rPr>
                <w:rFonts w:hint="default" w:ascii="Times New Roman" w:hAnsi="Times New Roman" w:cs="Times New Roman"/>
                <w:color w:val="auto"/>
                <w:sz w:val="18"/>
                <w:szCs w:val="18"/>
                <w:highlight w:val="none"/>
              </w:rPr>
              <w:t>mg/L</w:t>
            </w:r>
          </w:p>
        </w:tc>
      </w:tr>
      <w:tr w14:paraId="417D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3B08B2CD">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kern w:val="0"/>
                <w:sz w:val="18"/>
                <w:szCs w:val="18"/>
                <w:highlight w:val="none"/>
                <w:lang w:val="en-US" w:eastAsia="zh-CN"/>
              </w:rPr>
              <w:t>溶解性总固体</w:t>
            </w:r>
          </w:p>
        </w:tc>
        <w:tc>
          <w:tcPr>
            <w:tcW w:w="387" w:type="pct"/>
            <w:noWrap w:val="0"/>
            <w:vAlign w:val="center"/>
          </w:tcPr>
          <w:p w14:paraId="62225457">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mg/L</w:t>
            </w:r>
          </w:p>
        </w:tc>
        <w:tc>
          <w:tcPr>
            <w:tcW w:w="573" w:type="pct"/>
            <w:noWrap w:val="0"/>
            <w:vAlign w:val="center"/>
          </w:tcPr>
          <w:p w14:paraId="32F1EBB1">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697</w:t>
            </w:r>
          </w:p>
        </w:tc>
        <w:tc>
          <w:tcPr>
            <w:tcW w:w="447" w:type="pct"/>
            <w:noWrap w:val="0"/>
            <w:vAlign w:val="center"/>
          </w:tcPr>
          <w:p w14:paraId="5D62D43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0.697</w:t>
            </w:r>
          </w:p>
        </w:tc>
        <w:tc>
          <w:tcPr>
            <w:tcW w:w="557" w:type="pct"/>
            <w:noWrap w:val="0"/>
            <w:vAlign w:val="center"/>
          </w:tcPr>
          <w:p w14:paraId="3B5D11AE">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478" w:type="pct"/>
            <w:noWrap w:val="0"/>
            <w:vAlign w:val="center"/>
          </w:tcPr>
          <w:p w14:paraId="1AFE694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0.135</w:t>
            </w:r>
          </w:p>
        </w:tc>
        <w:tc>
          <w:tcPr>
            <w:tcW w:w="538" w:type="pct"/>
            <w:noWrap w:val="0"/>
            <w:vAlign w:val="center"/>
          </w:tcPr>
          <w:p w14:paraId="7A4A5AC9">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483" w:type="pct"/>
            <w:noWrap w:val="0"/>
            <w:vAlign w:val="center"/>
          </w:tcPr>
          <w:p w14:paraId="4C20DDB4">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0.121</w:t>
            </w:r>
          </w:p>
        </w:tc>
        <w:tc>
          <w:tcPr>
            <w:tcW w:w="726" w:type="pct"/>
            <w:noWrap w:val="0"/>
            <w:vAlign w:val="center"/>
          </w:tcPr>
          <w:p w14:paraId="7694389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≤1000</w:t>
            </w:r>
            <w:r>
              <w:rPr>
                <w:rFonts w:hint="default" w:ascii="Times New Roman" w:hAnsi="Times New Roman" w:cs="Times New Roman"/>
                <w:color w:val="auto"/>
                <w:sz w:val="18"/>
                <w:szCs w:val="18"/>
                <w:highlight w:val="none"/>
              </w:rPr>
              <w:t>mg/L</w:t>
            </w:r>
          </w:p>
        </w:tc>
      </w:tr>
      <w:tr w14:paraId="7042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18A85331">
            <w:pPr>
              <w:jc w:val="center"/>
              <w:rPr>
                <w:rFonts w:hint="default" w:ascii="Times New Roman" w:hAnsi="Times New Roman" w:eastAsia="宋体" w:cs="Times New Roman"/>
                <w:bCs/>
                <w:color w:val="auto"/>
                <w:kern w:val="0"/>
                <w:sz w:val="18"/>
                <w:szCs w:val="18"/>
                <w:highlight w:val="none"/>
                <w:lang w:val="en-US" w:eastAsia="zh-CN"/>
              </w:rPr>
            </w:pPr>
            <w:r>
              <w:rPr>
                <w:rFonts w:hint="default" w:ascii="Times New Roman" w:hAnsi="Times New Roman" w:eastAsia="宋体" w:cs="Times New Roman"/>
                <w:bCs/>
                <w:color w:val="auto"/>
                <w:kern w:val="0"/>
                <w:sz w:val="18"/>
                <w:szCs w:val="18"/>
                <w:highlight w:val="none"/>
                <w:lang w:val="en-US" w:eastAsia="zh-CN"/>
              </w:rPr>
              <w:t>锌</w:t>
            </w:r>
          </w:p>
        </w:tc>
        <w:tc>
          <w:tcPr>
            <w:tcW w:w="387" w:type="pct"/>
            <w:noWrap w:val="0"/>
            <w:vAlign w:val="center"/>
          </w:tcPr>
          <w:p w14:paraId="5CDD52E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108E3EFE">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0.05L</w:t>
            </w:r>
          </w:p>
        </w:tc>
        <w:tc>
          <w:tcPr>
            <w:tcW w:w="447" w:type="pct"/>
            <w:noWrap w:val="0"/>
            <w:vAlign w:val="center"/>
          </w:tcPr>
          <w:p w14:paraId="0C36E1D3">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0.050</w:t>
            </w:r>
          </w:p>
        </w:tc>
        <w:tc>
          <w:tcPr>
            <w:tcW w:w="557" w:type="pct"/>
            <w:noWrap w:val="0"/>
            <w:vAlign w:val="center"/>
          </w:tcPr>
          <w:p w14:paraId="5D1AB5A4">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0.05L</w:t>
            </w:r>
          </w:p>
        </w:tc>
        <w:tc>
          <w:tcPr>
            <w:tcW w:w="478" w:type="pct"/>
            <w:noWrap w:val="0"/>
            <w:vAlign w:val="center"/>
          </w:tcPr>
          <w:p w14:paraId="089A678F">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538" w:type="pct"/>
            <w:noWrap w:val="0"/>
            <w:vAlign w:val="center"/>
          </w:tcPr>
          <w:p w14:paraId="4DECDA1B">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0.05L</w:t>
            </w:r>
          </w:p>
        </w:tc>
        <w:tc>
          <w:tcPr>
            <w:tcW w:w="483" w:type="pct"/>
            <w:noWrap w:val="0"/>
            <w:vAlign w:val="center"/>
          </w:tcPr>
          <w:p w14:paraId="2FE519D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0.050</w:t>
            </w:r>
          </w:p>
        </w:tc>
        <w:tc>
          <w:tcPr>
            <w:tcW w:w="726" w:type="pct"/>
            <w:noWrap w:val="0"/>
            <w:vAlign w:val="center"/>
          </w:tcPr>
          <w:p w14:paraId="2CB2E46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mg/L</w:t>
            </w:r>
          </w:p>
        </w:tc>
      </w:tr>
      <w:tr w14:paraId="1535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216E5E9C">
            <w:pPr>
              <w:jc w:val="center"/>
              <w:rPr>
                <w:rFonts w:hint="default" w:ascii="Times New Roman" w:hAnsi="Times New Roman" w:eastAsia="宋体" w:cs="Times New Roman"/>
                <w:bCs/>
                <w:color w:val="auto"/>
                <w:kern w:val="0"/>
                <w:sz w:val="18"/>
                <w:szCs w:val="18"/>
                <w:highlight w:val="none"/>
                <w:lang w:val="en-US" w:eastAsia="zh-CN"/>
              </w:rPr>
            </w:pPr>
            <w:r>
              <w:rPr>
                <w:rFonts w:hint="default" w:ascii="Times New Roman" w:hAnsi="Times New Roman" w:eastAsia="宋体" w:cs="Times New Roman"/>
                <w:bCs/>
                <w:color w:val="auto"/>
                <w:kern w:val="0"/>
                <w:sz w:val="18"/>
                <w:szCs w:val="18"/>
                <w:highlight w:val="none"/>
                <w:lang w:val="en-US" w:eastAsia="zh-CN"/>
              </w:rPr>
              <w:t>铝</w:t>
            </w:r>
          </w:p>
        </w:tc>
        <w:tc>
          <w:tcPr>
            <w:tcW w:w="387" w:type="pct"/>
            <w:noWrap w:val="0"/>
            <w:vAlign w:val="center"/>
          </w:tcPr>
          <w:p w14:paraId="1A76504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57723D5B">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0.009L</w:t>
            </w:r>
          </w:p>
        </w:tc>
        <w:tc>
          <w:tcPr>
            <w:tcW w:w="447" w:type="pct"/>
            <w:noWrap w:val="0"/>
            <w:vAlign w:val="center"/>
          </w:tcPr>
          <w:p w14:paraId="34A07112">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0.045</w:t>
            </w:r>
          </w:p>
        </w:tc>
        <w:tc>
          <w:tcPr>
            <w:tcW w:w="557" w:type="pct"/>
            <w:noWrap w:val="0"/>
            <w:vAlign w:val="center"/>
          </w:tcPr>
          <w:p w14:paraId="4C8984DF">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0.009L</w:t>
            </w:r>
          </w:p>
        </w:tc>
        <w:tc>
          <w:tcPr>
            <w:tcW w:w="478" w:type="pct"/>
            <w:noWrap w:val="0"/>
            <w:vAlign w:val="center"/>
          </w:tcPr>
          <w:p w14:paraId="2833199A">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0.045</w:t>
            </w:r>
          </w:p>
        </w:tc>
        <w:tc>
          <w:tcPr>
            <w:tcW w:w="538" w:type="pct"/>
            <w:noWrap w:val="0"/>
            <w:vAlign w:val="center"/>
          </w:tcPr>
          <w:p w14:paraId="167080DB">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0.009L</w:t>
            </w:r>
          </w:p>
        </w:tc>
        <w:tc>
          <w:tcPr>
            <w:tcW w:w="483" w:type="pct"/>
            <w:noWrap w:val="0"/>
            <w:vAlign w:val="center"/>
          </w:tcPr>
          <w:p w14:paraId="440970BE">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0.045</w:t>
            </w:r>
          </w:p>
        </w:tc>
        <w:tc>
          <w:tcPr>
            <w:tcW w:w="726" w:type="pct"/>
            <w:noWrap w:val="0"/>
            <w:vAlign w:val="center"/>
          </w:tcPr>
          <w:p w14:paraId="19F985F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0.2</w:t>
            </w:r>
            <w:r>
              <w:rPr>
                <w:rFonts w:hint="default" w:ascii="Times New Roman" w:hAnsi="Times New Roman" w:cs="Times New Roman"/>
                <w:color w:val="auto"/>
                <w:sz w:val="18"/>
                <w:szCs w:val="18"/>
                <w:highlight w:val="none"/>
              </w:rPr>
              <w:t>mg/L</w:t>
            </w:r>
          </w:p>
        </w:tc>
      </w:tr>
      <w:tr w14:paraId="70A8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17020ED4">
            <w:pPr>
              <w:jc w:val="center"/>
              <w:rPr>
                <w:rFonts w:hint="default" w:ascii="Times New Roman" w:hAnsi="Times New Roman" w:eastAsia="宋体" w:cs="Times New Roman"/>
                <w:bCs/>
                <w:color w:val="auto"/>
                <w:kern w:val="0"/>
                <w:sz w:val="18"/>
                <w:szCs w:val="18"/>
                <w:highlight w:val="none"/>
                <w:lang w:val="en-US" w:eastAsia="zh-CN"/>
              </w:rPr>
            </w:pPr>
            <w:r>
              <w:rPr>
                <w:rFonts w:hint="default" w:ascii="Times New Roman" w:hAnsi="Times New Roman" w:eastAsia="宋体" w:cs="Times New Roman"/>
                <w:bCs/>
                <w:color w:val="auto"/>
                <w:kern w:val="0"/>
                <w:sz w:val="18"/>
                <w:szCs w:val="18"/>
                <w:highlight w:val="none"/>
                <w:lang w:val="en-US" w:eastAsia="zh-CN"/>
              </w:rPr>
              <w:t>镍</w:t>
            </w:r>
          </w:p>
        </w:tc>
        <w:tc>
          <w:tcPr>
            <w:tcW w:w="387" w:type="pct"/>
            <w:noWrap w:val="0"/>
            <w:vAlign w:val="center"/>
          </w:tcPr>
          <w:p w14:paraId="77853C0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1CED1872">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0.007L</w:t>
            </w:r>
          </w:p>
        </w:tc>
        <w:tc>
          <w:tcPr>
            <w:tcW w:w="447" w:type="pct"/>
            <w:noWrap w:val="0"/>
            <w:vAlign w:val="center"/>
          </w:tcPr>
          <w:p w14:paraId="30F2F555">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0.350</w:t>
            </w:r>
          </w:p>
        </w:tc>
        <w:tc>
          <w:tcPr>
            <w:tcW w:w="557" w:type="pct"/>
            <w:noWrap w:val="0"/>
            <w:vAlign w:val="center"/>
          </w:tcPr>
          <w:p w14:paraId="3A057764">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0.007L</w:t>
            </w:r>
          </w:p>
        </w:tc>
        <w:tc>
          <w:tcPr>
            <w:tcW w:w="478" w:type="pct"/>
            <w:noWrap w:val="0"/>
            <w:vAlign w:val="center"/>
          </w:tcPr>
          <w:p w14:paraId="0578E0DE">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0.35</w:t>
            </w:r>
          </w:p>
        </w:tc>
        <w:tc>
          <w:tcPr>
            <w:tcW w:w="538" w:type="pct"/>
            <w:noWrap w:val="0"/>
            <w:vAlign w:val="center"/>
          </w:tcPr>
          <w:p w14:paraId="6640C5CA">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0.007L</w:t>
            </w:r>
          </w:p>
        </w:tc>
        <w:tc>
          <w:tcPr>
            <w:tcW w:w="483" w:type="pct"/>
            <w:noWrap w:val="0"/>
            <w:vAlign w:val="center"/>
          </w:tcPr>
          <w:p w14:paraId="5766CF99">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0.350</w:t>
            </w:r>
          </w:p>
        </w:tc>
        <w:tc>
          <w:tcPr>
            <w:tcW w:w="726" w:type="pct"/>
            <w:noWrap w:val="0"/>
            <w:vAlign w:val="center"/>
          </w:tcPr>
          <w:p w14:paraId="2CC51074">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0.02</w:t>
            </w:r>
            <w:r>
              <w:rPr>
                <w:rFonts w:hint="default" w:ascii="Times New Roman" w:hAnsi="Times New Roman" w:cs="Times New Roman"/>
                <w:color w:val="auto"/>
                <w:sz w:val="18"/>
                <w:szCs w:val="18"/>
                <w:highlight w:val="none"/>
              </w:rPr>
              <w:t>mg/L</w:t>
            </w:r>
          </w:p>
        </w:tc>
      </w:tr>
      <w:tr w14:paraId="4C77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02609A95">
            <w:pPr>
              <w:jc w:val="center"/>
              <w:rPr>
                <w:rFonts w:hint="default" w:ascii="Times New Roman" w:hAnsi="Times New Roman" w:eastAsia="宋体" w:cs="Times New Roman"/>
                <w:bCs/>
                <w:color w:val="auto"/>
                <w:kern w:val="0"/>
                <w:sz w:val="18"/>
                <w:szCs w:val="18"/>
                <w:highlight w:val="none"/>
                <w:lang w:val="en-US" w:eastAsia="zh-CN"/>
              </w:rPr>
            </w:pPr>
            <w:r>
              <w:rPr>
                <w:rFonts w:hint="default" w:ascii="Times New Roman" w:hAnsi="Times New Roman" w:eastAsia="宋体" w:cs="Times New Roman"/>
                <w:bCs/>
                <w:color w:val="auto"/>
                <w:kern w:val="0"/>
                <w:sz w:val="18"/>
                <w:szCs w:val="18"/>
                <w:highlight w:val="none"/>
                <w:lang w:val="en-US" w:eastAsia="zh-CN"/>
              </w:rPr>
              <w:t>总硬度</w:t>
            </w:r>
          </w:p>
        </w:tc>
        <w:tc>
          <w:tcPr>
            <w:tcW w:w="387" w:type="pct"/>
            <w:noWrap w:val="0"/>
            <w:vAlign w:val="center"/>
          </w:tcPr>
          <w:p w14:paraId="05B8A88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67BB99B0">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447" w:type="pct"/>
            <w:noWrap w:val="0"/>
            <w:vAlign w:val="center"/>
          </w:tcPr>
          <w:p w14:paraId="21CED476">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0.147</w:t>
            </w:r>
          </w:p>
        </w:tc>
        <w:tc>
          <w:tcPr>
            <w:tcW w:w="557" w:type="pct"/>
            <w:noWrap w:val="0"/>
            <w:vAlign w:val="center"/>
          </w:tcPr>
          <w:p w14:paraId="52D7459B">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478" w:type="pct"/>
            <w:noWrap w:val="0"/>
            <w:vAlign w:val="center"/>
          </w:tcPr>
          <w:p w14:paraId="38784C14">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0.12</w:t>
            </w:r>
          </w:p>
        </w:tc>
        <w:tc>
          <w:tcPr>
            <w:tcW w:w="538" w:type="pct"/>
            <w:noWrap w:val="0"/>
            <w:vAlign w:val="center"/>
          </w:tcPr>
          <w:p w14:paraId="53800CFC">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483" w:type="pct"/>
            <w:noWrap w:val="0"/>
            <w:vAlign w:val="center"/>
          </w:tcPr>
          <w:p w14:paraId="708675C9">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0.118</w:t>
            </w:r>
          </w:p>
        </w:tc>
        <w:tc>
          <w:tcPr>
            <w:tcW w:w="726" w:type="pct"/>
            <w:noWrap w:val="0"/>
            <w:vAlign w:val="center"/>
          </w:tcPr>
          <w:p w14:paraId="15EBD88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≤450</w:t>
            </w:r>
            <w:r>
              <w:rPr>
                <w:rFonts w:hint="default" w:ascii="Times New Roman" w:hAnsi="Times New Roman" w:cs="Times New Roman"/>
                <w:color w:val="auto"/>
                <w:sz w:val="18"/>
                <w:szCs w:val="18"/>
                <w:highlight w:val="none"/>
              </w:rPr>
              <w:t>mg/L</w:t>
            </w:r>
          </w:p>
        </w:tc>
      </w:tr>
      <w:tr w14:paraId="50CE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4F4785A2">
            <w:pPr>
              <w:spacing w:line="288"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碳酸根离子</w:t>
            </w:r>
          </w:p>
        </w:tc>
        <w:tc>
          <w:tcPr>
            <w:tcW w:w="387" w:type="pct"/>
            <w:noWrap w:val="0"/>
            <w:vAlign w:val="center"/>
          </w:tcPr>
          <w:p w14:paraId="5CAB531D">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highlight w:val="none"/>
              </w:rPr>
              <w:t>mg/L</w:t>
            </w:r>
          </w:p>
        </w:tc>
        <w:tc>
          <w:tcPr>
            <w:tcW w:w="573" w:type="pct"/>
            <w:noWrap w:val="0"/>
            <w:vAlign w:val="center"/>
          </w:tcPr>
          <w:p w14:paraId="21833C14">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5L</w:t>
            </w:r>
          </w:p>
        </w:tc>
        <w:tc>
          <w:tcPr>
            <w:tcW w:w="447" w:type="pct"/>
            <w:noWrap w:val="0"/>
            <w:vAlign w:val="center"/>
          </w:tcPr>
          <w:p w14:paraId="402B4E18">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557" w:type="pct"/>
            <w:noWrap w:val="0"/>
            <w:vAlign w:val="center"/>
          </w:tcPr>
          <w:p w14:paraId="3C8CB859">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5L</w:t>
            </w:r>
          </w:p>
        </w:tc>
        <w:tc>
          <w:tcPr>
            <w:tcW w:w="478" w:type="pct"/>
            <w:noWrap w:val="0"/>
            <w:vAlign w:val="center"/>
          </w:tcPr>
          <w:p w14:paraId="3C62CD81">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38" w:type="pct"/>
            <w:noWrap w:val="0"/>
            <w:vAlign w:val="center"/>
          </w:tcPr>
          <w:p w14:paraId="7B6E581C">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5L</w:t>
            </w:r>
          </w:p>
        </w:tc>
        <w:tc>
          <w:tcPr>
            <w:tcW w:w="483" w:type="pct"/>
            <w:noWrap w:val="0"/>
            <w:vAlign w:val="center"/>
          </w:tcPr>
          <w:p w14:paraId="1DFA5181">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26" w:type="pct"/>
            <w:noWrap w:val="0"/>
            <w:vAlign w:val="center"/>
          </w:tcPr>
          <w:p w14:paraId="53DE1F3F">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14:paraId="09FB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72C94E48">
            <w:pPr>
              <w:spacing w:line="288"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碳酸氢根离子</w:t>
            </w:r>
          </w:p>
        </w:tc>
        <w:tc>
          <w:tcPr>
            <w:tcW w:w="387" w:type="pct"/>
            <w:noWrap w:val="0"/>
            <w:vAlign w:val="center"/>
          </w:tcPr>
          <w:p w14:paraId="1237CC0C">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highlight w:val="none"/>
              </w:rPr>
              <w:t>mg/L</w:t>
            </w:r>
          </w:p>
        </w:tc>
        <w:tc>
          <w:tcPr>
            <w:tcW w:w="573" w:type="pct"/>
            <w:noWrap w:val="0"/>
            <w:vAlign w:val="center"/>
          </w:tcPr>
          <w:p w14:paraId="046C67A6">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447" w:type="pct"/>
            <w:noWrap w:val="0"/>
            <w:vAlign w:val="center"/>
          </w:tcPr>
          <w:p w14:paraId="70568879">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557" w:type="pct"/>
            <w:noWrap w:val="0"/>
            <w:vAlign w:val="center"/>
          </w:tcPr>
          <w:p w14:paraId="53723412">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78" w:type="pct"/>
            <w:noWrap w:val="0"/>
            <w:vAlign w:val="center"/>
          </w:tcPr>
          <w:p w14:paraId="314267CA">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38" w:type="pct"/>
            <w:noWrap w:val="0"/>
            <w:vAlign w:val="center"/>
          </w:tcPr>
          <w:p w14:paraId="594DB509">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483" w:type="pct"/>
            <w:noWrap w:val="0"/>
            <w:vAlign w:val="center"/>
          </w:tcPr>
          <w:p w14:paraId="5D674A75">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26" w:type="pct"/>
            <w:noWrap w:val="0"/>
            <w:vAlign w:val="center"/>
          </w:tcPr>
          <w:p w14:paraId="6CDDF075">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14:paraId="5FBF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5F15CA5A">
            <w:pPr>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钾</w:t>
            </w:r>
            <w:r>
              <w:rPr>
                <w:rFonts w:hint="default" w:ascii="Times New Roman" w:hAnsi="Times New Roman" w:cs="Times New Roman"/>
                <w:color w:val="auto"/>
                <w:sz w:val="18"/>
                <w:szCs w:val="18"/>
                <w:lang w:eastAsia="zh-CN"/>
              </w:rPr>
              <w:t>离子</w:t>
            </w:r>
          </w:p>
        </w:tc>
        <w:tc>
          <w:tcPr>
            <w:tcW w:w="387" w:type="pct"/>
            <w:noWrap w:val="0"/>
            <w:vAlign w:val="center"/>
          </w:tcPr>
          <w:p w14:paraId="23DBF0BF">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highlight w:val="none"/>
              </w:rPr>
              <w:t>mg/L</w:t>
            </w:r>
          </w:p>
        </w:tc>
        <w:tc>
          <w:tcPr>
            <w:tcW w:w="573" w:type="pct"/>
            <w:noWrap w:val="0"/>
            <w:vAlign w:val="center"/>
          </w:tcPr>
          <w:p w14:paraId="7EBB682B">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3.01</w:t>
            </w:r>
          </w:p>
        </w:tc>
        <w:tc>
          <w:tcPr>
            <w:tcW w:w="447" w:type="pct"/>
            <w:noWrap w:val="0"/>
            <w:vAlign w:val="center"/>
          </w:tcPr>
          <w:p w14:paraId="6F8683D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557" w:type="pct"/>
            <w:noWrap w:val="0"/>
            <w:vAlign w:val="center"/>
          </w:tcPr>
          <w:p w14:paraId="611C35C8">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1.77</w:t>
            </w:r>
          </w:p>
        </w:tc>
        <w:tc>
          <w:tcPr>
            <w:tcW w:w="478" w:type="pct"/>
            <w:noWrap w:val="0"/>
            <w:vAlign w:val="center"/>
          </w:tcPr>
          <w:p w14:paraId="78F2A50A">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38" w:type="pct"/>
            <w:noWrap w:val="0"/>
            <w:vAlign w:val="center"/>
          </w:tcPr>
          <w:p w14:paraId="23D99768">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483" w:type="pct"/>
            <w:noWrap w:val="0"/>
            <w:vAlign w:val="center"/>
          </w:tcPr>
          <w:p w14:paraId="4D75FA71">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26" w:type="pct"/>
            <w:noWrap w:val="0"/>
            <w:vAlign w:val="center"/>
          </w:tcPr>
          <w:p w14:paraId="5D82F034">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14:paraId="2DE4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02F7285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钠</w:t>
            </w:r>
            <w:r>
              <w:rPr>
                <w:rFonts w:hint="default" w:ascii="Times New Roman" w:hAnsi="Times New Roman" w:cs="Times New Roman"/>
                <w:color w:val="auto"/>
                <w:sz w:val="18"/>
                <w:szCs w:val="18"/>
                <w:lang w:eastAsia="zh-CN"/>
              </w:rPr>
              <w:t>离子</w:t>
            </w:r>
          </w:p>
        </w:tc>
        <w:tc>
          <w:tcPr>
            <w:tcW w:w="387" w:type="pct"/>
            <w:noWrap w:val="0"/>
            <w:vAlign w:val="center"/>
          </w:tcPr>
          <w:p w14:paraId="5B590F8F">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highlight w:val="none"/>
              </w:rPr>
              <w:t>mg/L</w:t>
            </w:r>
          </w:p>
        </w:tc>
        <w:tc>
          <w:tcPr>
            <w:tcW w:w="573" w:type="pct"/>
            <w:noWrap w:val="0"/>
            <w:vAlign w:val="center"/>
          </w:tcPr>
          <w:p w14:paraId="5F0DF3D4">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194</w:t>
            </w:r>
          </w:p>
        </w:tc>
        <w:tc>
          <w:tcPr>
            <w:tcW w:w="447" w:type="pct"/>
            <w:noWrap w:val="0"/>
            <w:vAlign w:val="center"/>
          </w:tcPr>
          <w:p w14:paraId="3A58369C">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0.970</w:t>
            </w:r>
          </w:p>
        </w:tc>
        <w:tc>
          <w:tcPr>
            <w:tcW w:w="557" w:type="pct"/>
            <w:noWrap w:val="0"/>
            <w:vAlign w:val="center"/>
          </w:tcPr>
          <w:p w14:paraId="4B0783D6">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17.4</w:t>
            </w:r>
          </w:p>
        </w:tc>
        <w:tc>
          <w:tcPr>
            <w:tcW w:w="478" w:type="pct"/>
            <w:noWrap w:val="0"/>
            <w:vAlign w:val="center"/>
          </w:tcPr>
          <w:p w14:paraId="13F78FD0">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0.087</w:t>
            </w:r>
          </w:p>
        </w:tc>
        <w:tc>
          <w:tcPr>
            <w:tcW w:w="538" w:type="pct"/>
            <w:noWrap w:val="0"/>
            <w:vAlign w:val="center"/>
          </w:tcPr>
          <w:p w14:paraId="4A9BF2C9">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483" w:type="pct"/>
            <w:noWrap w:val="0"/>
            <w:vAlign w:val="center"/>
          </w:tcPr>
          <w:p w14:paraId="23EE816D">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0.072</w:t>
            </w:r>
          </w:p>
        </w:tc>
        <w:tc>
          <w:tcPr>
            <w:tcW w:w="726" w:type="pct"/>
            <w:noWrap w:val="0"/>
            <w:vAlign w:val="center"/>
          </w:tcPr>
          <w:p w14:paraId="143953A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200</w:t>
            </w:r>
            <w:r>
              <w:rPr>
                <w:rFonts w:hint="default" w:ascii="Times New Roman" w:hAnsi="Times New Roman" w:cs="Times New Roman"/>
                <w:color w:val="auto"/>
                <w:sz w:val="18"/>
                <w:szCs w:val="18"/>
                <w:highlight w:val="none"/>
              </w:rPr>
              <w:t>mg/L</w:t>
            </w:r>
          </w:p>
        </w:tc>
      </w:tr>
      <w:tr w14:paraId="584D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1508607B">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镁</w:t>
            </w:r>
            <w:r>
              <w:rPr>
                <w:rFonts w:hint="default" w:ascii="Times New Roman" w:hAnsi="Times New Roman" w:cs="Times New Roman"/>
                <w:color w:val="auto"/>
                <w:sz w:val="18"/>
                <w:szCs w:val="18"/>
                <w:lang w:eastAsia="zh-CN"/>
              </w:rPr>
              <w:t>离子</w:t>
            </w:r>
          </w:p>
        </w:tc>
        <w:tc>
          <w:tcPr>
            <w:tcW w:w="387" w:type="pct"/>
            <w:noWrap w:val="0"/>
            <w:vAlign w:val="center"/>
          </w:tcPr>
          <w:p w14:paraId="0D1A8BAE">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highlight w:val="none"/>
              </w:rPr>
              <w:t>mg/L</w:t>
            </w:r>
          </w:p>
        </w:tc>
        <w:tc>
          <w:tcPr>
            <w:tcW w:w="573" w:type="pct"/>
            <w:noWrap w:val="0"/>
            <w:vAlign w:val="center"/>
          </w:tcPr>
          <w:p w14:paraId="0EC36646">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447" w:type="pct"/>
            <w:noWrap w:val="0"/>
            <w:vAlign w:val="center"/>
          </w:tcPr>
          <w:p w14:paraId="6CC0EA45">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57" w:type="pct"/>
            <w:noWrap w:val="0"/>
            <w:vAlign w:val="center"/>
          </w:tcPr>
          <w:p w14:paraId="4ED9560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1.69</w:t>
            </w:r>
          </w:p>
        </w:tc>
        <w:tc>
          <w:tcPr>
            <w:tcW w:w="478" w:type="pct"/>
            <w:noWrap w:val="0"/>
            <w:vAlign w:val="center"/>
          </w:tcPr>
          <w:p w14:paraId="6A922625">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38" w:type="pct"/>
            <w:noWrap w:val="0"/>
            <w:vAlign w:val="center"/>
          </w:tcPr>
          <w:p w14:paraId="55136084">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1.65</w:t>
            </w:r>
          </w:p>
        </w:tc>
        <w:tc>
          <w:tcPr>
            <w:tcW w:w="483" w:type="pct"/>
            <w:noWrap w:val="0"/>
            <w:vAlign w:val="center"/>
          </w:tcPr>
          <w:p w14:paraId="5AB5B61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26" w:type="pct"/>
            <w:noWrap w:val="0"/>
            <w:vAlign w:val="center"/>
          </w:tcPr>
          <w:p w14:paraId="14CF507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14:paraId="561A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41C47DE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钙</w:t>
            </w:r>
            <w:r>
              <w:rPr>
                <w:rFonts w:hint="default" w:ascii="Times New Roman" w:hAnsi="Times New Roman" w:cs="Times New Roman"/>
                <w:color w:val="auto"/>
                <w:sz w:val="18"/>
                <w:szCs w:val="18"/>
                <w:lang w:eastAsia="zh-CN"/>
              </w:rPr>
              <w:t>离子</w:t>
            </w:r>
          </w:p>
        </w:tc>
        <w:tc>
          <w:tcPr>
            <w:tcW w:w="387" w:type="pct"/>
            <w:noWrap w:val="0"/>
            <w:vAlign w:val="center"/>
          </w:tcPr>
          <w:p w14:paraId="4FB4B1D0">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highlight w:val="none"/>
              </w:rPr>
              <w:t>mg/L</w:t>
            </w:r>
          </w:p>
        </w:tc>
        <w:tc>
          <w:tcPr>
            <w:tcW w:w="573" w:type="pct"/>
            <w:noWrap w:val="0"/>
            <w:vAlign w:val="center"/>
          </w:tcPr>
          <w:p w14:paraId="7722196B">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17.3</w:t>
            </w:r>
          </w:p>
        </w:tc>
        <w:tc>
          <w:tcPr>
            <w:tcW w:w="447" w:type="pct"/>
            <w:noWrap w:val="0"/>
            <w:vAlign w:val="center"/>
          </w:tcPr>
          <w:p w14:paraId="551A3E56">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557" w:type="pct"/>
            <w:noWrap w:val="0"/>
            <w:vAlign w:val="center"/>
          </w:tcPr>
          <w:p w14:paraId="5A123B90">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18.6</w:t>
            </w:r>
          </w:p>
        </w:tc>
        <w:tc>
          <w:tcPr>
            <w:tcW w:w="478" w:type="pct"/>
            <w:noWrap w:val="0"/>
            <w:vAlign w:val="center"/>
          </w:tcPr>
          <w:p w14:paraId="67A7D130">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38" w:type="pct"/>
            <w:noWrap w:val="0"/>
            <w:vAlign w:val="center"/>
          </w:tcPr>
          <w:p w14:paraId="69F4D13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483" w:type="pct"/>
            <w:noWrap w:val="0"/>
            <w:vAlign w:val="center"/>
          </w:tcPr>
          <w:p w14:paraId="7CC48381">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26" w:type="pct"/>
            <w:noWrap w:val="0"/>
            <w:vAlign w:val="center"/>
          </w:tcPr>
          <w:p w14:paraId="4CDC8795">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14:paraId="313B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1EDCE415">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bCs/>
                <w:color w:val="auto"/>
                <w:kern w:val="0"/>
                <w:sz w:val="18"/>
                <w:szCs w:val="18"/>
                <w:lang w:eastAsia="zh-CN"/>
              </w:rPr>
              <w:t>砷</w:t>
            </w:r>
          </w:p>
        </w:tc>
        <w:tc>
          <w:tcPr>
            <w:tcW w:w="387" w:type="pct"/>
            <w:noWrap w:val="0"/>
            <w:vAlign w:val="center"/>
          </w:tcPr>
          <w:p w14:paraId="568CFC29">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μ</w:t>
            </w:r>
            <w:r>
              <w:rPr>
                <w:rFonts w:hint="default" w:ascii="Times New Roman" w:hAnsi="Times New Roman" w:cs="Times New Roman"/>
                <w:color w:val="auto"/>
                <w:sz w:val="18"/>
                <w:szCs w:val="18"/>
              </w:rPr>
              <w:t>g/L</w:t>
            </w:r>
          </w:p>
        </w:tc>
        <w:tc>
          <w:tcPr>
            <w:tcW w:w="573" w:type="pct"/>
            <w:noWrap w:val="0"/>
            <w:vAlign w:val="center"/>
          </w:tcPr>
          <w:p w14:paraId="12BFB4FA">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0.8</w:t>
            </w:r>
          </w:p>
        </w:tc>
        <w:tc>
          <w:tcPr>
            <w:tcW w:w="447" w:type="pct"/>
            <w:noWrap w:val="0"/>
            <w:vAlign w:val="center"/>
          </w:tcPr>
          <w:p w14:paraId="2851A2C2">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0.080</w:t>
            </w:r>
          </w:p>
        </w:tc>
        <w:tc>
          <w:tcPr>
            <w:tcW w:w="557" w:type="pct"/>
            <w:noWrap w:val="0"/>
            <w:vAlign w:val="center"/>
          </w:tcPr>
          <w:p w14:paraId="1CEE47AD">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0.6</w:t>
            </w:r>
          </w:p>
        </w:tc>
        <w:tc>
          <w:tcPr>
            <w:tcW w:w="478" w:type="pct"/>
            <w:noWrap w:val="0"/>
            <w:vAlign w:val="center"/>
          </w:tcPr>
          <w:p w14:paraId="2C51F0C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0.06</w:t>
            </w:r>
          </w:p>
        </w:tc>
        <w:tc>
          <w:tcPr>
            <w:tcW w:w="538" w:type="pct"/>
            <w:noWrap w:val="0"/>
            <w:vAlign w:val="center"/>
          </w:tcPr>
          <w:p w14:paraId="2797A01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0.9</w:t>
            </w:r>
          </w:p>
        </w:tc>
        <w:tc>
          <w:tcPr>
            <w:tcW w:w="483" w:type="pct"/>
            <w:noWrap w:val="0"/>
            <w:vAlign w:val="center"/>
          </w:tcPr>
          <w:p w14:paraId="0109C9F2">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0.090</w:t>
            </w:r>
          </w:p>
        </w:tc>
        <w:tc>
          <w:tcPr>
            <w:tcW w:w="726" w:type="pct"/>
            <w:noWrap w:val="0"/>
            <w:vAlign w:val="center"/>
          </w:tcPr>
          <w:p w14:paraId="3803EE0C">
            <w:pPr>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≤0.01</w:t>
            </w:r>
            <w:r>
              <w:rPr>
                <w:rFonts w:hint="default" w:ascii="Times New Roman" w:hAnsi="Times New Roman" w:cs="Times New Roman"/>
                <w:color w:val="auto"/>
                <w:sz w:val="18"/>
                <w:szCs w:val="18"/>
                <w:highlight w:val="none"/>
              </w:rPr>
              <w:t>mg/L</w:t>
            </w:r>
          </w:p>
        </w:tc>
      </w:tr>
      <w:tr w14:paraId="30F8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548B2410">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bCs/>
                <w:color w:val="auto"/>
                <w:kern w:val="0"/>
                <w:sz w:val="18"/>
                <w:szCs w:val="18"/>
                <w:lang w:eastAsia="zh-CN"/>
              </w:rPr>
              <w:t>汞</w:t>
            </w:r>
          </w:p>
        </w:tc>
        <w:tc>
          <w:tcPr>
            <w:tcW w:w="387" w:type="pct"/>
            <w:noWrap w:val="0"/>
            <w:vAlign w:val="center"/>
          </w:tcPr>
          <w:p w14:paraId="6143D7FE">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μ</w:t>
            </w:r>
            <w:r>
              <w:rPr>
                <w:rFonts w:hint="default" w:ascii="Times New Roman" w:hAnsi="Times New Roman" w:cs="Times New Roman"/>
                <w:color w:val="auto"/>
                <w:sz w:val="18"/>
                <w:szCs w:val="18"/>
              </w:rPr>
              <w:t>g/L</w:t>
            </w:r>
          </w:p>
        </w:tc>
        <w:tc>
          <w:tcPr>
            <w:tcW w:w="573" w:type="pct"/>
            <w:noWrap w:val="0"/>
            <w:vAlign w:val="center"/>
          </w:tcPr>
          <w:p w14:paraId="61A6471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0.04L</w:t>
            </w:r>
          </w:p>
        </w:tc>
        <w:tc>
          <w:tcPr>
            <w:tcW w:w="447" w:type="pct"/>
            <w:noWrap w:val="0"/>
            <w:vAlign w:val="center"/>
          </w:tcPr>
          <w:p w14:paraId="77FE8686">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0.040</w:t>
            </w:r>
          </w:p>
        </w:tc>
        <w:tc>
          <w:tcPr>
            <w:tcW w:w="557" w:type="pct"/>
            <w:noWrap w:val="0"/>
            <w:vAlign w:val="center"/>
          </w:tcPr>
          <w:p w14:paraId="3B19AABD">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0.04L</w:t>
            </w:r>
          </w:p>
        </w:tc>
        <w:tc>
          <w:tcPr>
            <w:tcW w:w="478" w:type="pct"/>
            <w:noWrap w:val="0"/>
            <w:vAlign w:val="center"/>
          </w:tcPr>
          <w:p w14:paraId="18CFB7A8">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0.04</w:t>
            </w:r>
          </w:p>
        </w:tc>
        <w:tc>
          <w:tcPr>
            <w:tcW w:w="538" w:type="pct"/>
            <w:noWrap w:val="0"/>
            <w:vAlign w:val="center"/>
          </w:tcPr>
          <w:p w14:paraId="32DCDA91">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0.04L</w:t>
            </w:r>
          </w:p>
        </w:tc>
        <w:tc>
          <w:tcPr>
            <w:tcW w:w="483" w:type="pct"/>
            <w:noWrap w:val="0"/>
            <w:vAlign w:val="center"/>
          </w:tcPr>
          <w:p w14:paraId="34D61F0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0.040</w:t>
            </w:r>
          </w:p>
        </w:tc>
        <w:tc>
          <w:tcPr>
            <w:tcW w:w="726" w:type="pct"/>
            <w:noWrap w:val="0"/>
            <w:vAlign w:val="center"/>
          </w:tcPr>
          <w:p w14:paraId="25305805">
            <w:pPr>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≤0.001</w:t>
            </w:r>
            <w:r>
              <w:rPr>
                <w:rFonts w:hint="default" w:ascii="Times New Roman" w:hAnsi="Times New Roman" w:cs="Times New Roman"/>
                <w:color w:val="auto"/>
                <w:sz w:val="18"/>
                <w:szCs w:val="18"/>
                <w:highlight w:val="none"/>
              </w:rPr>
              <w:t>mg/L</w:t>
            </w:r>
          </w:p>
        </w:tc>
      </w:tr>
      <w:tr w14:paraId="08E9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5D115684">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bCs/>
                <w:color w:val="auto"/>
                <w:kern w:val="0"/>
                <w:sz w:val="18"/>
                <w:szCs w:val="18"/>
                <w:lang w:eastAsia="zh-CN"/>
              </w:rPr>
              <w:t>铅</w:t>
            </w:r>
          </w:p>
        </w:tc>
        <w:tc>
          <w:tcPr>
            <w:tcW w:w="387" w:type="pct"/>
            <w:noWrap w:val="0"/>
            <w:vAlign w:val="center"/>
          </w:tcPr>
          <w:p w14:paraId="710DA963">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μ</w:t>
            </w:r>
            <w:r>
              <w:rPr>
                <w:rFonts w:hint="default" w:ascii="Times New Roman" w:hAnsi="Times New Roman" w:cs="Times New Roman"/>
                <w:color w:val="auto"/>
                <w:sz w:val="18"/>
                <w:szCs w:val="18"/>
              </w:rPr>
              <w:t>g/L</w:t>
            </w:r>
          </w:p>
        </w:tc>
        <w:tc>
          <w:tcPr>
            <w:tcW w:w="573" w:type="pct"/>
            <w:noWrap w:val="0"/>
            <w:vAlign w:val="center"/>
          </w:tcPr>
          <w:p w14:paraId="7C45C16B">
            <w:pPr>
              <w:keepNext w:val="0"/>
              <w:keepLines w:val="0"/>
              <w:widowControl/>
              <w:suppressLineNumbers w:val="0"/>
              <w:jc w:val="center"/>
              <w:textAlignment w:val="center"/>
              <w:rPr>
                <w:rFonts w:hint="default" w:ascii="Times New Roman" w:hAnsi="Times New Roman" w:cs="Times New Roman"/>
                <w:color w:val="auto"/>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1.24L</w:t>
            </w:r>
          </w:p>
        </w:tc>
        <w:tc>
          <w:tcPr>
            <w:tcW w:w="447" w:type="pct"/>
            <w:noWrap w:val="0"/>
            <w:vAlign w:val="center"/>
          </w:tcPr>
          <w:p w14:paraId="3A5AC9EB">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0.124</w:t>
            </w:r>
          </w:p>
        </w:tc>
        <w:tc>
          <w:tcPr>
            <w:tcW w:w="557" w:type="pct"/>
            <w:noWrap w:val="0"/>
            <w:vAlign w:val="center"/>
          </w:tcPr>
          <w:p w14:paraId="1659575A">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1.24L</w:t>
            </w:r>
          </w:p>
        </w:tc>
        <w:tc>
          <w:tcPr>
            <w:tcW w:w="478" w:type="pct"/>
            <w:noWrap w:val="0"/>
            <w:vAlign w:val="center"/>
          </w:tcPr>
          <w:p w14:paraId="0DDE6CF9">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0.124</w:t>
            </w:r>
          </w:p>
        </w:tc>
        <w:tc>
          <w:tcPr>
            <w:tcW w:w="538" w:type="pct"/>
            <w:noWrap w:val="0"/>
            <w:vAlign w:val="center"/>
          </w:tcPr>
          <w:p w14:paraId="50F958A4">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1.24L</w:t>
            </w:r>
          </w:p>
        </w:tc>
        <w:tc>
          <w:tcPr>
            <w:tcW w:w="483" w:type="pct"/>
            <w:noWrap w:val="0"/>
            <w:vAlign w:val="center"/>
          </w:tcPr>
          <w:p w14:paraId="6AEF0CFC">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0.124</w:t>
            </w:r>
          </w:p>
        </w:tc>
        <w:tc>
          <w:tcPr>
            <w:tcW w:w="726" w:type="pct"/>
            <w:noWrap w:val="0"/>
            <w:vAlign w:val="center"/>
          </w:tcPr>
          <w:p w14:paraId="358653D6">
            <w:pPr>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≤0.01</w:t>
            </w:r>
            <w:r>
              <w:rPr>
                <w:rFonts w:hint="default" w:ascii="Times New Roman" w:hAnsi="Times New Roman" w:cs="Times New Roman"/>
                <w:color w:val="auto"/>
                <w:sz w:val="18"/>
                <w:szCs w:val="18"/>
                <w:highlight w:val="none"/>
              </w:rPr>
              <w:t>mg/L</w:t>
            </w:r>
          </w:p>
        </w:tc>
      </w:tr>
      <w:tr w14:paraId="1DC7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0071113F">
            <w:pPr>
              <w:jc w:val="center"/>
              <w:rPr>
                <w:rFonts w:hint="default" w:ascii="Times New Roman" w:hAnsi="Times New Roman"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氰化物</w:t>
            </w:r>
          </w:p>
        </w:tc>
        <w:tc>
          <w:tcPr>
            <w:tcW w:w="387" w:type="pct"/>
            <w:noWrap w:val="0"/>
            <w:vAlign w:val="center"/>
          </w:tcPr>
          <w:p w14:paraId="4D1E7509">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highlight w:val="none"/>
              </w:rPr>
              <w:t>mg/L</w:t>
            </w:r>
          </w:p>
        </w:tc>
        <w:tc>
          <w:tcPr>
            <w:tcW w:w="573" w:type="pct"/>
            <w:noWrap w:val="0"/>
            <w:vAlign w:val="center"/>
          </w:tcPr>
          <w:p w14:paraId="5161D9DE">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0.002L</w:t>
            </w:r>
          </w:p>
        </w:tc>
        <w:tc>
          <w:tcPr>
            <w:tcW w:w="447" w:type="pct"/>
            <w:noWrap w:val="0"/>
            <w:vAlign w:val="center"/>
          </w:tcPr>
          <w:p w14:paraId="67D5D779">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0.040</w:t>
            </w:r>
          </w:p>
        </w:tc>
        <w:tc>
          <w:tcPr>
            <w:tcW w:w="557" w:type="pct"/>
            <w:noWrap w:val="0"/>
            <w:vAlign w:val="center"/>
          </w:tcPr>
          <w:p w14:paraId="443F37EE">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0.002L</w:t>
            </w:r>
          </w:p>
        </w:tc>
        <w:tc>
          <w:tcPr>
            <w:tcW w:w="478" w:type="pct"/>
            <w:noWrap w:val="0"/>
            <w:vAlign w:val="center"/>
          </w:tcPr>
          <w:p w14:paraId="42A7A75B">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w:t>
            </w:r>
          </w:p>
        </w:tc>
        <w:tc>
          <w:tcPr>
            <w:tcW w:w="538" w:type="pct"/>
            <w:noWrap w:val="0"/>
            <w:vAlign w:val="center"/>
          </w:tcPr>
          <w:p w14:paraId="1C8DA7B0">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0.002L</w:t>
            </w:r>
          </w:p>
        </w:tc>
        <w:tc>
          <w:tcPr>
            <w:tcW w:w="483" w:type="pct"/>
            <w:noWrap w:val="0"/>
            <w:vAlign w:val="center"/>
          </w:tcPr>
          <w:p w14:paraId="7851800C">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0.040</w:t>
            </w:r>
          </w:p>
        </w:tc>
        <w:tc>
          <w:tcPr>
            <w:tcW w:w="726" w:type="pct"/>
            <w:noWrap w:val="0"/>
            <w:vAlign w:val="center"/>
          </w:tcPr>
          <w:p w14:paraId="1B19FD04">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0.05</w:t>
            </w:r>
            <w:r>
              <w:rPr>
                <w:rFonts w:hint="default" w:ascii="Times New Roman" w:hAnsi="Times New Roman" w:cs="Times New Roman"/>
                <w:color w:val="auto"/>
                <w:sz w:val="18"/>
                <w:szCs w:val="18"/>
                <w:highlight w:val="none"/>
              </w:rPr>
              <w:t>mg/L</w:t>
            </w:r>
          </w:p>
        </w:tc>
      </w:tr>
      <w:tr w14:paraId="3520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681B1E6A">
            <w:pPr>
              <w:jc w:val="center"/>
              <w:rPr>
                <w:rFonts w:hint="default" w:ascii="Times New Roman" w:hAnsi="Times New Roman"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六价铬</w:t>
            </w:r>
          </w:p>
        </w:tc>
        <w:tc>
          <w:tcPr>
            <w:tcW w:w="387" w:type="pct"/>
            <w:noWrap w:val="0"/>
            <w:vAlign w:val="center"/>
          </w:tcPr>
          <w:p w14:paraId="10BF68C0">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573" w:type="pct"/>
            <w:noWrap w:val="0"/>
            <w:vAlign w:val="center"/>
          </w:tcPr>
          <w:p w14:paraId="21723349">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0.004L</w:t>
            </w:r>
          </w:p>
        </w:tc>
        <w:tc>
          <w:tcPr>
            <w:tcW w:w="447" w:type="pct"/>
            <w:noWrap w:val="0"/>
            <w:vAlign w:val="center"/>
          </w:tcPr>
          <w:p w14:paraId="09589799">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0.080</w:t>
            </w:r>
          </w:p>
        </w:tc>
        <w:tc>
          <w:tcPr>
            <w:tcW w:w="557" w:type="pct"/>
            <w:noWrap w:val="0"/>
            <w:vAlign w:val="center"/>
          </w:tcPr>
          <w:p w14:paraId="565E7AF4">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0.004L</w:t>
            </w:r>
          </w:p>
        </w:tc>
        <w:tc>
          <w:tcPr>
            <w:tcW w:w="478" w:type="pct"/>
            <w:noWrap w:val="0"/>
            <w:vAlign w:val="center"/>
          </w:tcPr>
          <w:p w14:paraId="13F71BA3">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0.08</w:t>
            </w:r>
          </w:p>
        </w:tc>
        <w:tc>
          <w:tcPr>
            <w:tcW w:w="538" w:type="pct"/>
            <w:noWrap w:val="0"/>
            <w:vAlign w:val="center"/>
          </w:tcPr>
          <w:p w14:paraId="0B8A456A">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0.004L</w:t>
            </w:r>
          </w:p>
        </w:tc>
        <w:tc>
          <w:tcPr>
            <w:tcW w:w="483" w:type="pct"/>
            <w:noWrap w:val="0"/>
            <w:vAlign w:val="center"/>
          </w:tcPr>
          <w:p w14:paraId="358754F9">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0.080</w:t>
            </w:r>
          </w:p>
        </w:tc>
        <w:tc>
          <w:tcPr>
            <w:tcW w:w="726" w:type="pct"/>
            <w:noWrap w:val="0"/>
            <w:vAlign w:val="center"/>
          </w:tcPr>
          <w:p w14:paraId="716D0514">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r>
              <w:rPr>
                <w:rFonts w:hint="default" w:ascii="Times New Roman" w:hAnsi="Times New Roman" w:cs="Times New Roman"/>
                <w:color w:val="auto"/>
                <w:sz w:val="18"/>
                <w:szCs w:val="18"/>
                <w:highlight w:val="none"/>
              </w:rPr>
              <w:t>mg/L</w:t>
            </w:r>
          </w:p>
        </w:tc>
      </w:tr>
      <w:tr w14:paraId="4288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07" w:type="pct"/>
            <w:noWrap w:val="0"/>
            <w:vAlign w:val="center"/>
          </w:tcPr>
          <w:p w14:paraId="065118DD">
            <w:pPr>
              <w:jc w:val="center"/>
              <w:rPr>
                <w:rFonts w:hint="default" w:ascii="Times New Roman" w:hAnsi="Times New Roman"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硫化物</w:t>
            </w:r>
          </w:p>
        </w:tc>
        <w:tc>
          <w:tcPr>
            <w:tcW w:w="387" w:type="pct"/>
            <w:noWrap w:val="0"/>
            <w:vAlign w:val="center"/>
          </w:tcPr>
          <w:p w14:paraId="76FFADE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mg/L</w:t>
            </w:r>
          </w:p>
        </w:tc>
        <w:tc>
          <w:tcPr>
            <w:tcW w:w="573" w:type="pct"/>
            <w:noWrap w:val="0"/>
            <w:vAlign w:val="center"/>
          </w:tcPr>
          <w:p w14:paraId="15AEB78D">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0.003L</w:t>
            </w:r>
          </w:p>
        </w:tc>
        <w:tc>
          <w:tcPr>
            <w:tcW w:w="447" w:type="pct"/>
            <w:noWrap w:val="0"/>
            <w:vAlign w:val="center"/>
          </w:tcPr>
          <w:p w14:paraId="748343ED">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0.150</w:t>
            </w:r>
          </w:p>
        </w:tc>
        <w:tc>
          <w:tcPr>
            <w:tcW w:w="557" w:type="pct"/>
            <w:noWrap w:val="0"/>
            <w:vAlign w:val="center"/>
          </w:tcPr>
          <w:p w14:paraId="2491420D">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0.003L</w:t>
            </w:r>
          </w:p>
        </w:tc>
        <w:tc>
          <w:tcPr>
            <w:tcW w:w="478" w:type="pct"/>
            <w:noWrap w:val="0"/>
            <w:vAlign w:val="center"/>
          </w:tcPr>
          <w:p w14:paraId="59BF701D">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0.15</w:t>
            </w:r>
          </w:p>
        </w:tc>
        <w:tc>
          <w:tcPr>
            <w:tcW w:w="538" w:type="pct"/>
            <w:noWrap w:val="0"/>
            <w:vAlign w:val="center"/>
          </w:tcPr>
          <w:p w14:paraId="61CBF98F">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0.003L</w:t>
            </w:r>
          </w:p>
        </w:tc>
        <w:tc>
          <w:tcPr>
            <w:tcW w:w="483" w:type="pct"/>
            <w:noWrap w:val="0"/>
            <w:vAlign w:val="center"/>
          </w:tcPr>
          <w:p w14:paraId="48914C9A">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0.150</w:t>
            </w:r>
          </w:p>
        </w:tc>
        <w:tc>
          <w:tcPr>
            <w:tcW w:w="726" w:type="pct"/>
            <w:noWrap w:val="0"/>
            <w:vAlign w:val="center"/>
          </w:tcPr>
          <w:p w14:paraId="1A8EA24E">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w:t>
            </w:r>
            <w:r>
              <w:rPr>
                <w:rFonts w:hint="default" w:ascii="Times New Roman" w:hAnsi="Times New Roman" w:cs="Times New Roman"/>
                <w:color w:val="auto"/>
                <w:sz w:val="18"/>
                <w:szCs w:val="18"/>
                <w:highlight w:val="none"/>
              </w:rPr>
              <w:t>mg/L</w:t>
            </w:r>
          </w:p>
        </w:tc>
      </w:tr>
    </w:tbl>
    <w:p w14:paraId="263EFCA5">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从上表的结果表明：</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个监测点地下水水质监测因子标准指数均小于1，均能满足《地下水质量标准》（GB/T14848-2017）中Ⅲ类标准限值要求。</w:t>
      </w:r>
    </w:p>
    <w:p w14:paraId="2FD16E70">
      <w:pPr>
        <w:pStyle w:val="16"/>
        <w:bidi w:val="0"/>
        <w:rPr>
          <w:rFonts w:hint="default" w:ascii="Times New Roman" w:hAnsi="Times New Roman" w:cs="Times New Roman"/>
          <w:color w:val="auto"/>
          <w:lang w:val="en-US"/>
        </w:rPr>
        <w:sectPr>
          <w:footerReference r:id="rId12" w:type="default"/>
          <w:pgSz w:w="11910" w:h="16840"/>
          <w:pgMar w:top="1440" w:right="1797" w:bottom="1417" w:left="1797" w:header="896" w:footer="1236" w:gutter="0"/>
          <w:pgBorders>
            <w:top w:val="none" w:sz="0" w:space="0"/>
            <w:left w:val="none" w:sz="0" w:space="0"/>
            <w:bottom w:val="none" w:sz="0" w:space="0"/>
            <w:right w:val="none" w:sz="0" w:space="0"/>
          </w:pgBorders>
          <w:pgNumType w:fmt="decimal"/>
          <w:cols w:space="720" w:num="1"/>
          <w:rtlGutter w:val="0"/>
          <w:docGrid w:linePitch="0" w:charSpace="0"/>
        </w:sectPr>
      </w:pPr>
    </w:p>
    <w:p w14:paraId="18069C58">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声环境现状调查与评价</w:t>
      </w:r>
    </w:p>
    <w:p w14:paraId="0CF930E9">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本项目</w:t>
      </w:r>
      <w:r>
        <w:rPr>
          <w:rFonts w:hint="default" w:ascii="Times New Roman" w:hAnsi="Times New Roman" w:cs="Times New Roman"/>
          <w:color w:val="auto"/>
          <w:lang w:val="en-US" w:eastAsia="zh-CN"/>
        </w:rPr>
        <w:t>噪声</w:t>
      </w:r>
      <w:r>
        <w:rPr>
          <w:rFonts w:hint="default" w:ascii="Times New Roman" w:hAnsi="Times New Roman" w:cs="Times New Roman"/>
          <w:color w:val="auto"/>
          <w:lang w:val="en-US"/>
        </w:rPr>
        <w:t>委托</w:t>
      </w:r>
      <w:r>
        <w:rPr>
          <w:rFonts w:hint="default" w:ascii="Times New Roman" w:hAnsi="Times New Roman" w:cs="Times New Roman"/>
          <w:color w:val="auto"/>
          <w:lang w:val="en-US" w:eastAsia="zh-CN"/>
        </w:rPr>
        <w:t>新疆锡水金山环境科技有限公司</w:t>
      </w:r>
      <w:r>
        <w:rPr>
          <w:rFonts w:hint="default" w:ascii="Times New Roman" w:hAnsi="Times New Roman" w:cs="Times New Roman"/>
          <w:color w:val="auto"/>
          <w:lang w:val="en-US"/>
        </w:rPr>
        <w:t>进行监测。</w:t>
      </w:r>
    </w:p>
    <w:p w14:paraId="0D0A1900">
      <w:pPr>
        <w:pStyle w:val="73"/>
        <w:keepNext w:val="0"/>
        <w:keepLines w:val="0"/>
        <w:pageBreakBefore w:val="0"/>
        <w:widowControl w:val="0"/>
        <w:tabs>
          <w:tab w:val="left" w:pos="883"/>
        </w:tabs>
        <w:kinsoku/>
        <w:wordWrap/>
        <w:overflowPunct/>
        <w:topLinePunct w:val="0"/>
        <w:autoSpaceDE w:val="0"/>
        <w:autoSpaceDN w:val="0"/>
        <w:bidi w:val="0"/>
        <w:adjustRightInd/>
        <w:snapToGrid/>
        <w:spacing w:line="360" w:lineRule="auto"/>
        <w:ind w:left="0" w:leftChars="0" w:right="-11" w:rightChars="0" w:firstLine="480" w:firstLineChars="20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（1）监测布点</w:t>
      </w:r>
    </w:p>
    <w:p w14:paraId="2D1FBD7D">
      <w:pPr>
        <w:pStyle w:val="16"/>
        <w:bidi w:val="0"/>
        <w:rPr>
          <w:rFonts w:hint="default" w:ascii="Times New Roman" w:hAnsi="Times New Roman" w:cs="Times New Roman"/>
          <w:color w:val="auto"/>
        </w:rPr>
      </w:pPr>
      <w:r>
        <w:rPr>
          <w:rFonts w:hint="default" w:ascii="Times New Roman" w:hAnsi="Times New Roman" w:cs="Times New Roman"/>
          <w:color w:val="auto"/>
        </w:rPr>
        <w:t>根据项目区域的实际情况以及项目的平面布置情况，布设</w:t>
      </w:r>
      <w:r>
        <w:rPr>
          <w:rFonts w:hint="default" w:ascii="Times New Roman" w:hAnsi="Times New Roman" w:cs="Times New Roman"/>
          <w:color w:val="auto"/>
          <w:lang w:val="en-US" w:eastAsia="zh-CN"/>
        </w:rPr>
        <w:t>4</w:t>
      </w:r>
      <w:r>
        <w:rPr>
          <w:rFonts w:hint="default" w:ascii="Times New Roman" w:hAnsi="Times New Roman" w:cs="Times New Roman"/>
          <w:color w:val="auto"/>
        </w:rPr>
        <w:t>个监测点</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养殖场厂界四周各设置一个监测点</w:t>
      </w:r>
      <w:r>
        <w:rPr>
          <w:rFonts w:hint="default" w:ascii="Times New Roman" w:hAnsi="Times New Roman" w:cs="Times New Roman"/>
          <w:color w:val="auto"/>
          <w:lang w:eastAsia="zh-CN"/>
        </w:rPr>
        <w:t>）</w:t>
      </w:r>
      <w:r>
        <w:rPr>
          <w:rFonts w:hint="default" w:ascii="Times New Roman" w:hAnsi="Times New Roman" w:cs="Times New Roman"/>
          <w:color w:val="auto"/>
        </w:rPr>
        <w:t>进行声环境质量现状的监测，监测点的位置详见</w:t>
      </w:r>
      <w:r>
        <w:rPr>
          <w:rFonts w:hint="default" w:ascii="Times New Roman" w:hAnsi="Times New Roman" w:cs="Times New Roman"/>
          <w:color w:val="auto"/>
          <w:lang w:val="en-US"/>
        </w:rPr>
        <w:t>附图</w:t>
      </w:r>
      <w:r>
        <w:rPr>
          <w:rFonts w:hint="default" w:ascii="Times New Roman" w:hAnsi="Times New Roman" w:cs="Times New Roman"/>
          <w:color w:val="auto"/>
          <w:lang w:val="en-US" w:eastAsia="zh-CN"/>
        </w:rPr>
        <w:t>4-1项目监测布点图。</w:t>
      </w:r>
    </w:p>
    <w:p w14:paraId="6AD1A449">
      <w:pPr>
        <w:pStyle w:val="73"/>
        <w:keepNext w:val="0"/>
        <w:keepLines w:val="0"/>
        <w:pageBreakBefore w:val="0"/>
        <w:widowControl w:val="0"/>
        <w:tabs>
          <w:tab w:val="left" w:pos="883"/>
        </w:tabs>
        <w:kinsoku/>
        <w:wordWrap/>
        <w:overflowPunct/>
        <w:topLinePunct w:val="0"/>
        <w:autoSpaceDE w:val="0"/>
        <w:autoSpaceDN w:val="0"/>
        <w:bidi w:val="0"/>
        <w:adjustRightInd/>
        <w:snapToGrid/>
        <w:spacing w:line="360" w:lineRule="auto"/>
        <w:ind w:left="0" w:leftChars="0" w:right="-11" w:rightChars="0" w:firstLine="480" w:firstLineChars="20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（2）监测时段及监测方法</w:t>
      </w:r>
    </w:p>
    <w:p w14:paraId="562A2DB4">
      <w:pPr>
        <w:pStyle w:val="16"/>
        <w:bidi w:val="0"/>
        <w:rPr>
          <w:rFonts w:hint="default" w:ascii="Times New Roman" w:hAnsi="Times New Roman" w:cs="Times New Roman"/>
          <w:color w:val="auto"/>
        </w:rPr>
      </w:pPr>
      <w:r>
        <w:rPr>
          <w:rFonts w:hint="default" w:ascii="Times New Roman" w:hAnsi="Times New Roman" w:cs="Times New Roman"/>
          <w:color w:val="auto"/>
        </w:rPr>
        <w:t>监测时间为20</w:t>
      </w: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5</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w:t>
      </w:r>
      <w:r>
        <w:rPr>
          <w:rFonts w:hint="default" w:ascii="Times New Roman" w:hAnsi="Times New Roman" w:cs="Times New Roman"/>
          <w:color w:val="auto"/>
          <w:lang w:val="en-US" w:eastAsia="zh-CN"/>
        </w:rPr>
        <w:t>18</w:t>
      </w:r>
      <w:r>
        <w:rPr>
          <w:rFonts w:hint="default" w:ascii="Times New Roman" w:hAnsi="Times New Roman" w:cs="Times New Roman"/>
          <w:color w:val="auto"/>
        </w:rPr>
        <w:t>日，分昼间和夜间两时段监测。</w:t>
      </w:r>
    </w:p>
    <w:p w14:paraId="6E7F4E89">
      <w:pPr>
        <w:pStyle w:val="73"/>
        <w:keepNext w:val="0"/>
        <w:keepLines w:val="0"/>
        <w:pageBreakBefore w:val="0"/>
        <w:widowControl w:val="0"/>
        <w:tabs>
          <w:tab w:val="left" w:pos="883"/>
        </w:tabs>
        <w:kinsoku/>
        <w:wordWrap/>
        <w:overflowPunct/>
        <w:topLinePunct w:val="0"/>
        <w:autoSpaceDE w:val="0"/>
        <w:autoSpaceDN w:val="0"/>
        <w:bidi w:val="0"/>
        <w:adjustRightInd/>
        <w:snapToGrid/>
        <w:spacing w:line="360" w:lineRule="auto"/>
        <w:ind w:left="0" w:leftChars="0" w:right="-11" w:rightChars="0" w:firstLine="480" w:firstLineChars="20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（3）现状监测结果</w:t>
      </w:r>
    </w:p>
    <w:p w14:paraId="53168735">
      <w:pPr>
        <w:pStyle w:val="16"/>
        <w:bidi w:val="0"/>
        <w:rPr>
          <w:rFonts w:hint="default" w:ascii="Times New Roman" w:hAnsi="Times New Roman" w:cs="Times New Roman"/>
          <w:color w:val="auto"/>
        </w:rPr>
      </w:pPr>
      <w:r>
        <w:rPr>
          <w:rFonts w:hint="default" w:ascii="Times New Roman" w:hAnsi="Times New Roman" w:cs="Times New Roman"/>
          <w:color w:val="auto"/>
        </w:rPr>
        <w:t>环境现状监测结果见表</w:t>
      </w:r>
      <w:r>
        <w:rPr>
          <w:rFonts w:hint="default" w:ascii="Times New Roman" w:hAnsi="Times New Roman" w:cs="Times New Roman"/>
          <w:color w:val="auto"/>
          <w:lang w:val="en-US"/>
        </w:rPr>
        <w:t>4.2-</w:t>
      </w:r>
      <w:r>
        <w:rPr>
          <w:rFonts w:hint="default" w:ascii="Times New Roman" w:hAnsi="Times New Roman" w:cs="Times New Roman"/>
          <w:color w:val="auto"/>
          <w:lang w:val="en-US" w:eastAsia="zh-CN"/>
        </w:rPr>
        <w:t>7</w:t>
      </w:r>
      <w:r>
        <w:rPr>
          <w:rFonts w:hint="default" w:ascii="Times New Roman" w:hAnsi="Times New Roman" w:cs="Times New Roman"/>
          <w:color w:val="auto"/>
        </w:rPr>
        <w:t>。</w:t>
      </w:r>
    </w:p>
    <w:p w14:paraId="13555DE5">
      <w:pPr>
        <w:pStyle w:val="14"/>
        <w:bidi w:val="0"/>
        <w:jc w:val="center"/>
        <w:rPr>
          <w:rFonts w:hint="default" w:ascii="Times New Roman" w:hAnsi="Times New Roman" w:cs="Times New Roman"/>
          <w:b/>
          <w:bCs/>
          <w:color w:val="auto"/>
          <w:sz w:val="21"/>
          <w:szCs w:val="21"/>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
          <w:bCs/>
          <w:color w:val="auto"/>
          <w:sz w:val="21"/>
          <w:szCs w:val="21"/>
        </w:rPr>
        <w:t>声环境质量现状监测结果</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t>单位：db</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A)</w:t>
      </w:r>
    </w:p>
    <w:tbl>
      <w:tblPr>
        <w:tblStyle w:val="33"/>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07"/>
        <w:gridCol w:w="1544"/>
        <w:gridCol w:w="1330"/>
        <w:gridCol w:w="1593"/>
        <w:gridCol w:w="1289"/>
      </w:tblGrid>
      <w:tr w14:paraId="740B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558" w:type="pct"/>
            <w:noWrap w:val="0"/>
            <w:vAlign w:val="top"/>
          </w:tcPr>
          <w:p w14:paraId="03B14583">
            <w:pPr>
              <w:pStyle w:val="69"/>
              <w:spacing w:before="15" w:line="264"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监测点</w:t>
            </w:r>
          </w:p>
        </w:tc>
        <w:tc>
          <w:tcPr>
            <w:tcW w:w="923" w:type="pct"/>
            <w:noWrap w:val="0"/>
            <w:vAlign w:val="top"/>
          </w:tcPr>
          <w:p w14:paraId="04523CE1">
            <w:pPr>
              <w:pStyle w:val="69"/>
              <w:spacing w:before="15" w:line="264"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昼间监测值</w:t>
            </w:r>
          </w:p>
        </w:tc>
        <w:tc>
          <w:tcPr>
            <w:tcW w:w="795" w:type="pct"/>
            <w:noWrap w:val="0"/>
            <w:vAlign w:val="top"/>
          </w:tcPr>
          <w:p w14:paraId="3FA33C16">
            <w:pPr>
              <w:pStyle w:val="69"/>
              <w:spacing w:before="15" w:line="264"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标准</w:t>
            </w:r>
          </w:p>
        </w:tc>
        <w:tc>
          <w:tcPr>
            <w:tcW w:w="952" w:type="pct"/>
            <w:noWrap w:val="0"/>
            <w:vAlign w:val="top"/>
          </w:tcPr>
          <w:p w14:paraId="1E1E8FF5">
            <w:pPr>
              <w:pStyle w:val="69"/>
              <w:spacing w:before="15" w:line="264"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夜间监测值</w:t>
            </w:r>
          </w:p>
        </w:tc>
        <w:tc>
          <w:tcPr>
            <w:tcW w:w="770" w:type="pct"/>
            <w:noWrap w:val="0"/>
            <w:vAlign w:val="top"/>
          </w:tcPr>
          <w:p w14:paraId="68A4890E">
            <w:pPr>
              <w:pStyle w:val="69"/>
              <w:spacing w:before="15" w:line="264" w:lineRule="exact"/>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标准</w:t>
            </w:r>
          </w:p>
        </w:tc>
      </w:tr>
      <w:tr w14:paraId="7E12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1558" w:type="pct"/>
            <w:noWrap w:val="0"/>
            <w:vAlign w:val="top"/>
          </w:tcPr>
          <w:p w14:paraId="37E2E4CA">
            <w:pPr>
              <w:pStyle w:val="69"/>
              <w:spacing w:before="15" w:line="254"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eastAsia="Times New Roman" w:cs="Times New Roman"/>
                <w:color w:val="auto"/>
                <w:sz w:val="21"/>
                <w:highlight w:val="none"/>
              </w:rPr>
              <w:t>1</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养殖场</w:t>
            </w:r>
            <w:r>
              <w:rPr>
                <w:rFonts w:hint="default" w:ascii="Times New Roman" w:hAnsi="Times New Roman" w:cs="Times New Roman"/>
                <w:color w:val="auto"/>
                <w:sz w:val="21"/>
                <w:highlight w:val="none"/>
              </w:rPr>
              <w:t>项目区东侧</w:t>
            </w:r>
          </w:p>
        </w:tc>
        <w:tc>
          <w:tcPr>
            <w:tcW w:w="923" w:type="pct"/>
            <w:noWrap w:val="0"/>
            <w:vAlign w:val="center"/>
          </w:tcPr>
          <w:p w14:paraId="64D8B4BC">
            <w:pPr>
              <w:widowControl/>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kern w:val="0"/>
                <w:szCs w:val="21"/>
                <w:lang w:val="en-US" w:eastAsia="zh-CN" w:bidi="ar"/>
              </w:rPr>
              <w:t>42</w:t>
            </w:r>
          </w:p>
        </w:tc>
        <w:tc>
          <w:tcPr>
            <w:tcW w:w="795" w:type="pct"/>
            <w:vMerge w:val="restart"/>
            <w:noWrap w:val="0"/>
            <w:vAlign w:val="center"/>
          </w:tcPr>
          <w:p w14:paraId="0D39B8E8">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60</w:t>
            </w:r>
          </w:p>
        </w:tc>
        <w:tc>
          <w:tcPr>
            <w:tcW w:w="952" w:type="pct"/>
            <w:noWrap w:val="0"/>
            <w:vAlign w:val="center"/>
          </w:tcPr>
          <w:p w14:paraId="5E165467">
            <w:pPr>
              <w:widowControl/>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kern w:val="0"/>
                <w:szCs w:val="21"/>
                <w:lang w:val="en-US" w:eastAsia="zh-CN" w:bidi="ar"/>
              </w:rPr>
              <w:t>38</w:t>
            </w:r>
          </w:p>
        </w:tc>
        <w:tc>
          <w:tcPr>
            <w:tcW w:w="770" w:type="pct"/>
            <w:vMerge w:val="restart"/>
            <w:noWrap w:val="0"/>
            <w:vAlign w:val="center"/>
          </w:tcPr>
          <w:p w14:paraId="0F8BB721">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50</w:t>
            </w:r>
          </w:p>
        </w:tc>
      </w:tr>
      <w:tr w14:paraId="685C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1558" w:type="pct"/>
            <w:noWrap w:val="0"/>
            <w:vAlign w:val="top"/>
          </w:tcPr>
          <w:p w14:paraId="1AC1AB7A">
            <w:pPr>
              <w:pStyle w:val="69"/>
              <w:spacing w:before="15" w:line="254" w:lineRule="exact"/>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2＃</w:t>
            </w:r>
            <w:r>
              <w:rPr>
                <w:rFonts w:hint="default" w:ascii="Times New Roman" w:hAnsi="Times New Roman" w:cs="Times New Roman"/>
                <w:color w:val="auto"/>
                <w:sz w:val="21"/>
                <w:highlight w:val="none"/>
                <w:lang w:val="en-US" w:eastAsia="zh-CN"/>
              </w:rPr>
              <w:t>养殖场</w:t>
            </w:r>
            <w:r>
              <w:rPr>
                <w:rFonts w:hint="default" w:ascii="Times New Roman" w:hAnsi="Times New Roman" w:eastAsia="Times New Roman" w:cs="Times New Roman"/>
                <w:color w:val="auto"/>
                <w:sz w:val="21"/>
                <w:highlight w:val="none"/>
              </w:rPr>
              <w:t>项目区</w:t>
            </w:r>
            <w:r>
              <w:rPr>
                <w:rFonts w:hint="default" w:ascii="Times New Roman" w:hAnsi="Times New Roman" w:cs="Times New Roman"/>
                <w:color w:val="auto"/>
                <w:sz w:val="21"/>
                <w:highlight w:val="none"/>
              </w:rPr>
              <w:t>南侧</w:t>
            </w:r>
          </w:p>
        </w:tc>
        <w:tc>
          <w:tcPr>
            <w:tcW w:w="923" w:type="pct"/>
            <w:noWrap w:val="0"/>
            <w:vAlign w:val="center"/>
          </w:tcPr>
          <w:p w14:paraId="6EAABBA1">
            <w:pPr>
              <w:widowControl/>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kern w:val="0"/>
                <w:szCs w:val="21"/>
                <w:lang w:val="en-US" w:eastAsia="zh-CN" w:bidi="ar"/>
              </w:rPr>
              <w:t>41</w:t>
            </w:r>
          </w:p>
        </w:tc>
        <w:tc>
          <w:tcPr>
            <w:tcW w:w="795" w:type="pct"/>
            <w:vMerge w:val="continue"/>
            <w:noWrap w:val="0"/>
            <w:vAlign w:val="top"/>
          </w:tcPr>
          <w:p w14:paraId="7DC1B24B">
            <w:pPr>
              <w:ind w:left="0" w:leftChars="0" w:right="-10" w:rightChars="0" w:firstLine="0" w:firstLineChars="0"/>
              <w:rPr>
                <w:rFonts w:hint="default" w:ascii="Times New Roman" w:hAnsi="Times New Roman" w:cs="Times New Roman"/>
                <w:color w:val="auto"/>
                <w:sz w:val="2"/>
                <w:szCs w:val="2"/>
                <w:highlight w:val="none"/>
              </w:rPr>
            </w:pPr>
          </w:p>
        </w:tc>
        <w:tc>
          <w:tcPr>
            <w:tcW w:w="952" w:type="pct"/>
            <w:noWrap w:val="0"/>
            <w:vAlign w:val="center"/>
          </w:tcPr>
          <w:p w14:paraId="6744C9F2">
            <w:pPr>
              <w:widowControl/>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kern w:val="0"/>
                <w:szCs w:val="21"/>
                <w:lang w:val="en-US" w:eastAsia="zh-CN" w:bidi="ar"/>
              </w:rPr>
              <w:t>39</w:t>
            </w:r>
          </w:p>
        </w:tc>
        <w:tc>
          <w:tcPr>
            <w:tcW w:w="770" w:type="pct"/>
            <w:vMerge w:val="continue"/>
            <w:noWrap w:val="0"/>
            <w:vAlign w:val="top"/>
          </w:tcPr>
          <w:p w14:paraId="14B02D45">
            <w:pPr>
              <w:ind w:left="0" w:leftChars="0" w:right="-10" w:rightChars="0" w:firstLine="0" w:firstLineChars="0"/>
              <w:rPr>
                <w:rFonts w:hint="default" w:ascii="Times New Roman" w:hAnsi="Times New Roman" w:cs="Times New Roman"/>
                <w:color w:val="auto"/>
                <w:sz w:val="2"/>
                <w:szCs w:val="2"/>
                <w:highlight w:val="none"/>
              </w:rPr>
            </w:pPr>
          </w:p>
        </w:tc>
      </w:tr>
      <w:tr w14:paraId="2A53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1558" w:type="pct"/>
            <w:noWrap w:val="0"/>
            <w:vAlign w:val="top"/>
          </w:tcPr>
          <w:p w14:paraId="26F4A292">
            <w:pPr>
              <w:pStyle w:val="69"/>
              <w:spacing w:before="15" w:line="254" w:lineRule="exact"/>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3＃</w:t>
            </w:r>
            <w:r>
              <w:rPr>
                <w:rFonts w:hint="default" w:ascii="Times New Roman" w:hAnsi="Times New Roman" w:cs="Times New Roman"/>
                <w:color w:val="auto"/>
                <w:sz w:val="21"/>
                <w:highlight w:val="none"/>
                <w:lang w:val="en-US" w:eastAsia="zh-CN"/>
              </w:rPr>
              <w:t>养殖场</w:t>
            </w:r>
            <w:r>
              <w:rPr>
                <w:rFonts w:hint="default" w:ascii="Times New Roman" w:hAnsi="Times New Roman" w:eastAsia="Times New Roman" w:cs="Times New Roman"/>
                <w:color w:val="auto"/>
                <w:sz w:val="21"/>
                <w:highlight w:val="none"/>
              </w:rPr>
              <w:t>项目区</w:t>
            </w:r>
            <w:r>
              <w:rPr>
                <w:rFonts w:hint="default" w:ascii="Times New Roman" w:hAnsi="Times New Roman" w:cs="Times New Roman"/>
                <w:color w:val="auto"/>
                <w:sz w:val="21"/>
                <w:highlight w:val="none"/>
              </w:rPr>
              <w:t>西侧</w:t>
            </w:r>
          </w:p>
        </w:tc>
        <w:tc>
          <w:tcPr>
            <w:tcW w:w="923" w:type="pct"/>
            <w:noWrap w:val="0"/>
            <w:vAlign w:val="center"/>
          </w:tcPr>
          <w:p w14:paraId="3829E1AE">
            <w:pPr>
              <w:widowControl/>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kern w:val="0"/>
                <w:szCs w:val="21"/>
                <w:lang w:val="en-US" w:eastAsia="zh-CN" w:bidi="ar"/>
              </w:rPr>
              <w:t>42</w:t>
            </w:r>
          </w:p>
        </w:tc>
        <w:tc>
          <w:tcPr>
            <w:tcW w:w="795" w:type="pct"/>
            <w:vMerge w:val="continue"/>
            <w:noWrap w:val="0"/>
            <w:vAlign w:val="top"/>
          </w:tcPr>
          <w:p w14:paraId="23112BD5">
            <w:pPr>
              <w:ind w:left="0" w:leftChars="0" w:right="-10" w:rightChars="0" w:firstLine="0" w:firstLineChars="0"/>
              <w:rPr>
                <w:rFonts w:hint="default" w:ascii="Times New Roman" w:hAnsi="Times New Roman" w:cs="Times New Roman"/>
                <w:color w:val="auto"/>
                <w:sz w:val="2"/>
                <w:szCs w:val="2"/>
                <w:highlight w:val="none"/>
              </w:rPr>
            </w:pPr>
          </w:p>
        </w:tc>
        <w:tc>
          <w:tcPr>
            <w:tcW w:w="952" w:type="pct"/>
            <w:noWrap w:val="0"/>
            <w:vAlign w:val="center"/>
          </w:tcPr>
          <w:p w14:paraId="0297FA00">
            <w:pPr>
              <w:widowControl/>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kern w:val="0"/>
                <w:szCs w:val="21"/>
                <w:lang w:val="en-US" w:eastAsia="zh-CN" w:bidi="ar"/>
              </w:rPr>
              <w:t>39</w:t>
            </w:r>
          </w:p>
        </w:tc>
        <w:tc>
          <w:tcPr>
            <w:tcW w:w="770" w:type="pct"/>
            <w:vMerge w:val="continue"/>
            <w:noWrap w:val="0"/>
            <w:vAlign w:val="top"/>
          </w:tcPr>
          <w:p w14:paraId="3C3E2EAB">
            <w:pPr>
              <w:ind w:left="0" w:leftChars="0" w:right="-10" w:rightChars="0" w:firstLine="0" w:firstLineChars="0"/>
              <w:rPr>
                <w:rFonts w:hint="default" w:ascii="Times New Roman" w:hAnsi="Times New Roman" w:cs="Times New Roman"/>
                <w:color w:val="auto"/>
                <w:sz w:val="2"/>
                <w:szCs w:val="2"/>
                <w:highlight w:val="none"/>
              </w:rPr>
            </w:pPr>
          </w:p>
        </w:tc>
      </w:tr>
      <w:tr w14:paraId="2472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1558" w:type="pct"/>
            <w:noWrap w:val="0"/>
            <w:vAlign w:val="top"/>
          </w:tcPr>
          <w:p w14:paraId="56FC0194">
            <w:pPr>
              <w:pStyle w:val="69"/>
              <w:spacing w:before="15" w:line="254" w:lineRule="exact"/>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4＃</w:t>
            </w:r>
            <w:r>
              <w:rPr>
                <w:rFonts w:hint="default" w:ascii="Times New Roman" w:hAnsi="Times New Roman" w:cs="Times New Roman"/>
                <w:color w:val="auto"/>
                <w:sz w:val="21"/>
                <w:highlight w:val="none"/>
                <w:lang w:val="en-US" w:eastAsia="zh-CN"/>
              </w:rPr>
              <w:t>养殖场</w:t>
            </w:r>
            <w:r>
              <w:rPr>
                <w:rFonts w:hint="default" w:ascii="Times New Roman" w:hAnsi="Times New Roman" w:eastAsia="Times New Roman" w:cs="Times New Roman"/>
                <w:color w:val="auto"/>
                <w:sz w:val="21"/>
                <w:highlight w:val="none"/>
              </w:rPr>
              <w:t>项目区</w:t>
            </w:r>
            <w:r>
              <w:rPr>
                <w:rFonts w:hint="default" w:ascii="Times New Roman" w:hAnsi="Times New Roman" w:cs="Times New Roman"/>
                <w:color w:val="auto"/>
                <w:sz w:val="21"/>
                <w:highlight w:val="none"/>
              </w:rPr>
              <w:t>北侧</w:t>
            </w:r>
          </w:p>
        </w:tc>
        <w:tc>
          <w:tcPr>
            <w:tcW w:w="923" w:type="pct"/>
            <w:noWrap w:val="0"/>
            <w:vAlign w:val="center"/>
          </w:tcPr>
          <w:p w14:paraId="6E156C78">
            <w:pPr>
              <w:widowControl/>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kern w:val="0"/>
                <w:szCs w:val="21"/>
                <w:lang w:val="en-US" w:eastAsia="zh-CN" w:bidi="ar"/>
              </w:rPr>
              <w:t>42</w:t>
            </w:r>
          </w:p>
        </w:tc>
        <w:tc>
          <w:tcPr>
            <w:tcW w:w="795" w:type="pct"/>
            <w:vMerge w:val="continue"/>
            <w:noWrap w:val="0"/>
            <w:vAlign w:val="top"/>
          </w:tcPr>
          <w:p w14:paraId="59172AFA">
            <w:pPr>
              <w:ind w:left="0" w:leftChars="0" w:right="-10" w:rightChars="0" w:firstLine="0" w:firstLineChars="0"/>
              <w:rPr>
                <w:rFonts w:hint="default" w:ascii="Times New Roman" w:hAnsi="Times New Roman" w:cs="Times New Roman"/>
                <w:color w:val="auto"/>
                <w:sz w:val="2"/>
                <w:szCs w:val="2"/>
                <w:highlight w:val="none"/>
              </w:rPr>
            </w:pPr>
          </w:p>
        </w:tc>
        <w:tc>
          <w:tcPr>
            <w:tcW w:w="952" w:type="pct"/>
            <w:noWrap w:val="0"/>
            <w:vAlign w:val="center"/>
          </w:tcPr>
          <w:p w14:paraId="385CFCE6">
            <w:pPr>
              <w:widowControl/>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kern w:val="0"/>
                <w:szCs w:val="21"/>
                <w:lang w:val="en-US" w:eastAsia="zh-CN" w:bidi="ar"/>
              </w:rPr>
              <w:t>38</w:t>
            </w:r>
          </w:p>
        </w:tc>
        <w:tc>
          <w:tcPr>
            <w:tcW w:w="770" w:type="pct"/>
            <w:vMerge w:val="continue"/>
            <w:noWrap w:val="0"/>
            <w:vAlign w:val="top"/>
          </w:tcPr>
          <w:p w14:paraId="696E7751">
            <w:pPr>
              <w:ind w:left="0" w:leftChars="0" w:right="-10" w:rightChars="0" w:firstLine="0" w:firstLineChars="0"/>
              <w:rPr>
                <w:rFonts w:hint="default" w:ascii="Times New Roman" w:hAnsi="Times New Roman" w:cs="Times New Roman"/>
                <w:color w:val="auto"/>
                <w:sz w:val="2"/>
                <w:szCs w:val="2"/>
                <w:highlight w:val="none"/>
              </w:rPr>
            </w:pPr>
          </w:p>
        </w:tc>
      </w:tr>
    </w:tbl>
    <w:p w14:paraId="78B53E54">
      <w:pPr>
        <w:pStyle w:val="73"/>
        <w:keepNext w:val="0"/>
        <w:keepLines w:val="0"/>
        <w:pageBreakBefore w:val="0"/>
        <w:widowControl w:val="0"/>
        <w:tabs>
          <w:tab w:val="left" w:pos="883"/>
        </w:tabs>
        <w:kinsoku/>
        <w:wordWrap/>
        <w:overflowPunct/>
        <w:topLinePunct w:val="0"/>
        <w:autoSpaceDE w:val="0"/>
        <w:autoSpaceDN w:val="0"/>
        <w:bidi w:val="0"/>
        <w:adjustRightInd/>
        <w:snapToGrid/>
        <w:spacing w:before="0"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（4）声环境质量现状评价</w:t>
      </w:r>
    </w:p>
    <w:p w14:paraId="5CD30980">
      <w:pPr>
        <w:pStyle w:val="16"/>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由</w:t>
      </w:r>
      <w:r>
        <w:rPr>
          <w:rFonts w:hint="default" w:ascii="Times New Roman" w:hAnsi="Times New Roman" w:cs="Times New Roman"/>
          <w:color w:val="auto"/>
          <w:highlight w:val="none"/>
          <w:lang w:val="en-US"/>
        </w:rPr>
        <w:t>表4.2-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可</w:t>
      </w:r>
      <w:r>
        <w:rPr>
          <w:rFonts w:hint="default" w:ascii="Times New Roman" w:hAnsi="Times New Roman" w:cs="Times New Roman"/>
          <w:color w:val="auto"/>
          <w:lang w:val="en-US"/>
        </w:rPr>
        <w:t>知，项目</w:t>
      </w:r>
      <w:r>
        <w:rPr>
          <w:rFonts w:hint="default" w:ascii="Times New Roman" w:hAnsi="Times New Roman" w:cs="Times New Roman"/>
          <w:color w:val="auto"/>
          <w:lang w:val="en-US" w:eastAsia="zh-CN"/>
        </w:rPr>
        <w:t>鸡舍厂界四周</w:t>
      </w:r>
      <w:r>
        <w:rPr>
          <w:rFonts w:hint="default" w:ascii="Times New Roman" w:hAnsi="Times New Roman" w:cs="Times New Roman"/>
          <w:color w:val="auto"/>
          <w:lang w:val="en-US"/>
        </w:rPr>
        <w:t>声环境现状监测点声环境昼间及夜间均达标，满足《声环境质量标准》（GB3096-2008）中2类区标准。</w:t>
      </w:r>
    </w:p>
    <w:p w14:paraId="22C05F13">
      <w:pPr>
        <w:pStyle w:val="4"/>
        <w:bidi w:val="0"/>
        <w:rPr>
          <w:rFonts w:hint="default" w:ascii="Times New Roman" w:hAnsi="Times New Roman" w:cs="Times New Roman"/>
          <w:color w:val="auto"/>
        </w:rPr>
      </w:pPr>
      <w:r>
        <w:rPr>
          <w:rFonts w:hint="default" w:ascii="Times New Roman" w:hAnsi="Times New Roman" w:cs="Times New Roman"/>
          <w:color w:val="auto"/>
          <w:lang w:val="en-US" w:eastAsia="zh-CN"/>
        </w:rPr>
        <w:t>土</w:t>
      </w:r>
      <w:r>
        <w:rPr>
          <w:rFonts w:hint="default" w:ascii="Times New Roman" w:hAnsi="Times New Roman" w:cs="Times New Roman"/>
          <w:color w:val="auto"/>
        </w:rPr>
        <w:t>壤环境</w:t>
      </w:r>
    </w:p>
    <w:p w14:paraId="24A92E07">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本项目委托</w:t>
      </w:r>
      <w:r>
        <w:rPr>
          <w:rFonts w:hint="default" w:ascii="Times New Roman" w:hAnsi="Times New Roman" w:cs="Times New Roman"/>
          <w:color w:val="auto"/>
          <w:lang w:val="en-US" w:eastAsia="zh-CN"/>
        </w:rPr>
        <w:t>新疆锡水金山环境科技有限公司</w:t>
      </w:r>
      <w:r>
        <w:rPr>
          <w:rFonts w:hint="default" w:ascii="Times New Roman" w:hAnsi="Times New Roman" w:cs="Times New Roman"/>
          <w:color w:val="auto"/>
          <w:lang w:val="en-US"/>
        </w:rPr>
        <w:t>进行土壤环境质量现状监测。</w:t>
      </w:r>
    </w:p>
    <w:p w14:paraId="1B25F1CA">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（1）监测项目</w:t>
      </w:r>
    </w:p>
    <w:p w14:paraId="3D5DECD3">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《土壤环境质量建设用地土壤污染风险管控标准（试行）》（GB36600-2018）第二类用地的45项基本因子。</w:t>
      </w:r>
    </w:p>
    <w:p w14:paraId="711ED92F">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（2）监测点位</w:t>
      </w:r>
    </w:p>
    <w:p w14:paraId="3020E9BA">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根据《环境影响评价技术导则土壤环境（试行）》（HJ964-2018）</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在</w:t>
      </w:r>
      <w:r>
        <w:rPr>
          <w:rFonts w:hint="default" w:ascii="Times New Roman" w:hAnsi="Times New Roman" w:cs="Times New Roman"/>
          <w:color w:val="auto"/>
          <w:lang w:val="en-US" w:eastAsia="zh-CN"/>
        </w:rPr>
        <w:t>项目区共设3个监测点，均为</w:t>
      </w:r>
      <w:r>
        <w:rPr>
          <w:rFonts w:hint="default" w:ascii="Times New Roman" w:hAnsi="Times New Roman" w:cs="Times New Roman"/>
          <w:color w:val="auto"/>
          <w:lang w:val="en-US"/>
        </w:rPr>
        <w:t>表层样。</w:t>
      </w:r>
    </w:p>
    <w:p w14:paraId="2E0F1F5C">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（3）评价标准</w:t>
      </w:r>
    </w:p>
    <w:p w14:paraId="07B4388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本项目土壤环境执行《</w:t>
      </w:r>
      <w:r>
        <w:rPr>
          <w:rFonts w:hint="default" w:ascii="Times New Roman" w:hAnsi="Times New Roman" w:cs="Times New Roman"/>
          <w:color w:val="auto"/>
          <w:lang w:val="en-US" w:eastAsia="zh-CN"/>
        </w:rPr>
        <w:t>土壤环境质量建设用地土壤污染风险管控标准（试行）</w:t>
      </w:r>
      <w:r>
        <w:rPr>
          <w:rFonts w:hint="default" w:ascii="Times New Roman" w:hAnsi="Times New Roman" w:cs="Times New Roman"/>
          <w:color w:val="auto"/>
          <w:lang w:val="en-US"/>
        </w:rPr>
        <w:t>》（GB36600-2018）表1风险筛选值（基本项目）</w:t>
      </w:r>
      <w:r>
        <w:rPr>
          <w:rFonts w:hint="default" w:ascii="Times New Roman" w:hAnsi="Times New Roman" w:cs="Times New Roman"/>
          <w:color w:val="auto"/>
          <w:lang w:val="en-US" w:eastAsia="zh-CN"/>
        </w:rPr>
        <w:t>和《畜禽养殖产地环境评价规范》（HJ568-2010）表4标准限值</w:t>
      </w:r>
      <w:r>
        <w:rPr>
          <w:rFonts w:hint="default" w:ascii="Times New Roman" w:hAnsi="Times New Roman" w:cs="Times New Roman"/>
          <w:color w:val="auto"/>
          <w:lang w:val="en-US"/>
        </w:rPr>
        <w:t>。</w:t>
      </w:r>
    </w:p>
    <w:p w14:paraId="6D520BF1">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（4）监测结果</w:t>
      </w:r>
    </w:p>
    <w:p w14:paraId="27A79031">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本项目土壤环境现状监测结果见下表。</w:t>
      </w:r>
    </w:p>
    <w:p w14:paraId="5CFE08C6">
      <w:pPr>
        <w:pStyle w:val="14"/>
        <w:tabs>
          <w:tab w:val="left" w:pos="736"/>
        </w:tabs>
        <w:kinsoku w:val="0"/>
        <w:overflowPunct w:val="0"/>
        <w:adjustRightInd w:val="0"/>
        <w:ind w:right="136" w:firstLine="422"/>
        <w:jc w:val="center"/>
        <w:rPr>
          <w:rFonts w:hint="default" w:ascii="Times New Roman" w:hAnsi="Times New Roman" w:eastAsia="宋体" w:cs="Times New Roman"/>
          <w:b/>
          <w:bCs w:val="0"/>
          <w:color w:val="auto"/>
          <w:sz w:val="21"/>
          <w:szCs w:val="21"/>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宋体" w:cs="Times New Roman"/>
          <w:b/>
          <w:bCs w:val="0"/>
          <w:color w:val="auto"/>
          <w:sz w:val="21"/>
          <w:szCs w:val="21"/>
        </w:rPr>
        <w:t>土壤现状监测结果</w:t>
      </w:r>
    </w:p>
    <w:tbl>
      <w:tblPr>
        <w:tblStyle w:val="33"/>
        <w:tblW w:w="4998" w:type="pct"/>
        <w:jc w:val="center"/>
        <w:tblLayout w:type="autofit"/>
        <w:tblCellMar>
          <w:top w:w="15" w:type="dxa"/>
          <w:left w:w="15" w:type="dxa"/>
          <w:bottom w:w="15" w:type="dxa"/>
          <w:right w:w="15" w:type="dxa"/>
        </w:tblCellMar>
      </w:tblPr>
      <w:tblGrid>
        <w:gridCol w:w="1784"/>
        <w:gridCol w:w="848"/>
        <w:gridCol w:w="1387"/>
        <w:gridCol w:w="1477"/>
        <w:gridCol w:w="1389"/>
        <w:gridCol w:w="1458"/>
      </w:tblGrid>
      <w:tr w14:paraId="4CDD5BB1">
        <w:tblPrEx>
          <w:tblCellMar>
            <w:top w:w="15" w:type="dxa"/>
            <w:left w:w="15" w:type="dxa"/>
            <w:bottom w:w="15" w:type="dxa"/>
            <w:right w:w="15" w:type="dxa"/>
          </w:tblCellMar>
        </w:tblPrEx>
        <w:trPr>
          <w:trHeight w:val="323" w:hRule="atLeast"/>
          <w:jc w:val="center"/>
        </w:trPr>
        <w:tc>
          <w:tcPr>
            <w:tcW w:w="1577" w:type="pct"/>
            <w:gridSpan w:val="2"/>
            <w:tcBorders>
              <w:top w:val="single" w:color="000000" w:sz="4" w:space="0"/>
              <w:left w:val="single" w:color="000000" w:sz="4" w:space="0"/>
              <w:bottom w:val="single" w:color="000000" w:sz="4" w:space="0"/>
              <w:right w:val="single" w:color="auto" w:sz="4" w:space="0"/>
            </w:tcBorders>
            <w:noWrap w:val="0"/>
            <w:vAlign w:val="center"/>
          </w:tcPr>
          <w:p w14:paraId="4B776B42">
            <w:pPr>
              <w:widowControl/>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样品编码</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FD28BDF">
            <w:pPr>
              <w:widowControl/>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TC-1</w:t>
            </w:r>
            <w:r>
              <w:rPr>
                <w:rFonts w:hint="default" w:ascii="Times New Roman" w:hAnsi="Times New Roman" w:cs="Times New Roman"/>
                <w:sz w:val="21"/>
                <w:szCs w:val="21"/>
                <w:highlight w:val="none"/>
                <w:vertAlign w:val="superscript"/>
                <w:lang w:val="en-US" w:eastAsia="zh-CN"/>
              </w:rPr>
              <w:t>#</w:t>
            </w:r>
            <w:r>
              <w:rPr>
                <w:rFonts w:hint="default" w:ascii="Times New Roman" w:hAnsi="Times New Roman" w:cs="Times New Roman"/>
                <w:sz w:val="21"/>
                <w:szCs w:val="21"/>
                <w:highlight w:val="none"/>
                <w:lang w:val="en-US" w:eastAsia="zh-CN"/>
              </w:rPr>
              <w:t>-1</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07FB24FD">
            <w:pPr>
              <w:widowControl/>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TC-2</w:t>
            </w:r>
            <w:r>
              <w:rPr>
                <w:rFonts w:hint="default" w:ascii="Times New Roman" w:hAnsi="Times New Roman" w:cs="Times New Roman"/>
                <w:sz w:val="21"/>
                <w:szCs w:val="21"/>
                <w:highlight w:val="none"/>
                <w:vertAlign w:val="superscript"/>
                <w:lang w:val="en-US" w:eastAsia="zh-CN"/>
              </w:rPr>
              <w:t>#</w:t>
            </w:r>
            <w:r>
              <w:rPr>
                <w:rFonts w:hint="default" w:ascii="Times New Roman" w:hAnsi="Times New Roman" w:cs="Times New Roman"/>
                <w:sz w:val="21"/>
                <w:szCs w:val="21"/>
                <w:highlight w:val="none"/>
                <w:lang w:val="en-US" w:eastAsia="zh-CN"/>
              </w:rPr>
              <w:t>-1</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25635FA">
            <w:pPr>
              <w:widowControl/>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TC-3</w:t>
            </w:r>
            <w:r>
              <w:rPr>
                <w:rFonts w:hint="default" w:ascii="Times New Roman" w:hAnsi="Times New Roman" w:cs="Times New Roman"/>
                <w:sz w:val="21"/>
                <w:szCs w:val="21"/>
                <w:highlight w:val="none"/>
                <w:vertAlign w:val="superscript"/>
                <w:lang w:val="en-US" w:eastAsia="zh-CN"/>
              </w:rPr>
              <w:t>#</w:t>
            </w:r>
            <w:r>
              <w:rPr>
                <w:rFonts w:hint="default" w:ascii="Times New Roman" w:hAnsi="Times New Roman" w:cs="Times New Roman"/>
                <w:sz w:val="21"/>
                <w:szCs w:val="21"/>
                <w:highlight w:val="none"/>
                <w:lang w:val="en-US" w:eastAsia="zh-CN"/>
              </w:rPr>
              <w:t>-1</w:t>
            </w:r>
          </w:p>
        </w:tc>
        <w:tc>
          <w:tcPr>
            <w:tcW w:w="873" w:type="pct"/>
            <w:vMerge w:val="restart"/>
            <w:tcBorders>
              <w:top w:val="single" w:color="auto" w:sz="4" w:space="0"/>
              <w:left w:val="single" w:color="auto" w:sz="4" w:space="0"/>
              <w:right w:val="single" w:color="auto" w:sz="4" w:space="0"/>
            </w:tcBorders>
            <w:noWrap w:val="0"/>
            <w:vAlign w:val="center"/>
          </w:tcPr>
          <w:p w14:paraId="75DCE7BB">
            <w:pPr>
              <w:widowControl/>
              <w:jc w:val="center"/>
              <w:textAlignment w:val="center"/>
              <w:rPr>
                <w:rFonts w:hint="default" w:ascii="Times New Roman" w:hAnsi="Times New Roman" w:cs="Times New Roman"/>
                <w:bCs/>
                <w:color w:val="auto"/>
                <w:kern w:val="0"/>
                <w:sz w:val="21"/>
                <w:szCs w:val="21"/>
                <w:highlight w:val="none"/>
                <w:lang w:val="en-US" w:eastAsia="zh-CN" w:bidi="ar"/>
              </w:rPr>
            </w:pPr>
            <w:r>
              <w:rPr>
                <w:rFonts w:hint="default" w:ascii="Times New Roman" w:hAnsi="Times New Roman" w:cs="Times New Roman"/>
                <w:bCs/>
                <w:color w:val="auto"/>
                <w:kern w:val="0"/>
                <w:sz w:val="21"/>
                <w:szCs w:val="21"/>
                <w:highlight w:val="none"/>
                <w:lang w:val="en-US" w:eastAsia="zh-CN" w:bidi="ar"/>
              </w:rPr>
              <w:t>《土壤环境质量建设用地土壤污染风险管控标准（试行）</w:t>
            </w:r>
            <w:r>
              <w:rPr>
                <w:rFonts w:hint="default" w:ascii="Times New Roman" w:hAnsi="Times New Roman" w:eastAsia="宋体" w:cs="Times New Roman"/>
                <w:b w:val="0"/>
                <w:bCs w:val="0"/>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bidi="ar"/>
              </w:rPr>
              <w:t>（GB36600-2018）表1第二类用地的筛选值质量标准（m</w:t>
            </w:r>
            <w:r>
              <w:rPr>
                <w:rFonts w:hint="default" w:ascii="Times New Roman" w:hAnsi="Times New Roman" w:cs="Times New Roman"/>
                <w:kern w:val="0"/>
                <w:sz w:val="21"/>
                <w:szCs w:val="21"/>
                <w:highlight w:val="none"/>
              </w:rPr>
              <w:t>g/</w:t>
            </w:r>
            <w:r>
              <w:rPr>
                <w:rFonts w:hint="default" w:ascii="Times New Roman" w:hAnsi="Times New Roman" w:cs="Times New Roman"/>
                <w:kern w:val="0"/>
                <w:sz w:val="21"/>
                <w:szCs w:val="21"/>
                <w:highlight w:val="none"/>
                <w:lang w:val="en-US" w:eastAsia="zh-CN"/>
              </w:rPr>
              <w:t>kg</w:t>
            </w:r>
            <w:r>
              <w:rPr>
                <w:rFonts w:hint="default" w:ascii="Times New Roman" w:hAnsi="Times New Roman" w:cs="Times New Roman"/>
                <w:bCs/>
                <w:color w:val="auto"/>
                <w:kern w:val="0"/>
                <w:sz w:val="21"/>
                <w:szCs w:val="21"/>
                <w:highlight w:val="none"/>
                <w:lang w:val="en-US" w:eastAsia="zh-CN" w:bidi="ar"/>
              </w:rPr>
              <w:t>）</w:t>
            </w:r>
          </w:p>
        </w:tc>
      </w:tr>
      <w:tr w14:paraId="3B0C80DE">
        <w:tblPrEx>
          <w:tblCellMar>
            <w:top w:w="15" w:type="dxa"/>
            <w:left w:w="15" w:type="dxa"/>
            <w:bottom w:w="15" w:type="dxa"/>
            <w:right w:w="15" w:type="dxa"/>
          </w:tblCellMar>
        </w:tblPrEx>
        <w:trPr>
          <w:trHeight w:val="567" w:hRule="atLeast"/>
          <w:jc w:val="center"/>
        </w:trPr>
        <w:tc>
          <w:tcPr>
            <w:tcW w:w="1577" w:type="pct"/>
            <w:gridSpan w:val="2"/>
            <w:tcBorders>
              <w:top w:val="single" w:color="000000" w:sz="4" w:space="0"/>
              <w:left w:val="single" w:color="000000" w:sz="4" w:space="0"/>
              <w:bottom w:val="single" w:color="000000" w:sz="4" w:space="0"/>
              <w:right w:val="single" w:color="auto" w:sz="4" w:space="0"/>
            </w:tcBorders>
            <w:noWrap w:val="0"/>
            <w:vAlign w:val="center"/>
          </w:tcPr>
          <w:p w14:paraId="69FF9CC8">
            <w:pPr>
              <w:widowControl/>
              <w:jc w:val="center"/>
              <w:textAlignment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kern w:val="0"/>
                <w:sz w:val="21"/>
                <w:szCs w:val="21"/>
                <w:highlight w:val="none"/>
                <w:lang w:val="en-US" w:eastAsia="zh-CN" w:bidi="ar"/>
              </w:rPr>
              <w:t>采样地点</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9136DED">
            <w:pPr>
              <w:widowControl/>
              <w:jc w:val="center"/>
              <w:textAlignment w:val="center"/>
              <w:rPr>
                <w:rFonts w:hint="default" w:ascii="Times New Roman" w:hAnsi="Times New Roman" w:cs="Times New Roman"/>
                <w:bCs/>
                <w:color w:val="auto"/>
                <w:kern w:val="0"/>
                <w:sz w:val="18"/>
                <w:szCs w:val="18"/>
                <w:highlight w:val="none"/>
                <w:lang w:val="en-US" w:eastAsia="zh-CN" w:bidi="ar"/>
              </w:rPr>
            </w:pPr>
            <w:r>
              <w:rPr>
                <w:rFonts w:hint="default" w:ascii="Times New Roman" w:hAnsi="Times New Roman" w:cs="Times New Roman"/>
                <w:bCs/>
                <w:color w:val="auto"/>
                <w:kern w:val="0"/>
                <w:sz w:val="18"/>
                <w:szCs w:val="18"/>
                <w:highlight w:val="none"/>
                <w:lang w:val="en-US" w:eastAsia="zh-CN" w:bidi="ar"/>
              </w:rPr>
              <w:t>E：87°40′13.76″</w:t>
            </w:r>
          </w:p>
          <w:p w14:paraId="400D5FC5">
            <w:pPr>
              <w:widowControl/>
              <w:jc w:val="center"/>
              <w:textAlignment w:val="center"/>
              <w:rPr>
                <w:rFonts w:hint="default" w:ascii="Times New Roman" w:hAnsi="Times New Roman"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N：47°20′0.99″</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63718B87">
            <w:pPr>
              <w:widowControl/>
              <w:jc w:val="center"/>
              <w:textAlignment w:val="center"/>
              <w:rPr>
                <w:rFonts w:hint="default" w:ascii="Times New Roman" w:hAnsi="Times New Roman" w:cs="Times New Roman"/>
                <w:bCs/>
                <w:color w:val="auto"/>
                <w:kern w:val="0"/>
                <w:sz w:val="18"/>
                <w:szCs w:val="18"/>
                <w:highlight w:val="none"/>
                <w:lang w:val="en-US" w:eastAsia="zh-CN" w:bidi="ar"/>
              </w:rPr>
            </w:pPr>
            <w:r>
              <w:rPr>
                <w:rFonts w:hint="default" w:ascii="Times New Roman" w:hAnsi="Times New Roman" w:cs="Times New Roman"/>
                <w:bCs/>
                <w:color w:val="auto"/>
                <w:kern w:val="0"/>
                <w:sz w:val="18"/>
                <w:szCs w:val="18"/>
                <w:highlight w:val="none"/>
                <w:lang w:val="en-US" w:eastAsia="zh-CN" w:bidi="ar"/>
              </w:rPr>
              <w:t>E：87°40′17.66″</w:t>
            </w:r>
          </w:p>
          <w:p w14:paraId="3B9941F2">
            <w:pPr>
              <w:widowControl/>
              <w:jc w:val="center"/>
              <w:textAlignment w:val="center"/>
              <w:rPr>
                <w:rFonts w:hint="default" w:ascii="Times New Roman" w:hAnsi="Times New Roman"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N：47°19′56.84″</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3B36103">
            <w:pPr>
              <w:widowControl/>
              <w:jc w:val="center"/>
              <w:textAlignment w:val="center"/>
              <w:rPr>
                <w:rFonts w:hint="default" w:ascii="Times New Roman" w:hAnsi="Times New Roman" w:cs="Times New Roman"/>
                <w:bCs/>
                <w:color w:val="auto"/>
                <w:kern w:val="0"/>
                <w:sz w:val="18"/>
                <w:szCs w:val="18"/>
                <w:highlight w:val="none"/>
                <w:lang w:val="en-US" w:eastAsia="zh-CN" w:bidi="ar"/>
              </w:rPr>
            </w:pPr>
            <w:r>
              <w:rPr>
                <w:rFonts w:hint="default" w:ascii="Times New Roman" w:hAnsi="Times New Roman" w:cs="Times New Roman"/>
                <w:bCs/>
                <w:color w:val="auto"/>
                <w:kern w:val="0"/>
                <w:sz w:val="18"/>
                <w:szCs w:val="18"/>
                <w:highlight w:val="none"/>
                <w:lang w:val="en-US" w:eastAsia="zh-CN" w:bidi="ar"/>
              </w:rPr>
              <w:t>E：87°40′21.21″</w:t>
            </w:r>
          </w:p>
          <w:p w14:paraId="3BFC6AD4">
            <w:pPr>
              <w:widowControl/>
              <w:jc w:val="center"/>
              <w:textAlignment w:val="center"/>
              <w:rPr>
                <w:rFonts w:hint="default" w:ascii="Times New Roman" w:hAnsi="Times New Roman"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N：47°19′58.48″</w:t>
            </w:r>
          </w:p>
        </w:tc>
        <w:tc>
          <w:tcPr>
            <w:tcW w:w="873" w:type="pct"/>
            <w:vMerge w:val="continue"/>
            <w:tcBorders>
              <w:left w:val="single" w:color="auto" w:sz="4" w:space="0"/>
              <w:right w:val="single" w:color="auto" w:sz="4" w:space="0"/>
            </w:tcBorders>
            <w:noWrap w:val="0"/>
            <w:vAlign w:val="center"/>
          </w:tcPr>
          <w:p w14:paraId="505BDF53">
            <w:pPr>
              <w:widowControl/>
              <w:jc w:val="center"/>
              <w:textAlignment w:val="center"/>
              <w:rPr>
                <w:rFonts w:hint="default" w:ascii="Times New Roman" w:hAnsi="Times New Roman" w:cs="Times New Roman"/>
                <w:bCs/>
                <w:color w:val="auto"/>
                <w:kern w:val="0"/>
                <w:sz w:val="21"/>
                <w:szCs w:val="21"/>
                <w:lang w:val="en-US" w:eastAsia="zh-CN" w:bidi="ar"/>
              </w:rPr>
            </w:pPr>
          </w:p>
        </w:tc>
      </w:tr>
      <w:tr w14:paraId="22CA8735">
        <w:tblPrEx>
          <w:tblCellMar>
            <w:top w:w="15" w:type="dxa"/>
            <w:left w:w="15" w:type="dxa"/>
            <w:bottom w:w="15" w:type="dxa"/>
            <w:right w:w="15" w:type="dxa"/>
          </w:tblCellMar>
        </w:tblPrEx>
        <w:trPr>
          <w:trHeight w:val="307" w:hRule="atLeast"/>
          <w:jc w:val="center"/>
        </w:trPr>
        <w:tc>
          <w:tcPr>
            <w:tcW w:w="1577" w:type="pct"/>
            <w:gridSpan w:val="2"/>
            <w:tcBorders>
              <w:top w:val="single" w:color="000000" w:sz="4" w:space="0"/>
              <w:left w:val="single" w:color="000000" w:sz="4" w:space="0"/>
              <w:bottom w:val="single" w:color="auto" w:sz="4" w:space="0"/>
              <w:right w:val="single" w:color="auto" w:sz="4" w:space="0"/>
            </w:tcBorders>
            <w:noWrap w:val="0"/>
            <w:vAlign w:val="center"/>
          </w:tcPr>
          <w:p w14:paraId="405AAD69">
            <w:pPr>
              <w:widowControl/>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cs="Times New Roman"/>
                <w:bCs/>
                <w:color w:val="auto"/>
                <w:kern w:val="0"/>
                <w:sz w:val="21"/>
                <w:szCs w:val="21"/>
                <w:highlight w:val="none"/>
                <w:lang w:val="en-US" w:eastAsia="zh-CN" w:bidi="ar"/>
              </w:rPr>
              <w:t>深度（</w:t>
            </w:r>
            <w:r>
              <w:rPr>
                <w:rFonts w:hint="default" w:ascii="Times New Roman" w:hAnsi="Times New Roman" w:cs="Times New Roman"/>
                <w:color w:val="auto"/>
                <w:spacing w:val="-6"/>
                <w:kern w:val="2"/>
                <w:sz w:val="21"/>
                <w:szCs w:val="21"/>
                <w:highlight w:val="none"/>
                <w:lang w:val="en-US" w:eastAsia="zh-CN" w:bidi="ar-SA"/>
              </w:rPr>
              <w:t>cm</w:t>
            </w:r>
            <w:r>
              <w:rPr>
                <w:rFonts w:hint="default" w:ascii="Times New Roman" w:hAnsi="Times New Roman" w:cs="Times New Roman"/>
                <w:bCs/>
                <w:color w:val="auto"/>
                <w:kern w:val="0"/>
                <w:sz w:val="21"/>
                <w:szCs w:val="21"/>
                <w:highlight w:val="none"/>
                <w:lang w:val="en-US" w:eastAsia="zh-CN" w:bidi="ar"/>
              </w:rPr>
              <w:t>）</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E1B54C6">
            <w:pPr>
              <w:widowControl/>
              <w:jc w:val="center"/>
              <w:textAlignment w:val="center"/>
              <w:rPr>
                <w:rFonts w:hint="default" w:ascii="Times New Roman" w:hAnsi="Times New Roman" w:cs="Times New Roman"/>
                <w:color w:val="auto"/>
                <w:spacing w:val="-6"/>
                <w:kern w:val="2"/>
                <w:sz w:val="21"/>
                <w:szCs w:val="21"/>
                <w:highlight w:val="none"/>
                <w:lang w:val="en-US" w:eastAsia="zh-CN" w:bidi="ar-SA"/>
              </w:rPr>
            </w:pPr>
            <w:r>
              <w:rPr>
                <w:rFonts w:hint="default" w:ascii="Times New Roman" w:hAnsi="Times New Roman" w:cs="Times New Roman"/>
                <w:color w:val="auto"/>
                <w:spacing w:val="-6"/>
                <w:kern w:val="2"/>
                <w:sz w:val="21"/>
                <w:szCs w:val="21"/>
                <w:highlight w:val="none"/>
                <w:lang w:val="en-US" w:eastAsia="zh-CN" w:bidi="ar-SA"/>
              </w:rPr>
              <w:t>18</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714D3AEB">
            <w:pPr>
              <w:widowControl/>
              <w:jc w:val="center"/>
              <w:textAlignment w:val="center"/>
              <w:rPr>
                <w:rFonts w:hint="default" w:ascii="Times New Roman" w:hAnsi="Times New Roman" w:cs="Times New Roman"/>
                <w:color w:val="auto"/>
                <w:spacing w:val="-6"/>
                <w:kern w:val="2"/>
                <w:sz w:val="21"/>
                <w:szCs w:val="21"/>
                <w:highlight w:val="none"/>
                <w:lang w:val="en-US" w:eastAsia="zh-CN" w:bidi="ar-SA"/>
              </w:rPr>
            </w:pPr>
            <w:r>
              <w:rPr>
                <w:rFonts w:hint="default" w:ascii="Times New Roman" w:hAnsi="Times New Roman" w:cs="Times New Roman"/>
                <w:color w:val="auto"/>
                <w:spacing w:val="-6"/>
                <w:kern w:val="2"/>
                <w:sz w:val="21"/>
                <w:szCs w:val="21"/>
                <w:highlight w:val="none"/>
                <w:lang w:val="en-US" w:eastAsia="zh-CN" w:bidi="ar-SA"/>
              </w:rPr>
              <w:t>18</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38548E8">
            <w:pPr>
              <w:widowControl/>
              <w:jc w:val="center"/>
              <w:textAlignment w:val="center"/>
              <w:rPr>
                <w:rFonts w:hint="default" w:ascii="Times New Roman" w:hAnsi="Times New Roman" w:cs="Times New Roman"/>
                <w:color w:val="auto"/>
                <w:spacing w:val="-6"/>
                <w:kern w:val="2"/>
                <w:sz w:val="21"/>
                <w:szCs w:val="21"/>
                <w:highlight w:val="none"/>
                <w:lang w:val="en-US" w:eastAsia="zh-CN" w:bidi="ar-SA"/>
              </w:rPr>
            </w:pPr>
            <w:r>
              <w:rPr>
                <w:rFonts w:hint="default" w:ascii="Times New Roman" w:hAnsi="Times New Roman" w:cs="Times New Roman"/>
                <w:color w:val="auto"/>
                <w:spacing w:val="-6"/>
                <w:kern w:val="2"/>
                <w:sz w:val="21"/>
                <w:szCs w:val="21"/>
                <w:highlight w:val="none"/>
                <w:lang w:val="en-US" w:eastAsia="zh-CN" w:bidi="ar-SA"/>
              </w:rPr>
              <w:t>18</w:t>
            </w:r>
          </w:p>
        </w:tc>
        <w:tc>
          <w:tcPr>
            <w:tcW w:w="873" w:type="pct"/>
            <w:vMerge w:val="continue"/>
            <w:tcBorders>
              <w:left w:val="single" w:color="auto" w:sz="4" w:space="0"/>
              <w:right w:val="single" w:color="auto" w:sz="4" w:space="0"/>
            </w:tcBorders>
            <w:noWrap w:val="0"/>
            <w:vAlign w:val="center"/>
          </w:tcPr>
          <w:p w14:paraId="37DCCEBD">
            <w:pPr>
              <w:widowControl/>
              <w:jc w:val="center"/>
              <w:textAlignment w:val="center"/>
              <w:rPr>
                <w:rFonts w:hint="default" w:ascii="Times New Roman" w:hAnsi="Times New Roman" w:cs="Times New Roman"/>
                <w:color w:val="auto"/>
                <w:sz w:val="21"/>
                <w:szCs w:val="21"/>
                <w:lang w:val="en-US" w:eastAsia="zh-CN"/>
              </w:rPr>
            </w:pPr>
          </w:p>
        </w:tc>
      </w:tr>
      <w:tr w14:paraId="127DF2E5">
        <w:tblPrEx>
          <w:tblCellMar>
            <w:top w:w="15" w:type="dxa"/>
            <w:left w:w="15" w:type="dxa"/>
            <w:bottom w:w="15" w:type="dxa"/>
            <w:right w:w="15" w:type="dxa"/>
          </w:tblCellMar>
        </w:tblPrEx>
        <w:trPr>
          <w:trHeight w:val="567" w:hRule="atLeast"/>
          <w:jc w:val="center"/>
        </w:trPr>
        <w:tc>
          <w:tcPr>
            <w:tcW w:w="1577" w:type="pct"/>
            <w:gridSpan w:val="2"/>
            <w:tcBorders>
              <w:top w:val="single" w:color="000000" w:sz="4" w:space="0"/>
              <w:left w:val="single" w:color="000000" w:sz="4" w:space="0"/>
              <w:bottom w:val="single" w:color="auto" w:sz="4" w:space="0"/>
              <w:right w:val="single" w:color="auto" w:sz="4" w:space="0"/>
            </w:tcBorders>
            <w:noWrap w:val="0"/>
            <w:vAlign w:val="center"/>
          </w:tcPr>
          <w:p w14:paraId="55509A27">
            <w:pPr>
              <w:widowControl/>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样品状态</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BCAFD36">
            <w:pPr>
              <w:widowControl/>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暗棕色、潮、无根系</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248A4CAC">
            <w:pPr>
              <w:widowControl/>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黄棕色、潮、无根系</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D95BD0E">
            <w:pPr>
              <w:widowControl/>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淡黄色、潮、少量根系</w:t>
            </w:r>
          </w:p>
        </w:tc>
        <w:tc>
          <w:tcPr>
            <w:tcW w:w="873" w:type="pct"/>
            <w:vMerge w:val="continue"/>
            <w:tcBorders>
              <w:left w:val="single" w:color="auto" w:sz="4" w:space="0"/>
              <w:right w:val="single" w:color="auto" w:sz="4" w:space="0"/>
            </w:tcBorders>
            <w:noWrap w:val="0"/>
            <w:vAlign w:val="center"/>
          </w:tcPr>
          <w:p w14:paraId="36E9C12D">
            <w:pPr>
              <w:widowControl/>
              <w:jc w:val="center"/>
              <w:textAlignment w:val="center"/>
              <w:rPr>
                <w:rFonts w:hint="default" w:ascii="Times New Roman" w:hAnsi="Times New Roman" w:cs="Times New Roman"/>
                <w:color w:val="auto"/>
                <w:sz w:val="21"/>
                <w:szCs w:val="21"/>
                <w:lang w:val="en-US" w:eastAsia="zh-CN"/>
              </w:rPr>
            </w:pPr>
          </w:p>
        </w:tc>
      </w:tr>
      <w:tr w14:paraId="44436A2B">
        <w:tblPrEx>
          <w:tblCellMar>
            <w:top w:w="15" w:type="dxa"/>
            <w:left w:w="15" w:type="dxa"/>
            <w:bottom w:w="15" w:type="dxa"/>
            <w:right w:w="15" w:type="dxa"/>
          </w:tblCellMar>
        </w:tblPrEx>
        <w:trPr>
          <w:trHeight w:val="567" w:hRule="atLeas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6C06B34C">
            <w:pPr>
              <w:widowControl/>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检测项目</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5288166F">
            <w:pPr>
              <w:widowControl/>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单位</w:t>
            </w:r>
          </w:p>
        </w:tc>
        <w:tc>
          <w:tcPr>
            <w:tcW w:w="2548" w:type="pct"/>
            <w:gridSpan w:val="3"/>
            <w:tcBorders>
              <w:top w:val="single" w:color="auto" w:sz="4" w:space="0"/>
              <w:left w:val="single" w:color="auto" w:sz="4" w:space="0"/>
              <w:bottom w:val="single" w:color="auto" w:sz="4" w:space="0"/>
              <w:right w:val="single" w:color="auto" w:sz="4" w:space="0"/>
            </w:tcBorders>
            <w:noWrap w:val="0"/>
            <w:vAlign w:val="center"/>
          </w:tcPr>
          <w:p w14:paraId="35721BF4">
            <w:pPr>
              <w:widowControl/>
              <w:jc w:val="center"/>
              <w:textAlignment w:val="center"/>
              <w:rPr>
                <w:rFonts w:hint="default" w:ascii="Times New Roman" w:hAnsi="Times New Roman" w:cs="Times New Roman"/>
                <w:bCs/>
                <w:color w:val="auto"/>
                <w:kern w:val="0"/>
                <w:sz w:val="21"/>
                <w:szCs w:val="21"/>
                <w:lang w:val="en-US" w:eastAsia="zh-CN" w:bidi="ar"/>
              </w:rPr>
            </w:pPr>
            <w:r>
              <w:rPr>
                <w:rFonts w:hint="default" w:ascii="Times New Roman" w:hAnsi="Times New Roman" w:cs="Times New Roman"/>
                <w:bCs/>
                <w:color w:val="auto"/>
                <w:kern w:val="0"/>
                <w:sz w:val="21"/>
                <w:szCs w:val="21"/>
                <w:lang w:val="en-US" w:eastAsia="zh-CN" w:bidi="ar"/>
              </w:rPr>
              <w:t>检测结果</w:t>
            </w:r>
          </w:p>
        </w:tc>
        <w:tc>
          <w:tcPr>
            <w:tcW w:w="873" w:type="pct"/>
            <w:vMerge w:val="continue"/>
            <w:tcBorders>
              <w:left w:val="single" w:color="auto" w:sz="4" w:space="0"/>
              <w:bottom w:val="single" w:color="auto" w:sz="4" w:space="0"/>
              <w:right w:val="single" w:color="auto" w:sz="4" w:space="0"/>
            </w:tcBorders>
            <w:noWrap w:val="0"/>
            <w:vAlign w:val="center"/>
          </w:tcPr>
          <w:p w14:paraId="49B6F997">
            <w:pPr>
              <w:widowControl/>
              <w:jc w:val="center"/>
              <w:textAlignment w:val="center"/>
              <w:rPr>
                <w:rFonts w:hint="default" w:ascii="Times New Roman" w:hAnsi="Times New Roman" w:cs="Times New Roman"/>
                <w:bCs/>
                <w:color w:val="auto"/>
                <w:kern w:val="0"/>
                <w:sz w:val="21"/>
                <w:szCs w:val="21"/>
                <w:lang w:val="en-US" w:eastAsia="zh-CN" w:bidi="ar"/>
              </w:rPr>
            </w:pPr>
          </w:p>
        </w:tc>
      </w:tr>
      <w:tr w14:paraId="755B07D7">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59EADE8B">
            <w:pPr>
              <w:jc w:val="center"/>
              <w:rPr>
                <w:rFonts w:hint="default" w:ascii="Times New Roman" w:hAnsi="Times New Roman" w:eastAsia="宋体" w:cs="Times New Roman"/>
                <w:bCs/>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氯乙烯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F705F45">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A3942E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57FEE61C">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6DFDE50">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306F49E1">
            <w:pPr>
              <w:jc w:val="center"/>
              <w:rPr>
                <w:rFonts w:hint="default" w:ascii="Times New Roman" w:hAnsi="Times New Roman" w:eastAsia="宋体" w:cs="Times New Roman"/>
                <w:bCs/>
                <w:color w:val="auto"/>
                <w:kern w:val="2"/>
                <w:sz w:val="21"/>
                <w:szCs w:val="21"/>
                <w:highlight w:val="red"/>
                <w:lang w:val="en-US" w:eastAsia="zh-CN" w:bidi="ar-SA"/>
              </w:rPr>
            </w:pPr>
            <w:r>
              <w:rPr>
                <w:rFonts w:hint="default" w:ascii="Times New Roman" w:hAnsi="Times New Roman" w:cs="Times New Roman"/>
                <w:bCs/>
                <w:color w:val="auto"/>
                <w:kern w:val="2"/>
                <w:sz w:val="21"/>
                <w:szCs w:val="21"/>
                <w:highlight w:val="none"/>
                <w:lang w:val="en-US" w:eastAsia="zh-CN" w:bidi="ar-SA"/>
              </w:rPr>
              <w:t>0.43</w:t>
            </w:r>
          </w:p>
        </w:tc>
      </w:tr>
      <w:tr w14:paraId="2FA72527">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25B0C20A">
            <w:pPr>
              <w:jc w:val="center"/>
              <w:rPr>
                <w:rFonts w:hint="default" w:ascii="Times New Roman" w:hAnsi="Times New Roman" w:eastAsia="宋体" w:cs="Times New Roman"/>
                <w:bCs/>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1,1-二氯乙</w:t>
            </w:r>
            <w:r>
              <w:rPr>
                <w:rFonts w:hint="default" w:ascii="Times New Roman" w:hAnsi="Times New Roman" w:cs="Times New Roman"/>
                <w:color w:val="000000"/>
                <w:sz w:val="21"/>
                <w:szCs w:val="21"/>
                <w:lang w:val="en-US" w:eastAsia="zh-CN"/>
              </w:rPr>
              <w:t>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7CCDED6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94467CB">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5D4DF003">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2A62637">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73AA11DB">
            <w:pPr>
              <w:jc w:val="center"/>
              <w:rPr>
                <w:rFonts w:hint="default" w:ascii="Times New Roman" w:hAnsi="Times New Roman" w:eastAsia="宋体" w:cs="Times New Roman"/>
                <w:bCs/>
                <w:color w:val="auto"/>
                <w:kern w:val="2"/>
                <w:sz w:val="21"/>
                <w:szCs w:val="21"/>
                <w:highlight w:val="red"/>
                <w:lang w:val="en-US" w:eastAsia="zh-CN" w:bidi="ar-SA"/>
              </w:rPr>
            </w:pPr>
            <w:r>
              <w:rPr>
                <w:rFonts w:hint="default" w:ascii="Times New Roman" w:hAnsi="Times New Roman" w:cs="Times New Roman"/>
                <w:bCs/>
                <w:color w:val="auto"/>
                <w:kern w:val="2"/>
                <w:sz w:val="21"/>
                <w:szCs w:val="21"/>
                <w:highlight w:val="none"/>
                <w:lang w:val="en-US" w:eastAsia="zh-CN" w:bidi="ar-SA"/>
              </w:rPr>
              <w:t>66</w:t>
            </w:r>
          </w:p>
        </w:tc>
      </w:tr>
      <w:tr w14:paraId="2CB4DCD6">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7348CBB8">
            <w:pPr>
              <w:jc w:val="center"/>
              <w:rPr>
                <w:rFonts w:hint="default" w:ascii="Times New Roman" w:hAnsi="Times New Roman" w:eastAsia="宋体" w:cs="Times New Roman"/>
                <w:bCs/>
                <w:color w:val="000000"/>
                <w:kern w:val="0"/>
                <w:sz w:val="21"/>
                <w:szCs w:val="21"/>
                <w:lang w:val="en-US" w:eastAsia="zh-CN" w:bidi="ar-SA"/>
              </w:rPr>
            </w:pPr>
            <w:r>
              <w:rPr>
                <w:rFonts w:hint="default" w:ascii="Times New Roman" w:hAnsi="Times New Roman" w:cs="Times New Roman"/>
                <w:bCs/>
                <w:color w:val="000000"/>
                <w:sz w:val="21"/>
                <w:szCs w:val="21"/>
                <w:lang w:val="en-US" w:eastAsia="zh-CN"/>
              </w:rPr>
              <w:t>二氯甲烷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27BA792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B80AC9A">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20BEA0F8">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481352D">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59D82998">
            <w:pPr>
              <w:jc w:val="center"/>
              <w:rPr>
                <w:rFonts w:hint="default" w:ascii="Times New Roman" w:hAnsi="Times New Roman" w:eastAsia="宋体" w:cs="Times New Roman"/>
                <w:bCs/>
                <w:color w:val="auto"/>
                <w:kern w:val="2"/>
                <w:sz w:val="21"/>
                <w:szCs w:val="21"/>
                <w:highlight w:val="red"/>
                <w:lang w:val="en-US" w:eastAsia="zh-CN" w:bidi="ar-SA"/>
              </w:rPr>
            </w:pPr>
            <w:r>
              <w:rPr>
                <w:rFonts w:hint="default" w:ascii="Times New Roman" w:hAnsi="Times New Roman" w:cs="Times New Roman"/>
                <w:bCs/>
                <w:color w:val="auto"/>
                <w:kern w:val="2"/>
                <w:sz w:val="21"/>
                <w:szCs w:val="21"/>
                <w:highlight w:val="none"/>
                <w:lang w:val="en-US" w:eastAsia="zh-CN" w:bidi="ar-SA"/>
              </w:rPr>
              <w:t>616</w:t>
            </w:r>
          </w:p>
        </w:tc>
      </w:tr>
      <w:tr w14:paraId="56A43EA3">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03CB6BE9">
            <w:pPr>
              <w:jc w:val="center"/>
              <w:rPr>
                <w:rFonts w:hint="default" w:ascii="Times New Roman" w:hAnsi="Times New Roman" w:eastAsia="宋体" w:cs="Times New Roman"/>
                <w:bCs/>
                <w:color w:val="000000"/>
                <w:kern w:val="0"/>
                <w:sz w:val="21"/>
                <w:szCs w:val="21"/>
                <w:lang w:val="en-US" w:eastAsia="zh-CN" w:bidi="ar-SA"/>
              </w:rPr>
            </w:pPr>
            <w:r>
              <w:rPr>
                <w:rFonts w:hint="default" w:ascii="Times New Roman" w:hAnsi="Times New Roman" w:cs="Times New Roman"/>
                <w:bCs/>
                <w:color w:val="000000"/>
                <w:sz w:val="21"/>
                <w:szCs w:val="21"/>
                <w:lang w:val="en-US" w:eastAsia="zh-CN"/>
              </w:rPr>
              <w:t>反-1,2-二氯乙烯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60BE964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5D0AC4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3F972119">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55AE173">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72E98A63">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54</w:t>
            </w:r>
          </w:p>
        </w:tc>
      </w:tr>
      <w:tr w14:paraId="15C6F06E">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0488AE4">
            <w:pPr>
              <w:jc w:val="center"/>
              <w:rPr>
                <w:rFonts w:hint="default" w:ascii="Times New Roman" w:hAnsi="Times New Roman" w:eastAsia="宋体" w:cs="Times New Roman"/>
                <w:bCs/>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1,1-二氯乙烷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9058C4F">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EFBFE17">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2B0EE177">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AE7B6A1">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6CC84831">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9</w:t>
            </w:r>
          </w:p>
        </w:tc>
      </w:tr>
      <w:tr w14:paraId="794D55A9">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6C64F449">
            <w:pPr>
              <w:jc w:val="center"/>
              <w:rPr>
                <w:rFonts w:hint="default" w:ascii="Times New Roman" w:hAnsi="Times New Roman" w:eastAsia="宋体" w:cs="Times New Roman"/>
                <w:bCs/>
                <w:color w:val="000000"/>
                <w:kern w:val="0"/>
                <w:sz w:val="21"/>
                <w:szCs w:val="21"/>
                <w:lang w:val="en-US" w:eastAsia="zh-CN" w:bidi="ar-SA"/>
              </w:rPr>
            </w:pPr>
            <w:r>
              <w:rPr>
                <w:rFonts w:hint="default" w:ascii="Times New Roman" w:hAnsi="Times New Roman" w:cs="Times New Roman"/>
                <w:bCs/>
                <w:color w:val="000000"/>
                <w:sz w:val="21"/>
                <w:szCs w:val="21"/>
                <w:lang w:val="en-US" w:eastAsia="zh-CN"/>
              </w:rPr>
              <w:t>顺-1,2-二氯乙烯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48A33D7B">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E23D4C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2CD87561">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FAA0B96">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46A045ED">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596</w:t>
            </w:r>
          </w:p>
        </w:tc>
      </w:tr>
      <w:tr w14:paraId="1DB60D00">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2E473963">
            <w:pPr>
              <w:jc w:val="center"/>
              <w:rPr>
                <w:rFonts w:hint="default" w:ascii="Times New Roman" w:hAnsi="Times New Roman" w:eastAsia="宋体" w:cs="Times New Roman"/>
                <w:bCs/>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氯仿</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68198BD4">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6F69AA4">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3832B25A">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782CD2B">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37C5DB2E">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0.9</w:t>
            </w:r>
          </w:p>
        </w:tc>
      </w:tr>
      <w:tr w14:paraId="37E03956">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565BDA4A">
            <w:pPr>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000000"/>
                <w:sz w:val="21"/>
                <w:szCs w:val="21"/>
                <w:lang w:val="en-US" w:eastAsia="zh-CN"/>
              </w:rPr>
              <w:t>1,1,1-三氯乙烷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6A21AF8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5A67CE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4E9BF077">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56ECBC9">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743E0831">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840</w:t>
            </w:r>
          </w:p>
        </w:tc>
      </w:tr>
      <w:tr w14:paraId="1C56C948">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71123A40">
            <w:pPr>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四氯化碳</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116591F0">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99F4457">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145A7885">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948C412">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2CFEDCF4">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2.8</w:t>
            </w:r>
          </w:p>
        </w:tc>
      </w:tr>
      <w:tr w14:paraId="38831DE5">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05A193A4">
            <w:pPr>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1,2-二氯乙烷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0648852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B0628F3">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3BDAD3AF">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31944EE">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63DBBF78">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5</w:t>
            </w:r>
          </w:p>
        </w:tc>
      </w:tr>
      <w:tr w14:paraId="5050F1B6">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46AF1D47">
            <w:pPr>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cs="Times New Roman"/>
                <w:bCs/>
                <w:color w:val="000000"/>
                <w:sz w:val="21"/>
                <w:szCs w:val="21"/>
                <w:lang w:val="en-US" w:eastAsia="zh-CN"/>
              </w:rPr>
              <w:t>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CB8BDD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BC57FC2">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1636EACF">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5FE3274">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3CD19E3A">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4</w:t>
            </w:r>
          </w:p>
        </w:tc>
      </w:tr>
      <w:tr w14:paraId="433007CC">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2B855C25">
            <w:pPr>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三氯乙烯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4808EE9C">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4E2C5C2">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2439D664">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8B66916">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04206D66">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2.8</w:t>
            </w:r>
          </w:p>
        </w:tc>
      </w:tr>
      <w:tr w14:paraId="029FA108">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E3A7FC3">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 w:val="21"/>
                <w:szCs w:val="21"/>
                <w:lang w:val="en-US" w:eastAsia="zh-CN"/>
              </w:rPr>
              <w:t>1,2-二氯丙烷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7C82C35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9F4414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024DA772">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8D5AE98">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46BD27BE">
            <w:pPr>
              <w:jc w:val="center"/>
              <w:rPr>
                <w:rFonts w:hint="default" w:ascii="Times New Roman" w:hAnsi="Times New Roman" w:cs="Times New Roman"/>
                <w:bCs/>
                <w:color w:val="auto"/>
                <w:sz w:val="21"/>
                <w:szCs w:val="21"/>
                <w:highlight w:val="red"/>
                <w:lang w:val="en-US" w:eastAsia="zh-CN"/>
              </w:rPr>
            </w:pPr>
            <w:r>
              <w:rPr>
                <w:rFonts w:hint="default" w:ascii="Times New Roman" w:hAnsi="Times New Roman" w:cs="Times New Roman"/>
                <w:bCs/>
                <w:color w:val="auto"/>
                <w:sz w:val="21"/>
                <w:szCs w:val="21"/>
                <w:highlight w:val="none"/>
                <w:lang w:val="en-US" w:eastAsia="zh-CN"/>
              </w:rPr>
              <w:t>5</w:t>
            </w:r>
          </w:p>
        </w:tc>
      </w:tr>
      <w:tr w14:paraId="6F537558">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45A9B1A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甲苯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47104940">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0"/>
                <w:sz w:val="21"/>
                <w:szCs w:val="21"/>
                <w:lang w:eastAsia="zh-CN"/>
              </w:rPr>
              <w:t>μ</w:t>
            </w:r>
            <w:r>
              <w:rPr>
                <w:rFonts w:hint="default" w:ascii="Times New Roman" w:hAnsi="Times New Roman" w:cs="Times New Roman"/>
                <w:color w:val="000000"/>
                <w:kern w:val="0"/>
                <w:sz w:val="21"/>
                <w:szCs w:val="21"/>
              </w:rPr>
              <w:t>g/</w:t>
            </w:r>
            <w:r>
              <w:rPr>
                <w:rFonts w:hint="default" w:ascii="Times New Roman" w:hAnsi="Times New Roman" w:cs="Times New Roman"/>
                <w:color w:val="000000"/>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6983860">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7831D414">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3FC03F4">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445E424B">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1200</w:t>
            </w:r>
          </w:p>
        </w:tc>
      </w:tr>
      <w:tr w14:paraId="55A13E30">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56F319FC">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1,1,2-三氯乙烷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08C473D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6CD267E">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63A2A609">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8825851">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474A3E15">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2.8</w:t>
            </w:r>
          </w:p>
        </w:tc>
      </w:tr>
      <w:tr w14:paraId="3C85535C">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63277D2F">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四氯乙烯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A7AA8D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7E23D7A">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71F10706">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09ECBB6">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0BA2B995">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53</w:t>
            </w:r>
          </w:p>
        </w:tc>
      </w:tr>
      <w:tr w14:paraId="5662C54E">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AAA28FD">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氯苯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48199F25">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B36036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4E07312A">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9B1B882">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78C6E7F1">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270</w:t>
            </w:r>
          </w:p>
        </w:tc>
      </w:tr>
      <w:tr w14:paraId="3918F70A">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1B4ACD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 w:val="21"/>
                <w:szCs w:val="21"/>
                <w:lang w:val="en-US" w:eastAsia="zh-CN"/>
              </w:rPr>
              <w:t>1,1,1,2-四氯乙烷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503DC3C3">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D433CFB">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0BD7209D">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02FCF96">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3965A0D8">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10</w:t>
            </w:r>
          </w:p>
        </w:tc>
      </w:tr>
      <w:tr w14:paraId="4BC7EC24">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6AEED05E">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乙苯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006BDE87">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5756C7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745DAA68">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E376FD1">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621F5F0F">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28</w:t>
            </w:r>
          </w:p>
        </w:tc>
      </w:tr>
      <w:tr w14:paraId="614ADB04">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1D4CC2BB">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间,对-二甲苯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13CA310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E1A4ADE">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1AA58C2B">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D9A9469">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36DF79F9">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570</w:t>
            </w:r>
          </w:p>
        </w:tc>
      </w:tr>
      <w:tr w14:paraId="5EA62997">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116C1F0D">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邻-二甲苯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00A6A6A2">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4ED3596">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5B7052E7">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F39D3CB">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0B6CA51F">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640</w:t>
            </w:r>
          </w:p>
        </w:tc>
      </w:tr>
      <w:tr w14:paraId="2B85E84B">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245E7E56">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苯乙烯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EA2759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AB6F28A">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5AFEA948">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0D9BE48">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430BC314">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1290</w:t>
            </w:r>
          </w:p>
        </w:tc>
      </w:tr>
      <w:tr w14:paraId="0E209B90">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461CCDD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 w:val="21"/>
                <w:szCs w:val="21"/>
                <w:lang w:val="en-US" w:eastAsia="zh-CN"/>
              </w:rPr>
              <w:t>1,1,2,2-四氯乙烷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58A9B192">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9F63C75">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3C6420F4">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7B6DAE5">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58002E6B">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6.8</w:t>
            </w:r>
          </w:p>
        </w:tc>
      </w:tr>
      <w:tr w14:paraId="583DD789">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5E47CA9B">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1,2,3-三氯丙烷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1846FAEE">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64E9D63">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510E6E2B">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132D8E3">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61AEF6DC">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0.5</w:t>
            </w:r>
          </w:p>
        </w:tc>
      </w:tr>
      <w:tr w14:paraId="1552DCD7">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EF5C5E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 w:val="21"/>
                <w:szCs w:val="21"/>
                <w:lang w:val="en-US" w:eastAsia="zh-CN"/>
              </w:rPr>
              <w:t>1,4-二氯苯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75C04822">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BEECDB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3743A2FF">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1BF76C6">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16F7642E">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20</w:t>
            </w:r>
          </w:p>
        </w:tc>
      </w:tr>
      <w:tr w14:paraId="16C652B3">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0428A60">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 w:val="21"/>
                <w:szCs w:val="21"/>
                <w:lang w:val="en-US" w:eastAsia="zh-CN"/>
              </w:rPr>
              <w:t>1,2-二氯苯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7067CDA">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lang w:eastAsia="zh-CN"/>
              </w:rPr>
              <w:t>μ</w:t>
            </w:r>
            <w:r>
              <w:rPr>
                <w:rFonts w:hint="default" w:ascii="Times New Roman" w:hAnsi="Times New Roman" w:cs="Times New Roman"/>
                <w:kern w:val="0"/>
                <w:sz w:val="21"/>
                <w:szCs w:val="21"/>
              </w:rPr>
              <w:t>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853D1D3">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73D88D89">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1475D93">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2D915F78">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560</w:t>
            </w:r>
          </w:p>
        </w:tc>
      </w:tr>
      <w:tr w14:paraId="3B28FF80">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55893D23">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氯甲烷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629327FF">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0"/>
                <w:sz w:val="21"/>
                <w:szCs w:val="21"/>
                <w:lang w:eastAsia="zh-CN"/>
              </w:rPr>
              <w:t>μ</w:t>
            </w:r>
            <w:r>
              <w:rPr>
                <w:rFonts w:hint="default" w:ascii="Times New Roman" w:hAnsi="Times New Roman" w:cs="Times New Roman"/>
                <w:color w:val="000000"/>
                <w:kern w:val="0"/>
                <w:sz w:val="21"/>
                <w:szCs w:val="21"/>
              </w:rPr>
              <w:t>g/</w:t>
            </w:r>
            <w:r>
              <w:rPr>
                <w:rFonts w:hint="default" w:ascii="Times New Roman" w:hAnsi="Times New Roman" w:cs="Times New Roman"/>
                <w:color w:val="000000"/>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B830F5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558893C0">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A73A627">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131DA8A3">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37</w:t>
            </w:r>
          </w:p>
        </w:tc>
      </w:tr>
      <w:tr w14:paraId="735AB05D">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6FE0376E">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硝基苯</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4493C2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0"/>
                <w:sz w:val="21"/>
                <w:szCs w:val="21"/>
              </w:rPr>
              <w:t>mg/</w:t>
            </w:r>
            <w:r>
              <w:rPr>
                <w:rFonts w:hint="default" w:ascii="Times New Roman" w:hAnsi="Times New Roman" w:cs="Times New Roman"/>
                <w:color w:val="000000"/>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05E2B33">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37127D71">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40A6C31">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06D60330">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76</w:t>
            </w:r>
          </w:p>
        </w:tc>
      </w:tr>
      <w:tr w14:paraId="370BC753">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25DBFE68">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苯胺</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5404807C">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0"/>
                <w:sz w:val="21"/>
                <w:szCs w:val="21"/>
              </w:rPr>
              <w:t>mg/</w:t>
            </w:r>
            <w:r>
              <w:rPr>
                <w:rFonts w:hint="default" w:ascii="Times New Roman" w:hAnsi="Times New Roman" w:cs="Times New Roman"/>
                <w:color w:val="000000"/>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3E2990F">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20FD252A">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07A51F7">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5919F530">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260</w:t>
            </w:r>
          </w:p>
        </w:tc>
      </w:tr>
      <w:tr w14:paraId="235F42A1">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600B769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2-氯</w:t>
            </w:r>
            <w:r>
              <w:rPr>
                <w:rFonts w:hint="default" w:ascii="Times New Roman" w:hAnsi="Times New Roman" w:cs="Times New Roman"/>
                <w:color w:val="000000"/>
                <w:sz w:val="21"/>
                <w:szCs w:val="21"/>
                <w:lang w:val="en-US" w:eastAsia="zh-CN"/>
              </w:rPr>
              <w:t>苯</w:t>
            </w:r>
            <w:r>
              <w:rPr>
                <w:rFonts w:hint="default" w:ascii="Times New Roman" w:hAnsi="Times New Roman" w:eastAsia="宋体" w:cs="Times New Roman"/>
                <w:color w:val="000000"/>
                <w:sz w:val="21"/>
                <w:szCs w:val="21"/>
                <w:lang w:val="en-US" w:eastAsia="zh-CN"/>
              </w:rPr>
              <w:t>酚</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48A7651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597B9A4">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035AC083">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D82FA69">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733B3D25">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2256</w:t>
            </w:r>
          </w:p>
        </w:tc>
      </w:tr>
      <w:tr w14:paraId="6BE2BE7D">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1D21EDCD">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苯并</w:t>
            </w:r>
            <w:r>
              <w:rPr>
                <w:rFonts w:hint="eastAsia" w:ascii="微软雅黑" w:hAnsi="微软雅黑" w:eastAsia="微软雅黑" w:cs="微软雅黑"/>
                <w:color w:val="000000"/>
                <w:sz w:val="21"/>
                <w:szCs w:val="21"/>
                <w:lang w:val="en-US" w:eastAsia="zh-CN"/>
              </w:rPr>
              <w:t>【</w:t>
            </w:r>
            <w:r>
              <w:rPr>
                <w:rFonts w:hint="default" w:ascii="Times New Roman" w:hAnsi="Times New Roman" w:eastAsia="宋体" w:cs="Times New Roman"/>
                <w:color w:val="000000"/>
                <w:sz w:val="21"/>
                <w:szCs w:val="21"/>
                <w:lang w:val="en-US" w:eastAsia="zh-CN"/>
              </w:rPr>
              <w:t>a</w:t>
            </w:r>
            <w:r>
              <w:rPr>
                <w:rFonts w:hint="eastAsia" w:ascii="微软雅黑" w:hAnsi="微软雅黑" w:eastAsia="微软雅黑" w:cs="微软雅黑"/>
                <w:color w:val="000000"/>
                <w:sz w:val="21"/>
                <w:szCs w:val="21"/>
                <w:lang w:val="en-US" w:eastAsia="zh-CN"/>
              </w:rPr>
              <w:t>】</w:t>
            </w:r>
            <w:r>
              <w:rPr>
                <w:rFonts w:hint="default" w:ascii="Times New Roman" w:hAnsi="Times New Roman" w:eastAsia="宋体" w:cs="Times New Roman"/>
                <w:color w:val="000000"/>
                <w:sz w:val="21"/>
                <w:szCs w:val="21"/>
                <w:lang w:val="en-US" w:eastAsia="zh-CN"/>
              </w:rPr>
              <w:t>蒽</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61483B6E">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05F3D66">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7400AA3E">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8E5DCF5">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526F3000">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15</w:t>
            </w:r>
          </w:p>
        </w:tc>
      </w:tr>
      <w:tr w14:paraId="507AF351">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5300B6AF">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苯并</w:t>
            </w:r>
            <w:r>
              <w:rPr>
                <w:rFonts w:hint="eastAsia" w:ascii="微软雅黑" w:hAnsi="微软雅黑" w:eastAsia="微软雅黑" w:cs="微软雅黑"/>
                <w:color w:val="000000"/>
                <w:sz w:val="21"/>
                <w:szCs w:val="21"/>
                <w:lang w:val="en-US" w:eastAsia="zh-CN"/>
              </w:rPr>
              <w:t>【</w:t>
            </w:r>
            <w:r>
              <w:rPr>
                <w:rFonts w:hint="default" w:ascii="Times New Roman" w:hAnsi="Times New Roman" w:eastAsia="宋体" w:cs="Times New Roman"/>
                <w:color w:val="000000"/>
                <w:sz w:val="21"/>
                <w:szCs w:val="21"/>
                <w:lang w:val="en-US" w:eastAsia="zh-CN"/>
              </w:rPr>
              <w:t>a</w:t>
            </w:r>
            <w:r>
              <w:rPr>
                <w:rFonts w:hint="eastAsia" w:ascii="微软雅黑" w:hAnsi="微软雅黑" w:eastAsia="微软雅黑" w:cs="微软雅黑"/>
                <w:color w:val="000000"/>
                <w:sz w:val="21"/>
                <w:szCs w:val="21"/>
                <w:lang w:val="en-US" w:eastAsia="zh-CN"/>
              </w:rPr>
              <w:t>】</w:t>
            </w:r>
            <w:r>
              <w:rPr>
                <w:rFonts w:hint="default" w:ascii="Times New Roman" w:hAnsi="Times New Roman" w:eastAsia="宋体" w:cs="Times New Roman"/>
                <w:color w:val="000000"/>
                <w:sz w:val="21"/>
                <w:szCs w:val="21"/>
                <w:lang w:val="en-US" w:eastAsia="zh-CN"/>
              </w:rPr>
              <w:t>芘</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2AAF5D96">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859A5F4">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3561BA48">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95409EB">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45046B1B">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1.5</w:t>
            </w:r>
          </w:p>
        </w:tc>
      </w:tr>
      <w:tr w14:paraId="50724C26">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706EAC4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 w:val="21"/>
                <w:szCs w:val="21"/>
                <w:lang w:val="en-US" w:eastAsia="zh-CN"/>
              </w:rPr>
              <w:t>苯并</w:t>
            </w:r>
            <w:r>
              <w:rPr>
                <w:rFonts w:hint="eastAsia" w:ascii="微软雅黑" w:hAnsi="微软雅黑" w:eastAsia="微软雅黑" w:cs="微软雅黑"/>
                <w:bCs/>
                <w:color w:val="000000"/>
                <w:sz w:val="21"/>
                <w:szCs w:val="21"/>
                <w:lang w:val="en-US" w:eastAsia="zh-CN"/>
              </w:rPr>
              <w:t>【</w:t>
            </w:r>
            <w:r>
              <w:rPr>
                <w:rFonts w:hint="default" w:ascii="Times New Roman" w:hAnsi="Times New Roman" w:cs="Times New Roman"/>
                <w:bCs/>
                <w:color w:val="000000"/>
                <w:sz w:val="21"/>
                <w:szCs w:val="21"/>
                <w:lang w:val="en-US" w:eastAsia="zh-CN"/>
              </w:rPr>
              <w:t>b</w:t>
            </w:r>
            <w:r>
              <w:rPr>
                <w:rFonts w:hint="eastAsia" w:ascii="微软雅黑" w:hAnsi="微软雅黑" w:eastAsia="微软雅黑" w:cs="微软雅黑"/>
                <w:bCs/>
                <w:color w:val="000000"/>
                <w:sz w:val="21"/>
                <w:szCs w:val="21"/>
                <w:lang w:val="en-US" w:eastAsia="zh-CN"/>
              </w:rPr>
              <w:t>】</w:t>
            </w:r>
            <w:r>
              <w:rPr>
                <w:rFonts w:hint="default" w:ascii="Times New Roman" w:hAnsi="Times New Roman" w:cs="Times New Roman"/>
                <w:bCs/>
                <w:color w:val="000000"/>
                <w:sz w:val="21"/>
                <w:szCs w:val="21"/>
                <w:lang w:val="en-US" w:eastAsia="zh-CN"/>
              </w:rPr>
              <w:t>荧蒽</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5DFE1C00">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3462C1A">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45AC9FB1">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022E802">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53946D4E">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15</w:t>
            </w:r>
          </w:p>
        </w:tc>
      </w:tr>
      <w:tr w14:paraId="5B0C3209">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2961E879">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 w:val="21"/>
                <w:szCs w:val="21"/>
                <w:lang w:val="en-US" w:eastAsia="zh-CN"/>
              </w:rPr>
              <w:t>苯并</w:t>
            </w:r>
            <w:r>
              <w:rPr>
                <w:rFonts w:hint="eastAsia" w:ascii="微软雅黑" w:hAnsi="微软雅黑" w:eastAsia="微软雅黑" w:cs="微软雅黑"/>
                <w:bCs/>
                <w:color w:val="000000"/>
                <w:sz w:val="21"/>
                <w:szCs w:val="21"/>
                <w:lang w:val="en-US" w:eastAsia="zh-CN"/>
              </w:rPr>
              <w:t>【</w:t>
            </w:r>
            <w:r>
              <w:rPr>
                <w:rFonts w:hint="default" w:ascii="Times New Roman" w:hAnsi="Times New Roman" w:cs="Times New Roman"/>
                <w:bCs/>
                <w:color w:val="000000"/>
                <w:sz w:val="21"/>
                <w:szCs w:val="21"/>
                <w:lang w:val="en-US" w:eastAsia="zh-CN"/>
              </w:rPr>
              <w:t>k</w:t>
            </w:r>
            <w:r>
              <w:rPr>
                <w:rFonts w:hint="eastAsia" w:ascii="微软雅黑" w:hAnsi="微软雅黑" w:eastAsia="微软雅黑" w:cs="微软雅黑"/>
                <w:bCs/>
                <w:color w:val="000000"/>
                <w:sz w:val="21"/>
                <w:szCs w:val="21"/>
                <w:lang w:val="en-US" w:eastAsia="zh-CN"/>
              </w:rPr>
              <w:t>】</w:t>
            </w:r>
            <w:r>
              <w:rPr>
                <w:rFonts w:hint="default" w:ascii="Times New Roman" w:hAnsi="Times New Roman" w:cs="Times New Roman"/>
                <w:bCs/>
                <w:color w:val="000000"/>
                <w:sz w:val="21"/>
                <w:szCs w:val="21"/>
                <w:lang w:val="en-US" w:eastAsia="zh-CN"/>
              </w:rPr>
              <w:t>荧蒽</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795CB8ED">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0"/>
                <w:sz w:val="21"/>
                <w:szCs w:val="21"/>
              </w:rPr>
              <w:t>mg/</w:t>
            </w:r>
            <w:r>
              <w:rPr>
                <w:rFonts w:hint="default" w:ascii="Times New Roman" w:hAnsi="Times New Roman" w:cs="Times New Roman"/>
                <w:color w:val="000000"/>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5F44196">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21374035">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DB89637">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154BFCCA">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151</w:t>
            </w:r>
          </w:p>
        </w:tc>
      </w:tr>
      <w:tr w14:paraId="3877A404">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C736F9A">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 w:val="21"/>
                <w:szCs w:val="21"/>
                <w:lang w:val="en-US" w:eastAsia="zh-CN"/>
              </w:rPr>
              <w:t>䓛</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B81AD6C">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505AC30">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39ADC2DC">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65A822E">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71FAF7F1">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1293</w:t>
            </w:r>
          </w:p>
        </w:tc>
      </w:tr>
      <w:tr w14:paraId="099CAB2C">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D7B7207">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 w:val="21"/>
                <w:szCs w:val="21"/>
                <w:lang w:val="en-US" w:eastAsia="zh-CN"/>
              </w:rPr>
              <w:t>二苯并</w:t>
            </w:r>
            <w:r>
              <w:rPr>
                <w:rFonts w:hint="eastAsia" w:ascii="微软雅黑" w:hAnsi="微软雅黑" w:eastAsia="微软雅黑" w:cs="微软雅黑"/>
                <w:bCs/>
                <w:color w:val="000000"/>
                <w:sz w:val="21"/>
                <w:szCs w:val="21"/>
                <w:lang w:val="en-US" w:eastAsia="zh-CN"/>
              </w:rPr>
              <w:t>【</w:t>
            </w:r>
            <w:r>
              <w:rPr>
                <w:rFonts w:hint="default" w:ascii="Times New Roman" w:hAnsi="Times New Roman" w:cs="Times New Roman"/>
                <w:bCs/>
                <w:color w:val="000000"/>
                <w:sz w:val="21"/>
                <w:szCs w:val="21"/>
                <w:lang w:val="en-US" w:eastAsia="zh-CN"/>
              </w:rPr>
              <w:t>a,h</w:t>
            </w:r>
            <w:r>
              <w:rPr>
                <w:rFonts w:hint="eastAsia" w:ascii="微软雅黑" w:hAnsi="微软雅黑" w:eastAsia="微软雅黑" w:cs="微软雅黑"/>
                <w:bCs/>
                <w:color w:val="000000"/>
                <w:sz w:val="21"/>
                <w:szCs w:val="21"/>
                <w:lang w:val="en-US" w:eastAsia="zh-CN"/>
              </w:rPr>
              <w:t>】</w:t>
            </w:r>
            <w:r>
              <w:rPr>
                <w:rFonts w:hint="default" w:ascii="Times New Roman" w:hAnsi="Times New Roman" w:cs="Times New Roman"/>
                <w:bCs/>
                <w:color w:val="000000"/>
                <w:sz w:val="21"/>
                <w:szCs w:val="21"/>
                <w:lang w:val="en-US" w:eastAsia="zh-CN"/>
              </w:rPr>
              <w:t>蒽</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1C1232A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5E5AB1D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16BBD0DC">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046FB2C">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07B506A2">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1.5</w:t>
            </w:r>
          </w:p>
        </w:tc>
      </w:tr>
      <w:tr w14:paraId="553F7DFA">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487E5685">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茚并</w:t>
            </w:r>
            <w:r>
              <w:rPr>
                <w:rFonts w:hint="eastAsia" w:ascii="微软雅黑" w:hAnsi="微软雅黑" w:eastAsia="微软雅黑" w:cs="微软雅黑"/>
                <w:color w:val="000000"/>
                <w:sz w:val="21"/>
                <w:szCs w:val="21"/>
                <w:lang w:val="en-US" w:eastAsia="zh-CN"/>
              </w:rPr>
              <w:t>【</w:t>
            </w:r>
            <w:r>
              <w:rPr>
                <w:rFonts w:hint="default" w:ascii="Times New Roman" w:hAnsi="Times New Roman" w:eastAsia="宋体" w:cs="Times New Roman"/>
                <w:color w:val="000000"/>
                <w:sz w:val="21"/>
                <w:szCs w:val="21"/>
                <w:lang w:val="en-US" w:eastAsia="zh-CN"/>
              </w:rPr>
              <w:t>1,2,3-cd</w:t>
            </w:r>
            <w:r>
              <w:rPr>
                <w:rFonts w:hint="eastAsia" w:ascii="微软雅黑" w:hAnsi="微软雅黑" w:eastAsia="微软雅黑" w:cs="微软雅黑"/>
                <w:color w:val="000000"/>
                <w:sz w:val="21"/>
                <w:szCs w:val="21"/>
                <w:lang w:val="en-US" w:eastAsia="zh-CN"/>
              </w:rPr>
              <w:t>】</w:t>
            </w:r>
            <w:r>
              <w:rPr>
                <w:rFonts w:hint="default" w:ascii="Times New Roman" w:hAnsi="Times New Roman" w:eastAsia="宋体" w:cs="Times New Roman"/>
                <w:color w:val="000000"/>
                <w:sz w:val="21"/>
                <w:szCs w:val="21"/>
                <w:lang w:val="en-US" w:eastAsia="zh-CN"/>
              </w:rPr>
              <w:t>芘</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57DD0306">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6E63D12">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67A51C52">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F93F855">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13983E48">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15</w:t>
            </w:r>
          </w:p>
        </w:tc>
      </w:tr>
      <w:tr w14:paraId="6E784909">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0792B02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萘</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7840D855">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77190DC">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579A90D7">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12759C4">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2E73446B">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70</w:t>
            </w:r>
          </w:p>
        </w:tc>
      </w:tr>
      <w:tr w14:paraId="358AB9EA">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1B058D3B">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砷</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59F9FEBF">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1DA819C">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15.7</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307A4709">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16.6</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875BF1A">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16.3</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4A6C57C9">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60</w:t>
            </w:r>
          </w:p>
        </w:tc>
      </w:tr>
      <w:tr w14:paraId="592E3D93">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FF33D5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铅</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63F74A31">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66A0DBA">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30</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7FDDD0A8">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30</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0579380">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27</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0C3B3228">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800</w:t>
            </w:r>
          </w:p>
        </w:tc>
      </w:tr>
      <w:tr w14:paraId="29F8FED0">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16024627">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汞</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7BBB2800">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0BC1D171">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0.082</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72D75A8C">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0.083</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3BC9F2FA">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0.083</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5E01686B">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38</w:t>
            </w:r>
          </w:p>
        </w:tc>
      </w:tr>
      <w:tr w14:paraId="277FEB09">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357F855F">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镉</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620A431C">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7384A77">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0.35</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6AE28776">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0.35</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60A45AC">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0.36</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1FDEF000">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color w:val="000000"/>
                <w:sz w:val="21"/>
                <w:szCs w:val="21"/>
                <w:lang w:val="en-US" w:eastAsia="zh-CN"/>
              </w:rPr>
              <w:t>65</w:t>
            </w:r>
          </w:p>
        </w:tc>
      </w:tr>
      <w:tr w14:paraId="7C6B4B4E">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23CF4C8C">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铜</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4FABF484">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FDF9AC9">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27</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1F2E24E5">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25</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2E4510BB">
            <w:pPr>
              <w:widowControl/>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24</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6E279077">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18000</w:t>
            </w:r>
          </w:p>
        </w:tc>
      </w:tr>
      <w:tr w14:paraId="4BC9AAA2">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6B6EC7E7">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eastAsia="zh-CN"/>
              </w:rPr>
              <w:t>镍</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21BA7D2F">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6BDFDF3C">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48</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749F6F9D">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44</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793B1F1B">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47</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358AB468">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900</w:t>
            </w:r>
          </w:p>
        </w:tc>
      </w:tr>
      <w:tr w14:paraId="215E2728">
        <w:tblPrEx>
          <w:tblCellMar>
            <w:top w:w="15" w:type="dxa"/>
            <w:left w:w="15" w:type="dxa"/>
            <w:bottom w:w="15" w:type="dxa"/>
            <w:right w:w="15" w:type="dxa"/>
          </w:tblCellMar>
        </w:tblPrEx>
        <w:trPr>
          <w:trHeight w:val="340" w:hRule="exact"/>
          <w:jc w:val="center"/>
        </w:trPr>
        <w:tc>
          <w:tcPr>
            <w:tcW w:w="1069" w:type="pct"/>
            <w:tcBorders>
              <w:top w:val="single" w:color="auto" w:sz="4" w:space="0"/>
              <w:left w:val="single" w:color="auto" w:sz="4" w:space="0"/>
              <w:bottom w:val="single" w:color="auto" w:sz="4" w:space="0"/>
              <w:right w:val="single" w:color="auto" w:sz="4" w:space="0"/>
            </w:tcBorders>
            <w:noWrap w:val="0"/>
            <w:vAlign w:val="center"/>
          </w:tcPr>
          <w:p w14:paraId="6B60E1CA">
            <w:pPr>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cs="Times New Roman"/>
                <w:color w:val="000000"/>
                <w:sz w:val="21"/>
                <w:szCs w:val="21"/>
                <w:lang w:eastAsia="zh-CN"/>
              </w:rPr>
              <w:t>六价铬</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1799697E">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0"/>
                <w:sz w:val="21"/>
                <w:szCs w:val="21"/>
              </w:rPr>
              <w:t>mg/</w:t>
            </w:r>
            <w:r>
              <w:rPr>
                <w:rFonts w:hint="default" w:ascii="Times New Roman" w:hAnsi="Times New Roman" w:cs="Times New Roman"/>
                <w:kern w:val="0"/>
                <w:sz w:val="21"/>
                <w:szCs w:val="21"/>
                <w:lang w:val="en-US" w:eastAsia="zh-CN"/>
              </w:rPr>
              <w:t>kg</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1D891389">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85" w:type="pct"/>
            <w:tcBorders>
              <w:top w:val="single" w:color="auto" w:sz="4" w:space="0"/>
              <w:left w:val="single" w:color="auto" w:sz="4" w:space="0"/>
              <w:bottom w:val="single" w:color="auto" w:sz="4" w:space="0"/>
              <w:right w:val="single" w:color="auto" w:sz="4" w:space="0"/>
            </w:tcBorders>
            <w:noWrap w:val="0"/>
            <w:vAlign w:val="center"/>
          </w:tcPr>
          <w:p w14:paraId="4635EC7C">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31" w:type="pct"/>
            <w:tcBorders>
              <w:top w:val="single" w:color="auto" w:sz="4" w:space="0"/>
              <w:left w:val="single" w:color="auto" w:sz="4" w:space="0"/>
              <w:bottom w:val="single" w:color="auto" w:sz="4" w:space="0"/>
              <w:right w:val="single" w:color="auto" w:sz="4" w:space="0"/>
            </w:tcBorders>
            <w:noWrap w:val="0"/>
            <w:vAlign w:val="center"/>
          </w:tcPr>
          <w:p w14:paraId="4B81F6A1">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未检出</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4992F715">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5.7</w:t>
            </w:r>
          </w:p>
        </w:tc>
      </w:tr>
    </w:tbl>
    <w:p w14:paraId="3911B9EB">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根据监测结果可知，项目所在地土壤中污染物的含量低于</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土壤环境质量建设用地土壤污染风险管控标准（试行）</w:t>
      </w:r>
      <w:r>
        <w:rPr>
          <w:rFonts w:hint="default" w:ascii="Times New Roman" w:hAnsi="Times New Roman" w:cs="Times New Roman"/>
          <w:color w:val="auto"/>
          <w:lang w:val="en-US"/>
        </w:rPr>
        <w:t>》（GB36600-2018）表1风险筛选值（基本项目）</w:t>
      </w:r>
      <w:r>
        <w:rPr>
          <w:rFonts w:hint="default" w:ascii="Times New Roman" w:hAnsi="Times New Roman" w:cs="Times New Roman"/>
          <w:color w:val="auto"/>
          <w:lang w:val="en-US" w:eastAsia="zh-CN"/>
        </w:rPr>
        <w:t>。</w:t>
      </w:r>
    </w:p>
    <w:p w14:paraId="754F25CB">
      <w:pPr>
        <w:pStyle w:val="4"/>
        <w:bidi w:val="0"/>
        <w:rPr>
          <w:rFonts w:hint="default" w:ascii="Times New Roman" w:hAnsi="Times New Roman" w:cs="Times New Roman"/>
          <w:color w:val="FF0000"/>
          <w:lang w:val="en-US"/>
        </w:rPr>
      </w:pPr>
      <w:r>
        <w:rPr>
          <w:rFonts w:hint="default" w:ascii="Times New Roman" w:hAnsi="Times New Roman" w:cs="Times New Roman"/>
          <w:color w:val="FF0000"/>
          <w:lang w:val="en-US"/>
        </w:rPr>
        <w:t>生态环境现状调查与评价</w:t>
      </w:r>
    </w:p>
    <w:p w14:paraId="102FACF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eastAsia="宋体" w:cs="Times New Roman"/>
          <w:color w:val="FF0000"/>
          <w:lang w:val="en-US"/>
        </w:rPr>
      </w:pPr>
      <w:r>
        <w:rPr>
          <w:rFonts w:hint="default" w:ascii="Times New Roman" w:hAnsi="Times New Roman" w:eastAsia="宋体" w:cs="Times New Roman"/>
          <w:color w:val="FF0000"/>
          <w:lang w:val="en-US"/>
        </w:rPr>
        <w:t>根据《新疆生产建设兵团生态功能区划》，工程区生态功能区的主要生态服务功能、生态敏感因子、主要生态环境问题和主要保护目标，见表</w:t>
      </w:r>
      <w:r>
        <w:rPr>
          <w:rFonts w:hint="default" w:ascii="Times New Roman" w:hAnsi="Times New Roman" w:eastAsia="宋体" w:cs="Times New Roman"/>
          <w:color w:val="FF0000"/>
          <w:lang w:val="en-US" w:eastAsia="zh-CN"/>
        </w:rPr>
        <w:t>4.2-9</w:t>
      </w:r>
      <w:r>
        <w:rPr>
          <w:rFonts w:hint="default" w:ascii="Times New Roman" w:hAnsi="Times New Roman" w:eastAsia="宋体" w:cs="Times New Roman"/>
          <w:color w:val="FF0000"/>
          <w:lang w:val="en-US"/>
        </w:rPr>
        <w:t>。</w:t>
      </w:r>
    </w:p>
    <w:p w14:paraId="1807A012">
      <w:pPr>
        <w:pStyle w:val="14"/>
        <w:spacing w:before="1" w:line="212" w:lineRule="auto"/>
        <w:ind w:left="993"/>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表</w:t>
      </w:r>
      <w:r>
        <w:rPr>
          <w:rFonts w:hint="default" w:ascii="Times New Roman" w:hAnsi="Times New Roman" w:cs="Times New Roman"/>
          <w:color w:val="FF0000"/>
          <w:sz w:val="21"/>
          <w:szCs w:val="21"/>
        </w:rPr>
        <w:fldChar w:fldCharType="begin"/>
      </w:r>
      <w:r>
        <w:rPr>
          <w:rFonts w:hint="default" w:ascii="Times New Roman" w:hAnsi="Times New Roman" w:cs="Times New Roman"/>
          <w:color w:val="FF0000"/>
          <w:sz w:val="21"/>
          <w:szCs w:val="21"/>
        </w:rPr>
        <w:instrText xml:space="preserve"> STYLEREF 2 \s </w:instrText>
      </w:r>
      <w:r>
        <w:rPr>
          <w:rFonts w:hint="default" w:ascii="Times New Roman" w:hAnsi="Times New Roman" w:cs="Times New Roman"/>
          <w:color w:val="FF0000"/>
          <w:sz w:val="21"/>
          <w:szCs w:val="21"/>
        </w:rPr>
        <w:fldChar w:fldCharType="separate"/>
      </w:r>
      <w:r>
        <w:rPr>
          <w:rFonts w:hint="default" w:ascii="Times New Roman" w:hAnsi="Times New Roman" w:cs="Times New Roman"/>
          <w:color w:val="FF0000"/>
          <w:sz w:val="21"/>
          <w:szCs w:val="21"/>
        </w:rPr>
        <w:t>4.2</w:t>
      </w:r>
      <w:r>
        <w:rPr>
          <w:rFonts w:hint="default" w:ascii="Times New Roman" w:hAnsi="Times New Roman" w:cs="Times New Roman"/>
          <w:color w:val="FF0000"/>
          <w:sz w:val="21"/>
          <w:szCs w:val="21"/>
        </w:rPr>
        <w:fldChar w:fldCharType="end"/>
      </w:r>
      <w:r>
        <w:rPr>
          <w:rFonts w:hint="default" w:ascii="Times New Roman" w:hAnsi="Times New Roman" w:cs="Times New Roman"/>
          <w:color w:val="FF0000"/>
          <w:sz w:val="21"/>
          <w:szCs w:val="21"/>
          <w:lang w:eastAsia="zh-CN"/>
        </w:rPr>
        <w:t>-</w:t>
      </w:r>
      <w:r>
        <w:rPr>
          <w:rFonts w:hint="default" w:ascii="Times New Roman" w:hAnsi="Times New Roman" w:cs="Times New Roman"/>
          <w:color w:val="FF0000"/>
          <w:sz w:val="21"/>
          <w:szCs w:val="21"/>
        </w:rPr>
        <w:fldChar w:fldCharType="begin"/>
      </w:r>
      <w:r>
        <w:rPr>
          <w:rFonts w:hint="default" w:ascii="Times New Roman" w:hAnsi="Times New Roman" w:cs="Times New Roman"/>
          <w:color w:val="FF0000"/>
          <w:sz w:val="21"/>
          <w:szCs w:val="21"/>
        </w:rPr>
        <w:instrText xml:space="preserve"> SEQ 表 \* ARABIC \s 2 </w:instrText>
      </w:r>
      <w:r>
        <w:rPr>
          <w:rFonts w:hint="default" w:ascii="Times New Roman" w:hAnsi="Times New Roman" w:cs="Times New Roman"/>
          <w:color w:val="FF0000"/>
          <w:sz w:val="21"/>
          <w:szCs w:val="21"/>
        </w:rPr>
        <w:fldChar w:fldCharType="separate"/>
      </w:r>
      <w:r>
        <w:rPr>
          <w:rFonts w:hint="default" w:ascii="Times New Roman" w:hAnsi="Times New Roman" w:cs="Times New Roman"/>
          <w:color w:val="FF0000"/>
          <w:sz w:val="21"/>
          <w:szCs w:val="21"/>
        </w:rPr>
        <w:t>9</w:t>
      </w:r>
      <w:r>
        <w:rPr>
          <w:rFonts w:hint="default" w:ascii="Times New Roman" w:hAnsi="Times New Roman" w:cs="Times New Roman"/>
          <w:color w:val="FF0000"/>
          <w:sz w:val="21"/>
          <w:szCs w:val="21"/>
        </w:rPr>
        <w:fldChar w:fldCharType="end"/>
      </w:r>
      <w:r>
        <w:rPr>
          <w:rFonts w:hint="default" w:ascii="Times New Roman" w:hAnsi="Times New Roman" w:cs="Times New Roman"/>
          <w:b/>
          <w:bCs/>
          <w:color w:val="FF0000"/>
          <w:spacing w:val="-2"/>
          <w:sz w:val="21"/>
          <w:szCs w:val="21"/>
        </w:rPr>
        <w:t>工程区生态功能区划</w:t>
      </w:r>
    </w:p>
    <w:tbl>
      <w:tblPr>
        <w:tblStyle w:val="76"/>
        <w:tblW w:w="505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51"/>
        <w:gridCol w:w="1080"/>
        <w:gridCol w:w="6108"/>
      </w:tblGrid>
      <w:tr w14:paraId="1839A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741" w:type="pct"/>
            <w:vMerge w:val="restart"/>
            <w:tcBorders>
              <w:top w:val="single" w:color="000000" w:sz="10" w:space="0"/>
              <w:left w:val="single" w:color="000000" w:sz="10" w:space="0"/>
              <w:bottom w:val="nil"/>
            </w:tcBorders>
            <w:noWrap w:val="0"/>
            <w:vAlign w:val="center"/>
          </w:tcPr>
          <w:p w14:paraId="7935A1CD">
            <w:pPr>
              <w:pStyle w:val="113"/>
              <w:spacing w:before="54" w:line="207" w:lineRule="auto"/>
              <w:jc w:val="left"/>
              <w:rPr>
                <w:rFonts w:hint="default" w:ascii="Times New Roman" w:hAnsi="Times New Roman" w:eastAsia="Times New Roman" w:cs="Times New Roman"/>
                <w:color w:val="FF0000"/>
                <w:spacing w:val="-2"/>
                <w:sz w:val="21"/>
                <w:szCs w:val="21"/>
              </w:rPr>
            </w:pPr>
            <w:r>
              <w:rPr>
                <w:rFonts w:hint="default" w:ascii="Times New Roman" w:hAnsi="Times New Roman" w:eastAsia="Times New Roman" w:cs="Times New Roman"/>
                <w:color w:val="FF0000"/>
                <w:spacing w:val="-2"/>
                <w:sz w:val="21"/>
                <w:szCs w:val="21"/>
              </w:rPr>
              <w:t>生态功能分区单元</w:t>
            </w:r>
          </w:p>
        </w:tc>
        <w:tc>
          <w:tcPr>
            <w:tcW w:w="640" w:type="pct"/>
            <w:tcBorders>
              <w:top w:val="single" w:color="000000" w:sz="10" w:space="0"/>
            </w:tcBorders>
            <w:noWrap w:val="0"/>
            <w:vAlign w:val="center"/>
          </w:tcPr>
          <w:p w14:paraId="615F495A">
            <w:pPr>
              <w:pStyle w:val="113"/>
              <w:spacing w:before="54" w:line="207" w:lineRule="auto"/>
              <w:jc w:val="left"/>
              <w:rPr>
                <w:rFonts w:hint="default" w:ascii="Times New Roman" w:hAnsi="Times New Roman" w:eastAsia="Times New Roman" w:cs="Times New Roman"/>
                <w:color w:val="FF0000"/>
                <w:spacing w:val="-2"/>
                <w:sz w:val="21"/>
                <w:szCs w:val="21"/>
              </w:rPr>
            </w:pPr>
            <w:r>
              <w:rPr>
                <w:rFonts w:hint="default" w:ascii="Times New Roman" w:hAnsi="Times New Roman" w:eastAsia="Times New Roman" w:cs="Times New Roman"/>
                <w:color w:val="FF0000"/>
                <w:spacing w:val="-2"/>
                <w:sz w:val="21"/>
                <w:szCs w:val="21"/>
              </w:rPr>
              <w:t>生态区</w:t>
            </w:r>
          </w:p>
        </w:tc>
        <w:tc>
          <w:tcPr>
            <w:tcW w:w="3618" w:type="pct"/>
            <w:tcBorders>
              <w:top w:val="single" w:color="000000" w:sz="10" w:space="0"/>
              <w:right w:val="single" w:color="000000" w:sz="10" w:space="0"/>
            </w:tcBorders>
            <w:noWrap w:val="0"/>
            <w:vAlign w:val="center"/>
          </w:tcPr>
          <w:p w14:paraId="39ACCAA6">
            <w:pPr>
              <w:pStyle w:val="113"/>
              <w:spacing w:before="54" w:line="207" w:lineRule="auto"/>
              <w:jc w:val="left"/>
              <w:rPr>
                <w:rFonts w:hint="default" w:ascii="Times New Roman" w:hAnsi="Times New Roman" w:eastAsia="Times New Roman" w:cs="Times New Roman"/>
                <w:color w:val="FF0000"/>
                <w:spacing w:val="-2"/>
                <w:sz w:val="21"/>
                <w:szCs w:val="21"/>
              </w:rPr>
            </w:pPr>
            <w:r>
              <w:rPr>
                <w:rFonts w:hint="default" w:ascii="Times New Roman" w:hAnsi="Times New Roman" w:eastAsia="Times New Roman" w:cs="Times New Roman"/>
                <w:color w:val="FF0000"/>
                <w:spacing w:val="-2"/>
                <w:sz w:val="21"/>
                <w:szCs w:val="21"/>
              </w:rPr>
              <w:t>兵团阿尔泰山—准噶尔盆地西部山地半干旱草原、针叶林生态区</w:t>
            </w:r>
          </w:p>
        </w:tc>
      </w:tr>
      <w:tr w14:paraId="20640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741" w:type="pct"/>
            <w:vMerge w:val="continue"/>
            <w:tcBorders>
              <w:top w:val="nil"/>
              <w:left w:val="single" w:color="000000" w:sz="10" w:space="0"/>
              <w:bottom w:val="nil"/>
            </w:tcBorders>
            <w:noWrap w:val="0"/>
            <w:vAlign w:val="center"/>
          </w:tcPr>
          <w:p w14:paraId="2D4E9EC0">
            <w:pPr>
              <w:pStyle w:val="113"/>
              <w:spacing w:before="54" w:line="207" w:lineRule="auto"/>
              <w:ind w:left="784"/>
              <w:jc w:val="left"/>
              <w:rPr>
                <w:rFonts w:hint="default" w:ascii="Times New Roman" w:hAnsi="Times New Roman" w:eastAsia="Times New Roman" w:cs="Times New Roman"/>
                <w:color w:val="FF0000"/>
                <w:spacing w:val="-2"/>
                <w:sz w:val="21"/>
                <w:szCs w:val="21"/>
              </w:rPr>
            </w:pPr>
          </w:p>
        </w:tc>
        <w:tc>
          <w:tcPr>
            <w:tcW w:w="640" w:type="pct"/>
            <w:noWrap w:val="0"/>
            <w:vAlign w:val="center"/>
          </w:tcPr>
          <w:p w14:paraId="262202B9">
            <w:pPr>
              <w:pStyle w:val="113"/>
              <w:spacing w:before="54" w:line="207" w:lineRule="auto"/>
              <w:jc w:val="left"/>
              <w:rPr>
                <w:rFonts w:hint="default" w:ascii="Times New Roman" w:hAnsi="Times New Roman" w:eastAsia="Times New Roman" w:cs="Times New Roman"/>
                <w:color w:val="FF0000"/>
                <w:spacing w:val="-2"/>
                <w:sz w:val="21"/>
                <w:szCs w:val="21"/>
              </w:rPr>
            </w:pPr>
            <w:r>
              <w:rPr>
                <w:rFonts w:hint="default" w:ascii="Times New Roman" w:hAnsi="Times New Roman" w:eastAsia="Times New Roman" w:cs="Times New Roman"/>
                <w:color w:val="FF0000"/>
                <w:spacing w:val="-2"/>
                <w:sz w:val="21"/>
                <w:szCs w:val="21"/>
              </w:rPr>
              <w:t>生态亚区</w:t>
            </w:r>
          </w:p>
        </w:tc>
        <w:tc>
          <w:tcPr>
            <w:tcW w:w="3618" w:type="pct"/>
            <w:tcBorders>
              <w:right w:val="single" w:color="000000" w:sz="10" w:space="0"/>
            </w:tcBorders>
            <w:noWrap w:val="0"/>
            <w:vAlign w:val="center"/>
          </w:tcPr>
          <w:p w14:paraId="786D20F3">
            <w:pPr>
              <w:pStyle w:val="113"/>
              <w:spacing w:before="54" w:line="207" w:lineRule="auto"/>
              <w:jc w:val="left"/>
              <w:rPr>
                <w:rFonts w:hint="default" w:ascii="Times New Roman" w:hAnsi="Times New Roman" w:eastAsia="Times New Roman" w:cs="Times New Roman"/>
                <w:color w:val="FF0000"/>
                <w:spacing w:val="-2"/>
                <w:sz w:val="21"/>
                <w:szCs w:val="21"/>
              </w:rPr>
            </w:pPr>
            <w:r>
              <w:rPr>
                <w:rFonts w:hint="default" w:ascii="Times New Roman" w:hAnsi="Times New Roman" w:eastAsia="Times New Roman" w:cs="Times New Roman"/>
                <w:color w:val="FF0000"/>
                <w:spacing w:val="-2"/>
                <w:sz w:val="21"/>
                <w:szCs w:val="21"/>
              </w:rPr>
              <w:t>十师额尔齐斯河—乌伦古河灌溉农业、盐渍化敏感生态亚区</w:t>
            </w:r>
          </w:p>
        </w:tc>
      </w:tr>
      <w:tr w14:paraId="742D6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741" w:type="pct"/>
            <w:vMerge w:val="continue"/>
            <w:tcBorders>
              <w:top w:val="nil"/>
              <w:left w:val="single" w:color="000000" w:sz="10" w:space="0"/>
            </w:tcBorders>
            <w:noWrap w:val="0"/>
            <w:vAlign w:val="center"/>
          </w:tcPr>
          <w:p w14:paraId="14A288D5">
            <w:pPr>
              <w:pStyle w:val="113"/>
              <w:spacing w:before="54" w:line="207" w:lineRule="auto"/>
              <w:ind w:left="784"/>
              <w:jc w:val="left"/>
              <w:rPr>
                <w:rFonts w:hint="default" w:ascii="Times New Roman" w:hAnsi="Times New Roman" w:eastAsia="Times New Roman" w:cs="Times New Roman"/>
                <w:color w:val="FF0000"/>
                <w:spacing w:val="-2"/>
                <w:sz w:val="21"/>
                <w:szCs w:val="21"/>
              </w:rPr>
            </w:pPr>
          </w:p>
        </w:tc>
        <w:tc>
          <w:tcPr>
            <w:tcW w:w="640" w:type="pct"/>
            <w:noWrap w:val="0"/>
            <w:vAlign w:val="center"/>
          </w:tcPr>
          <w:p w14:paraId="721693EE">
            <w:pPr>
              <w:pStyle w:val="113"/>
              <w:spacing w:before="54" w:line="207" w:lineRule="auto"/>
              <w:jc w:val="left"/>
              <w:rPr>
                <w:rFonts w:hint="default" w:ascii="Times New Roman" w:hAnsi="Times New Roman" w:eastAsia="Times New Roman" w:cs="Times New Roman"/>
                <w:color w:val="FF0000"/>
                <w:spacing w:val="-2"/>
                <w:sz w:val="21"/>
                <w:szCs w:val="21"/>
              </w:rPr>
            </w:pPr>
            <w:r>
              <w:rPr>
                <w:rFonts w:hint="default" w:ascii="Times New Roman" w:hAnsi="Times New Roman" w:eastAsia="Times New Roman" w:cs="Times New Roman"/>
                <w:color w:val="FF0000"/>
                <w:spacing w:val="-2"/>
                <w:sz w:val="21"/>
                <w:szCs w:val="21"/>
              </w:rPr>
              <w:t>生态功能区</w:t>
            </w:r>
          </w:p>
        </w:tc>
        <w:tc>
          <w:tcPr>
            <w:tcW w:w="3618" w:type="pct"/>
            <w:tcBorders>
              <w:right w:val="single" w:color="000000" w:sz="10" w:space="0"/>
            </w:tcBorders>
            <w:noWrap w:val="0"/>
            <w:vAlign w:val="center"/>
          </w:tcPr>
          <w:p w14:paraId="42ABAE20">
            <w:pPr>
              <w:pStyle w:val="113"/>
              <w:spacing w:before="54" w:line="207" w:lineRule="auto"/>
              <w:jc w:val="left"/>
              <w:rPr>
                <w:rFonts w:hint="default" w:ascii="Times New Roman" w:hAnsi="Times New Roman" w:eastAsia="Times New Roman" w:cs="Times New Roman"/>
                <w:color w:val="FF0000"/>
                <w:spacing w:val="-2"/>
                <w:sz w:val="21"/>
                <w:szCs w:val="21"/>
              </w:rPr>
            </w:pPr>
            <w:r>
              <w:rPr>
                <w:rFonts w:hint="default" w:ascii="Times New Roman" w:hAnsi="Times New Roman" w:eastAsia="Times New Roman" w:cs="Times New Roman"/>
                <w:color w:val="FF0000"/>
                <w:spacing w:val="-2"/>
                <w:sz w:val="21"/>
                <w:szCs w:val="21"/>
              </w:rPr>
              <w:t>十师额尔齐斯河—乌伦古河绿洲盐渍化敏感生态功能区</w:t>
            </w:r>
          </w:p>
        </w:tc>
      </w:tr>
      <w:tr w14:paraId="7500D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81" w:type="pct"/>
            <w:gridSpan w:val="2"/>
            <w:tcBorders>
              <w:left w:val="single" w:color="000000" w:sz="10" w:space="0"/>
            </w:tcBorders>
            <w:noWrap w:val="0"/>
            <w:vAlign w:val="center"/>
          </w:tcPr>
          <w:p w14:paraId="185F5A14">
            <w:pPr>
              <w:pStyle w:val="113"/>
              <w:spacing w:before="49" w:line="194" w:lineRule="auto"/>
              <w:ind w:left="544"/>
              <w:jc w:val="left"/>
              <w:rPr>
                <w:rFonts w:hint="default" w:ascii="Times New Roman" w:hAnsi="Times New Roman" w:cs="Times New Roman"/>
                <w:color w:val="FF0000"/>
                <w:sz w:val="21"/>
                <w:szCs w:val="21"/>
              </w:rPr>
            </w:pPr>
            <w:r>
              <w:rPr>
                <w:rFonts w:hint="default" w:ascii="Times New Roman" w:hAnsi="Times New Roman" w:cs="Times New Roman"/>
                <w:color w:val="FF0000"/>
                <w:spacing w:val="-2"/>
                <w:sz w:val="21"/>
                <w:szCs w:val="21"/>
              </w:rPr>
              <w:t>主要生态服务功能</w:t>
            </w:r>
          </w:p>
        </w:tc>
        <w:tc>
          <w:tcPr>
            <w:tcW w:w="3618" w:type="pct"/>
            <w:tcBorders>
              <w:right w:val="single" w:color="000000" w:sz="10" w:space="0"/>
            </w:tcBorders>
            <w:noWrap w:val="0"/>
            <w:vAlign w:val="center"/>
          </w:tcPr>
          <w:p w14:paraId="181DEF4A">
            <w:pPr>
              <w:pStyle w:val="113"/>
              <w:spacing w:before="49" w:line="194" w:lineRule="auto"/>
              <w:ind w:left="1800"/>
              <w:jc w:val="left"/>
              <w:rPr>
                <w:rFonts w:hint="default" w:ascii="Times New Roman" w:hAnsi="Times New Roman" w:cs="Times New Roman"/>
                <w:color w:val="FF0000"/>
                <w:sz w:val="21"/>
                <w:szCs w:val="21"/>
              </w:rPr>
            </w:pPr>
            <w:r>
              <w:rPr>
                <w:rFonts w:hint="default" w:ascii="Times New Roman" w:hAnsi="Times New Roman" w:cs="Times New Roman"/>
                <w:color w:val="FF0000"/>
                <w:spacing w:val="-1"/>
                <w:sz w:val="21"/>
                <w:szCs w:val="21"/>
              </w:rPr>
              <w:t>农产品生产、土壤保持</w:t>
            </w:r>
          </w:p>
        </w:tc>
      </w:tr>
      <w:tr w14:paraId="1A3D8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81" w:type="pct"/>
            <w:gridSpan w:val="2"/>
            <w:tcBorders>
              <w:left w:val="single" w:color="000000" w:sz="10" w:space="0"/>
            </w:tcBorders>
            <w:noWrap w:val="0"/>
            <w:vAlign w:val="center"/>
          </w:tcPr>
          <w:p w14:paraId="60D2DBA5">
            <w:pPr>
              <w:pStyle w:val="113"/>
              <w:spacing w:before="52" w:line="192" w:lineRule="auto"/>
              <w:ind w:left="544"/>
              <w:jc w:val="left"/>
              <w:rPr>
                <w:rFonts w:hint="default" w:ascii="Times New Roman" w:hAnsi="Times New Roman" w:cs="Times New Roman"/>
                <w:color w:val="FF0000"/>
                <w:sz w:val="21"/>
                <w:szCs w:val="21"/>
              </w:rPr>
            </w:pPr>
            <w:r>
              <w:rPr>
                <w:rFonts w:hint="default" w:ascii="Times New Roman" w:hAnsi="Times New Roman" w:cs="Times New Roman"/>
                <w:color w:val="FF0000"/>
                <w:spacing w:val="-2"/>
                <w:sz w:val="21"/>
                <w:szCs w:val="21"/>
              </w:rPr>
              <w:t>主要生态环境问题</w:t>
            </w:r>
          </w:p>
        </w:tc>
        <w:tc>
          <w:tcPr>
            <w:tcW w:w="3618" w:type="pct"/>
            <w:tcBorders>
              <w:right w:val="single" w:color="000000" w:sz="10" w:space="0"/>
            </w:tcBorders>
            <w:noWrap w:val="0"/>
            <w:vAlign w:val="center"/>
          </w:tcPr>
          <w:p w14:paraId="249E74CD">
            <w:pPr>
              <w:pStyle w:val="113"/>
              <w:spacing w:before="52" w:line="192" w:lineRule="auto"/>
              <w:ind w:left="1682"/>
              <w:jc w:val="left"/>
              <w:rPr>
                <w:rFonts w:hint="default" w:ascii="Times New Roman" w:hAnsi="Times New Roman" w:cs="Times New Roman"/>
                <w:color w:val="FF0000"/>
                <w:sz w:val="21"/>
                <w:szCs w:val="21"/>
              </w:rPr>
            </w:pPr>
            <w:r>
              <w:rPr>
                <w:rFonts w:hint="default" w:ascii="Times New Roman" w:hAnsi="Times New Roman" w:cs="Times New Roman"/>
                <w:color w:val="FF0000"/>
                <w:spacing w:val="-2"/>
                <w:sz w:val="21"/>
                <w:szCs w:val="21"/>
              </w:rPr>
              <w:t>绿洲土壤盐渍化、沼泽化</w:t>
            </w:r>
          </w:p>
        </w:tc>
      </w:tr>
      <w:tr w14:paraId="45A4E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1" w:type="pct"/>
            <w:gridSpan w:val="2"/>
            <w:tcBorders>
              <w:left w:val="single" w:color="000000" w:sz="10" w:space="0"/>
            </w:tcBorders>
            <w:noWrap w:val="0"/>
            <w:vAlign w:val="center"/>
          </w:tcPr>
          <w:p w14:paraId="2ADE9B27">
            <w:pPr>
              <w:pStyle w:val="113"/>
              <w:spacing w:before="54" w:line="207" w:lineRule="auto"/>
              <w:ind w:left="784"/>
              <w:jc w:val="left"/>
              <w:rPr>
                <w:rFonts w:hint="default" w:ascii="Times New Roman" w:hAnsi="Times New Roman" w:cs="Times New Roman"/>
                <w:color w:val="FF0000"/>
                <w:sz w:val="21"/>
                <w:szCs w:val="21"/>
              </w:rPr>
            </w:pPr>
            <w:r>
              <w:rPr>
                <w:rFonts w:hint="default" w:ascii="Times New Roman" w:hAnsi="Times New Roman" w:cs="Times New Roman"/>
                <w:color w:val="FF0000"/>
                <w:spacing w:val="-2"/>
                <w:sz w:val="21"/>
                <w:szCs w:val="21"/>
              </w:rPr>
              <w:t>主要保护目标</w:t>
            </w:r>
          </w:p>
        </w:tc>
        <w:tc>
          <w:tcPr>
            <w:tcW w:w="3618" w:type="pct"/>
            <w:tcBorders>
              <w:right w:val="single" w:color="000000" w:sz="10" w:space="0"/>
            </w:tcBorders>
            <w:noWrap w:val="0"/>
            <w:vAlign w:val="center"/>
          </w:tcPr>
          <w:p w14:paraId="11BAD15C">
            <w:pPr>
              <w:pStyle w:val="113"/>
              <w:spacing w:before="54" w:line="207" w:lineRule="auto"/>
              <w:ind w:left="1695"/>
              <w:jc w:val="left"/>
              <w:rPr>
                <w:rFonts w:hint="default" w:ascii="Times New Roman" w:hAnsi="Times New Roman" w:cs="Times New Roman"/>
                <w:color w:val="FF0000"/>
                <w:sz w:val="21"/>
                <w:szCs w:val="21"/>
              </w:rPr>
            </w:pPr>
            <w:r>
              <w:rPr>
                <w:rFonts w:hint="default" w:ascii="Times New Roman" w:hAnsi="Times New Roman" w:cs="Times New Roman"/>
                <w:color w:val="FF0000"/>
                <w:spacing w:val="-3"/>
                <w:sz w:val="21"/>
                <w:szCs w:val="21"/>
              </w:rPr>
              <w:t>防止土壤盐渍化、沼泽化</w:t>
            </w:r>
          </w:p>
        </w:tc>
      </w:tr>
      <w:tr w14:paraId="4987E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1" w:type="pct"/>
            <w:gridSpan w:val="2"/>
            <w:tcBorders>
              <w:left w:val="single" w:color="000000" w:sz="10" w:space="0"/>
            </w:tcBorders>
            <w:noWrap w:val="0"/>
            <w:vAlign w:val="center"/>
          </w:tcPr>
          <w:p w14:paraId="080B6F57">
            <w:pPr>
              <w:pStyle w:val="113"/>
              <w:spacing w:before="33" w:line="199" w:lineRule="auto"/>
              <w:ind w:left="784" w:leftChars="0"/>
              <w:jc w:val="left"/>
              <w:rPr>
                <w:rFonts w:hint="default" w:ascii="Times New Roman" w:hAnsi="Times New Roman" w:cs="Times New Roman"/>
                <w:color w:val="FF0000"/>
                <w:spacing w:val="-2"/>
                <w:sz w:val="21"/>
                <w:szCs w:val="21"/>
              </w:rPr>
            </w:pPr>
            <w:r>
              <w:rPr>
                <w:rFonts w:hint="default" w:ascii="Times New Roman" w:hAnsi="Times New Roman" w:cs="Times New Roman"/>
                <w:color w:val="FF0000"/>
                <w:spacing w:val="-2"/>
                <w:sz w:val="21"/>
                <w:szCs w:val="21"/>
              </w:rPr>
              <w:t>主要保护措施</w:t>
            </w:r>
          </w:p>
        </w:tc>
        <w:tc>
          <w:tcPr>
            <w:tcW w:w="3618" w:type="pct"/>
            <w:tcBorders>
              <w:right w:val="single" w:color="000000" w:sz="10" w:space="0"/>
            </w:tcBorders>
            <w:noWrap w:val="0"/>
            <w:vAlign w:val="center"/>
          </w:tcPr>
          <w:p w14:paraId="143C8A00">
            <w:pPr>
              <w:pStyle w:val="113"/>
              <w:spacing w:before="33" w:line="199" w:lineRule="auto"/>
              <w:ind w:left="720" w:leftChars="0"/>
              <w:jc w:val="left"/>
              <w:rPr>
                <w:rFonts w:hint="default" w:ascii="Times New Roman" w:hAnsi="Times New Roman" w:cs="Times New Roman"/>
                <w:color w:val="FF0000"/>
                <w:spacing w:val="-3"/>
                <w:sz w:val="21"/>
                <w:szCs w:val="21"/>
              </w:rPr>
            </w:pPr>
            <w:r>
              <w:rPr>
                <w:rFonts w:hint="default" w:ascii="Times New Roman" w:hAnsi="Times New Roman" w:cs="Times New Roman"/>
                <w:color w:val="FF0000"/>
                <w:spacing w:val="-1"/>
                <w:sz w:val="21"/>
                <w:szCs w:val="21"/>
              </w:rPr>
              <w:t>节水灌溉、健全排水措施、加强防护林建设</w:t>
            </w:r>
          </w:p>
        </w:tc>
      </w:tr>
      <w:tr w14:paraId="1157B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1" w:type="pct"/>
            <w:gridSpan w:val="2"/>
            <w:tcBorders>
              <w:left w:val="single" w:color="000000" w:sz="10" w:space="0"/>
              <w:bottom w:val="single" w:color="000000" w:sz="10" w:space="0"/>
            </w:tcBorders>
            <w:noWrap w:val="0"/>
            <w:vAlign w:val="center"/>
          </w:tcPr>
          <w:p w14:paraId="6A419E90">
            <w:pPr>
              <w:pStyle w:val="113"/>
              <w:spacing w:before="168" w:line="220" w:lineRule="auto"/>
              <w:ind w:left="782" w:leftChars="0"/>
              <w:jc w:val="left"/>
              <w:rPr>
                <w:rFonts w:hint="default" w:ascii="Times New Roman" w:hAnsi="Times New Roman" w:cs="Times New Roman"/>
                <w:color w:val="FF0000"/>
                <w:spacing w:val="-2"/>
                <w:sz w:val="21"/>
                <w:szCs w:val="21"/>
              </w:rPr>
            </w:pPr>
            <w:r>
              <w:rPr>
                <w:rFonts w:hint="default" w:ascii="Times New Roman" w:hAnsi="Times New Roman" w:cs="Times New Roman"/>
                <w:color w:val="FF0000"/>
                <w:spacing w:val="-2"/>
                <w:sz w:val="21"/>
                <w:szCs w:val="21"/>
              </w:rPr>
              <w:t>适宜发展方向</w:t>
            </w:r>
          </w:p>
        </w:tc>
        <w:tc>
          <w:tcPr>
            <w:tcW w:w="3618" w:type="pct"/>
            <w:tcBorders>
              <w:bottom w:val="single" w:color="000000" w:sz="10" w:space="0"/>
              <w:right w:val="single" w:color="000000" w:sz="10" w:space="0"/>
            </w:tcBorders>
            <w:noWrap w:val="0"/>
            <w:vAlign w:val="center"/>
          </w:tcPr>
          <w:p w14:paraId="215A9B8E">
            <w:pPr>
              <w:pStyle w:val="113"/>
              <w:spacing w:before="30" w:line="205" w:lineRule="auto"/>
              <w:ind w:left="2163" w:leftChars="0" w:right="163" w:rightChars="0" w:hanging="2043" w:firstLineChars="0"/>
              <w:jc w:val="left"/>
              <w:rPr>
                <w:rFonts w:hint="default" w:ascii="Times New Roman" w:hAnsi="Times New Roman" w:cs="Times New Roman"/>
                <w:color w:val="FF0000"/>
                <w:spacing w:val="-3"/>
                <w:sz w:val="21"/>
                <w:szCs w:val="21"/>
              </w:rPr>
            </w:pPr>
            <w:r>
              <w:rPr>
                <w:rFonts w:hint="default" w:ascii="Times New Roman" w:hAnsi="Times New Roman" w:cs="Times New Roman"/>
                <w:color w:val="FF0000"/>
                <w:spacing w:val="-3"/>
                <w:sz w:val="21"/>
                <w:szCs w:val="21"/>
              </w:rPr>
              <w:t>种植业发展优质小麦、油料等；建立人工饲草料基地，</w:t>
            </w:r>
            <w:r>
              <w:rPr>
                <w:rFonts w:hint="default" w:ascii="Times New Roman" w:hAnsi="Times New Roman" w:cs="Times New Roman"/>
                <w:color w:val="FF0000"/>
                <w:spacing w:val="-2"/>
                <w:sz w:val="21"/>
                <w:szCs w:val="21"/>
              </w:rPr>
              <w:t>发展农区畜牧业</w:t>
            </w:r>
          </w:p>
        </w:tc>
      </w:tr>
    </w:tbl>
    <w:p w14:paraId="7599AC2A">
      <w:pPr>
        <w:spacing w:before="197" w:line="360" w:lineRule="auto"/>
        <w:ind w:left="123" w:right="110" w:firstLine="478"/>
        <w:jc w:val="both"/>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pacing w:val="-1"/>
          <w:sz w:val="24"/>
          <w:szCs w:val="24"/>
        </w:rPr>
        <w:t>根据《环境影响评价技术导则生态影响》（</w:t>
      </w:r>
      <w:r>
        <w:rPr>
          <w:rFonts w:hint="default" w:ascii="Times New Roman" w:hAnsi="Times New Roman" w:eastAsia="Times New Roman" w:cs="Times New Roman"/>
          <w:color w:val="FF0000"/>
          <w:spacing w:val="-1"/>
          <w:sz w:val="24"/>
          <w:szCs w:val="24"/>
        </w:rPr>
        <w:t>HJ19-2022</w:t>
      </w:r>
      <w:r>
        <w:rPr>
          <w:rFonts w:hint="default" w:ascii="Times New Roman" w:hAnsi="Times New Roman" w:eastAsia="宋体" w:cs="Times New Roman"/>
          <w:color w:val="FF0000"/>
          <w:spacing w:val="11"/>
          <w:sz w:val="24"/>
          <w:szCs w:val="24"/>
        </w:rPr>
        <w:t>），</w:t>
      </w:r>
      <w:r>
        <w:rPr>
          <w:rFonts w:hint="default" w:ascii="Times New Roman" w:hAnsi="Times New Roman" w:eastAsia="宋体" w:cs="Times New Roman"/>
          <w:color w:val="FF0000"/>
          <w:spacing w:val="-1"/>
          <w:sz w:val="24"/>
          <w:szCs w:val="24"/>
        </w:rPr>
        <w:t>本项目生态评价</w:t>
      </w:r>
      <w:r>
        <w:rPr>
          <w:rFonts w:hint="default" w:ascii="Times New Roman" w:hAnsi="Times New Roman" w:eastAsia="宋体" w:cs="Times New Roman"/>
          <w:color w:val="FF0000"/>
          <w:spacing w:val="1"/>
          <w:sz w:val="24"/>
          <w:szCs w:val="24"/>
        </w:rPr>
        <w:t xml:space="preserve"> </w:t>
      </w:r>
      <w:r>
        <w:rPr>
          <w:rFonts w:hint="default" w:ascii="Times New Roman" w:hAnsi="Times New Roman" w:eastAsia="宋体" w:cs="Times New Roman"/>
          <w:color w:val="FF0000"/>
          <w:spacing w:val="-3"/>
          <w:sz w:val="24"/>
          <w:szCs w:val="24"/>
        </w:rPr>
        <w:t>等级为三级，三级评价现状调查以收集有效资料为主，可开展必要的遥感调查或</w:t>
      </w:r>
      <w:r>
        <w:rPr>
          <w:rFonts w:hint="default" w:ascii="Times New Roman" w:hAnsi="Times New Roman" w:eastAsia="宋体" w:cs="Times New Roman"/>
          <w:color w:val="FF0000"/>
          <w:sz w:val="24"/>
          <w:szCs w:val="24"/>
        </w:rPr>
        <w:t xml:space="preserve"> </w:t>
      </w:r>
      <w:r>
        <w:rPr>
          <w:rFonts w:hint="default" w:ascii="Times New Roman" w:hAnsi="Times New Roman" w:eastAsia="宋体" w:cs="Times New Roman"/>
          <w:color w:val="FF0000"/>
          <w:spacing w:val="-1"/>
          <w:sz w:val="24"/>
          <w:szCs w:val="24"/>
        </w:rPr>
        <w:t>现场校核，本项目的生态现状调查以收集有效资料为主。</w:t>
      </w:r>
    </w:p>
    <w:p w14:paraId="11C0CE61">
      <w:pPr>
        <w:spacing w:before="3" w:line="369" w:lineRule="auto"/>
        <w:ind w:left="121" w:right="110" w:firstLine="480"/>
        <w:jc w:val="both"/>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根据《环境影响评价技术导则－生态影响》（</w:t>
      </w:r>
      <w:r>
        <w:rPr>
          <w:rFonts w:hint="default" w:ascii="Times New Roman" w:hAnsi="Times New Roman" w:eastAsia="Times New Roman" w:cs="Times New Roman"/>
          <w:color w:val="FF0000"/>
          <w:sz w:val="24"/>
          <w:szCs w:val="24"/>
        </w:rPr>
        <w:t>HJ19-</w:t>
      </w:r>
      <w:r>
        <w:rPr>
          <w:rFonts w:hint="default" w:ascii="Times New Roman" w:hAnsi="Times New Roman" w:eastAsia="Times New Roman" w:cs="Times New Roman"/>
          <w:color w:val="FF0000"/>
          <w:spacing w:val="-1"/>
          <w:sz w:val="24"/>
          <w:szCs w:val="24"/>
        </w:rPr>
        <w:t>2022</w:t>
      </w:r>
      <w:r>
        <w:rPr>
          <w:rFonts w:hint="default" w:ascii="Times New Roman" w:hAnsi="Times New Roman" w:eastAsia="宋体" w:cs="Times New Roman"/>
          <w:color w:val="FF0000"/>
          <w:spacing w:val="-1"/>
          <w:sz w:val="24"/>
          <w:szCs w:val="24"/>
        </w:rPr>
        <w:t>）要求，结合工程</w:t>
      </w:r>
      <w:r>
        <w:rPr>
          <w:rFonts w:hint="default" w:ascii="Times New Roman" w:hAnsi="Times New Roman" w:eastAsia="宋体" w:cs="Times New Roman"/>
          <w:color w:val="FF0000"/>
          <w:sz w:val="24"/>
          <w:szCs w:val="24"/>
        </w:rPr>
        <w:t xml:space="preserve"> </w:t>
      </w:r>
      <w:r>
        <w:rPr>
          <w:rFonts w:hint="default" w:ascii="Times New Roman" w:hAnsi="Times New Roman" w:eastAsia="宋体" w:cs="Times New Roman"/>
          <w:color w:val="FF0000"/>
          <w:spacing w:val="-3"/>
          <w:sz w:val="24"/>
          <w:szCs w:val="24"/>
        </w:rPr>
        <w:t>特点、所在区域环境状况、评价等级及生态环境整体性分析，生态评价主要评价</w:t>
      </w:r>
      <w:r>
        <w:rPr>
          <w:rFonts w:hint="default" w:ascii="Times New Roman" w:hAnsi="Times New Roman" w:eastAsia="宋体" w:cs="Times New Roman"/>
          <w:color w:val="FF0000"/>
          <w:spacing w:val="1"/>
          <w:sz w:val="24"/>
          <w:szCs w:val="24"/>
        </w:rPr>
        <w:t xml:space="preserve"> </w:t>
      </w:r>
      <w:r>
        <w:rPr>
          <w:rFonts w:hint="default" w:ascii="Times New Roman" w:hAnsi="Times New Roman" w:eastAsia="宋体" w:cs="Times New Roman"/>
          <w:color w:val="FF0000"/>
          <w:spacing w:val="-1"/>
          <w:sz w:val="24"/>
          <w:szCs w:val="24"/>
        </w:rPr>
        <w:t>因子为植被破坏，本项目生态环境现状调查范围为项目周边</w:t>
      </w:r>
      <w:r>
        <w:rPr>
          <w:rFonts w:hint="default" w:ascii="Times New Roman" w:hAnsi="Times New Roman" w:eastAsia="Times New Roman" w:cs="Times New Roman"/>
          <w:color w:val="FF0000"/>
          <w:spacing w:val="-1"/>
          <w:sz w:val="24"/>
          <w:szCs w:val="24"/>
        </w:rPr>
        <w:t>200m</w:t>
      </w:r>
      <w:r>
        <w:rPr>
          <w:rFonts w:hint="default" w:ascii="Times New Roman" w:hAnsi="Times New Roman" w:eastAsia="Times New Roman" w:cs="Times New Roman"/>
          <w:color w:val="FF0000"/>
          <w:spacing w:val="45"/>
          <w:sz w:val="24"/>
          <w:szCs w:val="24"/>
        </w:rPr>
        <w:t xml:space="preserve"> </w:t>
      </w:r>
      <w:r>
        <w:rPr>
          <w:rFonts w:hint="default" w:ascii="Times New Roman" w:hAnsi="Times New Roman" w:eastAsia="宋体" w:cs="Times New Roman"/>
          <w:color w:val="FF0000"/>
          <w:spacing w:val="-1"/>
          <w:sz w:val="24"/>
          <w:szCs w:val="24"/>
        </w:rPr>
        <w:t>以内的区域。</w:t>
      </w:r>
    </w:p>
    <w:p w14:paraId="613872B2">
      <w:pPr>
        <w:spacing w:line="360" w:lineRule="auto"/>
        <w:ind w:left="121" w:right="110" w:firstLine="479"/>
        <w:jc w:val="both"/>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pacing w:val="-3"/>
          <w:sz w:val="24"/>
          <w:szCs w:val="24"/>
        </w:rPr>
        <w:t>据调查，项目所处</w:t>
      </w:r>
      <w:r>
        <w:rPr>
          <w:rFonts w:hint="eastAsia" w:ascii="Times New Roman" w:hAnsi="Times New Roman" w:cs="Times New Roman"/>
          <w:color w:val="FF0000"/>
          <w:spacing w:val="-3"/>
          <w:sz w:val="24"/>
          <w:szCs w:val="24"/>
          <w:lang w:eastAsia="zh-CN"/>
        </w:rPr>
        <w:t>区域</w:t>
      </w:r>
      <w:r>
        <w:rPr>
          <w:rFonts w:hint="default" w:ascii="Times New Roman" w:hAnsi="Times New Roman" w:eastAsia="宋体" w:cs="Times New Roman"/>
          <w:color w:val="FF0000"/>
          <w:spacing w:val="-3"/>
          <w:sz w:val="24"/>
          <w:szCs w:val="24"/>
        </w:rPr>
        <w:t>已经处于人类开发活动范围内，无原始</w:t>
      </w:r>
      <w:r>
        <w:rPr>
          <w:rFonts w:hint="default" w:ascii="Times New Roman" w:hAnsi="Times New Roman" w:eastAsia="宋体" w:cs="Times New Roman"/>
          <w:color w:val="FF0000"/>
          <w:spacing w:val="-4"/>
          <w:sz w:val="24"/>
          <w:szCs w:val="24"/>
        </w:rPr>
        <w:t>植被生长和</w:t>
      </w:r>
      <w:r>
        <w:rPr>
          <w:rFonts w:hint="default" w:ascii="Times New Roman" w:hAnsi="Times New Roman" w:eastAsia="宋体" w:cs="Times New Roman"/>
          <w:color w:val="FF0000"/>
          <w:spacing w:val="-3"/>
          <w:sz w:val="24"/>
          <w:szCs w:val="24"/>
        </w:rPr>
        <w:t>珍稀野生动物活动，区域生态系统敏感程度较低。本项目附近土地类型主要为林</w:t>
      </w:r>
      <w:r>
        <w:rPr>
          <w:rFonts w:hint="default" w:ascii="Times New Roman" w:hAnsi="Times New Roman" w:eastAsia="宋体" w:cs="Times New Roman"/>
          <w:color w:val="FF0000"/>
          <w:spacing w:val="-1"/>
          <w:sz w:val="24"/>
          <w:szCs w:val="24"/>
        </w:rPr>
        <w:t>地</w:t>
      </w:r>
      <w:r>
        <w:rPr>
          <w:rFonts w:hint="default" w:ascii="Times New Roman" w:hAnsi="Times New Roman" w:eastAsia="宋体" w:cs="Times New Roman"/>
          <w:color w:val="FF0000"/>
          <w:spacing w:val="-1"/>
          <w:sz w:val="24"/>
          <w:szCs w:val="24"/>
          <w:lang w:val="en-US" w:eastAsia="zh-CN"/>
        </w:rPr>
        <w:t>和农田</w:t>
      </w:r>
      <w:r>
        <w:rPr>
          <w:rFonts w:hint="default" w:ascii="Times New Roman" w:hAnsi="Times New Roman" w:eastAsia="宋体" w:cs="Times New Roman"/>
          <w:color w:val="FF0000"/>
          <w:spacing w:val="-1"/>
          <w:sz w:val="24"/>
          <w:szCs w:val="24"/>
        </w:rPr>
        <w:t>，评价范围内</w:t>
      </w:r>
      <w:r>
        <w:rPr>
          <w:rFonts w:hint="default" w:ascii="Times New Roman" w:hAnsi="Times New Roman" w:eastAsia="宋体" w:cs="Times New Roman"/>
          <w:color w:val="FF0000"/>
          <w:spacing w:val="-1"/>
          <w:sz w:val="24"/>
          <w:szCs w:val="24"/>
          <w:lang w:val="en-US" w:eastAsia="zh-CN"/>
        </w:rPr>
        <w:t>的</w:t>
      </w:r>
      <w:r>
        <w:rPr>
          <w:rFonts w:hint="default" w:ascii="Times New Roman" w:hAnsi="Times New Roman" w:eastAsia="宋体" w:cs="Times New Roman"/>
          <w:color w:val="FF0000"/>
          <w:spacing w:val="-1"/>
          <w:sz w:val="24"/>
          <w:szCs w:val="24"/>
        </w:rPr>
        <w:t>耕地，不属于农田保护区。</w:t>
      </w:r>
    </w:p>
    <w:p w14:paraId="78BC5E71">
      <w:pPr>
        <w:pStyle w:val="5"/>
        <w:bidi w:val="0"/>
        <w:rPr>
          <w:rFonts w:hint="default" w:ascii="Times New Roman" w:hAnsi="Times New Roman" w:cs="Times New Roman"/>
          <w:color w:val="FF0000"/>
        </w:rPr>
      </w:pPr>
      <w:r>
        <w:rPr>
          <w:rFonts w:hint="default" w:ascii="Times New Roman" w:hAnsi="Times New Roman" w:cs="Times New Roman"/>
          <w:color w:val="FF0000"/>
        </w:rPr>
        <w:t>土地利用规划</w:t>
      </w:r>
    </w:p>
    <w:p w14:paraId="1F542937">
      <w:pPr>
        <w:spacing w:line="360" w:lineRule="auto"/>
        <w:ind w:left="121" w:right="110" w:firstLine="479"/>
        <w:jc w:val="both"/>
        <w:rPr>
          <w:rFonts w:hint="default" w:ascii="Times New Roman" w:hAnsi="Times New Roman" w:eastAsia="宋体" w:cs="Times New Roman"/>
          <w:color w:val="FF0000"/>
          <w:spacing w:val="-3"/>
          <w:sz w:val="24"/>
          <w:szCs w:val="24"/>
          <w:lang w:val="en-US"/>
        </w:rPr>
      </w:pPr>
      <w:r>
        <w:rPr>
          <w:rFonts w:hint="default" w:ascii="Times New Roman" w:hAnsi="Times New Roman" w:eastAsia="宋体" w:cs="Times New Roman"/>
          <w:color w:val="FF0000"/>
          <w:spacing w:val="-3"/>
          <w:sz w:val="24"/>
          <w:szCs w:val="24"/>
        </w:rPr>
        <w:t>根据</w:t>
      </w:r>
      <w:r>
        <w:rPr>
          <w:rFonts w:hint="default" w:ascii="Times New Roman" w:hAnsi="Times New Roman" w:eastAsia="宋体" w:cs="Times New Roman"/>
          <w:color w:val="FF0000"/>
          <w:spacing w:val="-3"/>
          <w:sz w:val="24"/>
          <w:szCs w:val="24"/>
          <w:lang w:val="en-US" w:eastAsia="zh-CN"/>
        </w:rPr>
        <w:t>北屯市</w:t>
      </w:r>
      <w:r>
        <w:rPr>
          <w:rFonts w:hint="default" w:ascii="Times New Roman" w:hAnsi="Times New Roman" w:eastAsia="宋体" w:cs="Times New Roman"/>
          <w:color w:val="FF0000"/>
          <w:spacing w:val="-3"/>
          <w:sz w:val="24"/>
          <w:szCs w:val="24"/>
        </w:rPr>
        <w:t>的土地利用规划图，本项目所在地占用土地类型为</w:t>
      </w:r>
      <w:r>
        <w:rPr>
          <w:rFonts w:hint="default" w:ascii="Times New Roman" w:hAnsi="Times New Roman" w:eastAsia="宋体" w:cs="Times New Roman"/>
          <w:color w:val="FF0000"/>
          <w:spacing w:val="-3"/>
          <w:sz w:val="24"/>
          <w:szCs w:val="24"/>
          <w:lang w:val="en-US" w:eastAsia="zh-CN"/>
        </w:rPr>
        <w:t>农用设施用地</w:t>
      </w:r>
      <w:r>
        <w:rPr>
          <w:rFonts w:hint="default" w:ascii="Times New Roman" w:hAnsi="Times New Roman" w:eastAsia="宋体" w:cs="Times New Roman"/>
          <w:color w:val="FF0000"/>
          <w:spacing w:val="-3"/>
          <w:sz w:val="24"/>
          <w:szCs w:val="24"/>
        </w:rPr>
        <w:t>。</w:t>
      </w:r>
    </w:p>
    <w:p w14:paraId="29223340">
      <w:pPr>
        <w:pStyle w:val="5"/>
        <w:bidi w:val="0"/>
        <w:rPr>
          <w:rFonts w:hint="default" w:ascii="Times New Roman" w:hAnsi="Times New Roman" w:cs="Times New Roman"/>
          <w:color w:val="FF0000"/>
        </w:rPr>
      </w:pPr>
      <w:r>
        <w:rPr>
          <w:rFonts w:hint="default" w:ascii="Times New Roman" w:hAnsi="Times New Roman" w:cs="Times New Roman"/>
          <w:color w:val="FF0000"/>
          <w:lang w:val="en-US" w:eastAsia="zh-CN"/>
        </w:rPr>
        <w:t>动</w:t>
      </w:r>
      <w:r>
        <w:rPr>
          <w:rFonts w:hint="default" w:ascii="Times New Roman" w:hAnsi="Times New Roman" w:cs="Times New Roman"/>
          <w:color w:val="FF0000"/>
        </w:rPr>
        <w:t>植物生态环境现状调查与评价</w:t>
      </w:r>
    </w:p>
    <w:p w14:paraId="4276CD25">
      <w:pPr>
        <w:pStyle w:val="113"/>
        <w:keepNext w:val="0"/>
        <w:keepLines w:val="0"/>
        <w:pageBreakBefore w:val="0"/>
        <w:widowControl w:val="0"/>
        <w:kinsoku/>
        <w:wordWrap/>
        <w:overflowPunct/>
        <w:topLinePunct w:val="0"/>
        <w:autoSpaceDE w:val="0"/>
        <w:autoSpaceDN w:val="0"/>
        <w:bidi w:val="0"/>
        <w:adjustRightInd/>
        <w:snapToGrid/>
        <w:spacing w:line="360" w:lineRule="auto"/>
        <w:ind w:left="0" w:firstLine="468"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pacing w:val="-3"/>
          <w:position w:val="2"/>
          <w:sz w:val="24"/>
          <w:szCs w:val="24"/>
        </w:rPr>
        <w:t>（</w:t>
      </w:r>
      <w:r>
        <w:rPr>
          <w:rFonts w:hint="default" w:ascii="Times New Roman" w:hAnsi="Times New Roman" w:cs="Times New Roman"/>
          <w:color w:val="FF0000"/>
          <w:spacing w:val="-3"/>
          <w:position w:val="2"/>
          <w:sz w:val="24"/>
          <w:szCs w:val="24"/>
        </w:rPr>
        <w:t>1</w:t>
      </w:r>
      <w:r>
        <w:rPr>
          <w:rFonts w:hint="default" w:ascii="Times New Roman" w:hAnsi="Times New Roman" w:eastAsia="宋体" w:cs="Times New Roman"/>
          <w:color w:val="FF0000"/>
          <w:spacing w:val="-3"/>
          <w:position w:val="2"/>
          <w:sz w:val="24"/>
          <w:szCs w:val="24"/>
        </w:rPr>
        <w:t>）调查范围和内容</w:t>
      </w:r>
    </w:p>
    <w:p w14:paraId="6C59D800">
      <w:pPr>
        <w:pStyle w:val="113"/>
        <w:keepNext w:val="0"/>
        <w:keepLines w:val="0"/>
        <w:pageBreakBefore w:val="0"/>
        <w:widowControl w:val="0"/>
        <w:kinsoku/>
        <w:wordWrap/>
        <w:overflowPunct/>
        <w:topLinePunct w:val="0"/>
        <w:autoSpaceDE w:val="0"/>
        <w:autoSpaceDN w:val="0"/>
        <w:bidi w:val="0"/>
        <w:adjustRightInd/>
        <w:snapToGrid/>
        <w:spacing w:line="360" w:lineRule="auto"/>
        <w:ind w:left="0" w:firstLine="476"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pacing w:val="-1"/>
          <w:sz w:val="24"/>
          <w:szCs w:val="24"/>
        </w:rPr>
        <w:t>调查范围主要集中在项目用地场界外</w:t>
      </w:r>
      <w:r>
        <w:rPr>
          <w:rFonts w:hint="default" w:ascii="Times New Roman" w:hAnsi="Times New Roman" w:cs="Times New Roman"/>
          <w:color w:val="FF0000"/>
          <w:spacing w:val="-1"/>
          <w:sz w:val="24"/>
          <w:szCs w:val="24"/>
        </w:rPr>
        <w:t>200m</w:t>
      </w:r>
      <w:r>
        <w:rPr>
          <w:rFonts w:hint="default" w:ascii="Times New Roman" w:hAnsi="Times New Roman" w:cs="Times New Roman"/>
          <w:color w:val="FF0000"/>
          <w:spacing w:val="41"/>
          <w:sz w:val="24"/>
          <w:szCs w:val="24"/>
        </w:rPr>
        <w:t xml:space="preserve"> </w:t>
      </w:r>
      <w:r>
        <w:rPr>
          <w:rFonts w:hint="default" w:ascii="Times New Roman" w:hAnsi="Times New Roman" w:eastAsia="宋体" w:cs="Times New Roman"/>
          <w:color w:val="FF0000"/>
          <w:spacing w:val="-1"/>
          <w:sz w:val="24"/>
          <w:szCs w:val="24"/>
        </w:rPr>
        <w:t>以内区域，包括项目所在区域的</w:t>
      </w:r>
      <w:r>
        <w:rPr>
          <w:rFonts w:hint="default" w:ascii="Times New Roman" w:hAnsi="Times New Roman" w:eastAsia="宋体" w:cs="Times New Roman"/>
          <w:color w:val="FF0000"/>
          <w:spacing w:val="-4"/>
          <w:sz w:val="24"/>
          <w:szCs w:val="24"/>
        </w:rPr>
        <w:t>山地、低丘、农田等各种植被类型和植物种类，没有名树古木、国家保护和地方的珍稀濒危植物。</w:t>
      </w:r>
    </w:p>
    <w:p w14:paraId="7C8A3D41">
      <w:pPr>
        <w:pStyle w:val="113"/>
        <w:keepNext w:val="0"/>
        <w:keepLines w:val="0"/>
        <w:pageBreakBefore w:val="0"/>
        <w:widowControl w:val="0"/>
        <w:kinsoku/>
        <w:wordWrap/>
        <w:overflowPunct/>
        <w:topLinePunct w:val="0"/>
        <w:autoSpaceDE w:val="0"/>
        <w:autoSpaceDN w:val="0"/>
        <w:bidi w:val="0"/>
        <w:adjustRightInd/>
        <w:snapToGrid/>
        <w:spacing w:line="360" w:lineRule="auto"/>
        <w:ind w:left="0" w:firstLine="468"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pacing w:val="-3"/>
          <w:position w:val="2"/>
          <w:sz w:val="24"/>
          <w:szCs w:val="24"/>
        </w:rPr>
        <w:t>（</w:t>
      </w:r>
      <w:r>
        <w:rPr>
          <w:rFonts w:hint="default" w:ascii="Times New Roman" w:hAnsi="Times New Roman" w:cs="Times New Roman"/>
          <w:color w:val="FF0000"/>
          <w:spacing w:val="-3"/>
          <w:position w:val="2"/>
          <w:sz w:val="24"/>
          <w:szCs w:val="24"/>
        </w:rPr>
        <w:t>2</w:t>
      </w:r>
      <w:r>
        <w:rPr>
          <w:rFonts w:hint="default" w:ascii="Times New Roman" w:hAnsi="Times New Roman" w:eastAsia="宋体" w:cs="Times New Roman"/>
          <w:color w:val="FF0000"/>
          <w:spacing w:val="-3"/>
          <w:position w:val="2"/>
          <w:sz w:val="24"/>
          <w:szCs w:val="24"/>
        </w:rPr>
        <w:t>）调查方法</w:t>
      </w:r>
    </w:p>
    <w:p w14:paraId="1F973C66">
      <w:pPr>
        <w:keepNext w:val="0"/>
        <w:keepLines w:val="0"/>
        <w:pageBreakBefore w:val="0"/>
        <w:widowControl w:val="0"/>
        <w:kinsoku/>
        <w:wordWrap/>
        <w:overflowPunct/>
        <w:topLinePunct w:val="0"/>
        <w:autoSpaceDE w:val="0"/>
        <w:autoSpaceDN w:val="0"/>
        <w:bidi w:val="0"/>
        <w:adjustRightInd/>
        <w:snapToGrid/>
        <w:spacing w:line="360" w:lineRule="auto"/>
        <w:ind w:left="0" w:firstLine="468"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pacing w:val="-3"/>
          <w:sz w:val="24"/>
          <w:szCs w:val="24"/>
        </w:rPr>
        <w:t>收集整理评价区及邻近地区的现有生物多样</w:t>
      </w:r>
      <w:r>
        <w:rPr>
          <w:rFonts w:hint="default" w:ascii="Times New Roman" w:hAnsi="Times New Roman" w:eastAsia="宋体" w:cs="Times New Roman"/>
          <w:color w:val="FF0000"/>
          <w:spacing w:val="-4"/>
          <w:sz w:val="24"/>
          <w:szCs w:val="24"/>
        </w:rPr>
        <w:t>性资料，在综合分析现有资料的</w:t>
      </w:r>
      <w:r>
        <w:rPr>
          <w:rFonts w:hint="default" w:ascii="Times New Roman" w:hAnsi="Times New Roman" w:eastAsia="宋体" w:cs="Times New Roman"/>
          <w:color w:val="FF0000"/>
          <w:sz w:val="24"/>
          <w:szCs w:val="24"/>
        </w:rPr>
        <w:t xml:space="preserve"> </w:t>
      </w:r>
      <w:r>
        <w:rPr>
          <w:rFonts w:hint="default" w:ascii="Times New Roman" w:hAnsi="Times New Roman" w:eastAsia="宋体" w:cs="Times New Roman"/>
          <w:color w:val="FF0000"/>
          <w:spacing w:val="-1"/>
          <w:sz w:val="24"/>
          <w:szCs w:val="24"/>
        </w:rPr>
        <w:t>基础上，再进行实地考察。</w:t>
      </w:r>
    </w:p>
    <w:p w14:paraId="6C7E38D4">
      <w:pPr>
        <w:pStyle w:val="113"/>
        <w:keepNext w:val="0"/>
        <w:keepLines w:val="0"/>
        <w:pageBreakBefore w:val="0"/>
        <w:widowControl w:val="0"/>
        <w:kinsoku/>
        <w:wordWrap/>
        <w:overflowPunct/>
        <w:topLinePunct w:val="0"/>
        <w:autoSpaceDE w:val="0"/>
        <w:autoSpaceDN w:val="0"/>
        <w:bidi w:val="0"/>
        <w:adjustRightInd/>
        <w:snapToGrid/>
        <w:spacing w:line="360" w:lineRule="auto"/>
        <w:ind w:left="0" w:firstLine="472"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pacing w:val="-2"/>
          <w:position w:val="2"/>
          <w:sz w:val="24"/>
          <w:szCs w:val="24"/>
        </w:rPr>
        <w:t>（</w:t>
      </w:r>
      <w:r>
        <w:rPr>
          <w:rFonts w:hint="default" w:ascii="Times New Roman" w:hAnsi="Times New Roman" w:cs="Times New Roman"/>
          <w:color w:val="FF0000"/>
          <w:spacing w:val="-2"/>
          <w:position w:val="2"/>
          <w:sz w:val="24"/>
          <w:szCs w:val="24"/>
        </w:rPr>
        <w:t>3</w:t>
      </w:r>
      <w:r>
        <w:rPr>
          <w:rFonts w:hint="default" w:ascii="Times New Roman" w:hAnsi="Times New Roman" w:eastAsia="宋体" w:cs="Times New Roman"/>
          <w:color w:val="FF0000"/>
          <w:spacing w:val="-2"/>
          <w:position w:val="2"/>
          <w:sz w:val="24"/>
          <w:szCs w:val="24"/>
        </w:rPr>
        <w:t>）植被生态现状评价</w:t>
      </w:r>
    </w:p>
    <w:p w14:paraId="351BAAC1">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color w:val="FF0000"/>
          <w:lang w:val="en-US" w:eastAsia="zh-CN"/>
        </w:rPr>
      </w:pPr>
      <w:r>
        <w:rPr>
          <w:rFonts w:hint="default" w:ascii="Times New Roman" w:hAnsi="Times New Roman" w:cs="Times New Roman"/>
          <w:color w:val="FF0000"/>
          <w:lang w:val="en-US"/>
        </w:rPr>
        <w:t>经现场调查，项目用地范围以及项目周边主要植被类型为桉树林群落，玉米群落（农田）；其中，项目用地范围内为主要人工林地，以桉树为主，林种为一般用材林，项目用地范围内存在少量零散分布的灌丛（如铁芒萁），其分布数量少面积小，未构成明显植物群落；项目用地周边分布有玉米群落（农田），也存在少量零散分布的灌丛</w:t>
      </w:r>
      <w:r>
        <w:rPr>
          <w:rFonts w:hint="default" w:ascii="Times New Roman" w:hAnsi="Times New Roman" w:cs="Times New Roman"/>
          <w:color w:val="FF0000"/>
          <w:lang w:val="en-US" w:eastAsia="zh-CN"/>
        </w:rPr>
        <w:t>。</w:t>
      </w:r>
    </w:p>
    <w:p w14:paraId="0ADEFEAF">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cs="Times New Roman"/>
          <w:color w:val="FF0000"/>
          <w:lang w:val="en-US"/>
        </w:rPr>
      </w:pPr>
      <w:r>
        <w:rPr>
          <w:rFonts w:hint="default" w:ascii="Times New Roman" w:hAnsi="Times New Roman" w:cs="Times New Roman"/>
          <w:color w:val="FF0000"/>
          <w:lang w:val="en-US" w:eastAsia="zh-CN"/>
        </w:rPr>
        <w:t>（4）</w:t>
      </w:r>
      <w:r>
        <w:rPr>
          <w:rFonts w:hint="default" w:ascii="Times New Roman" w:hAnsi="Times New Roman" w:cs="Times New Roman"/>
          <w:color w:val="FF0000"/>
          <w:lang w:val="en-US"/>
        </w:rPr>
        <w:t>野生保护动植物</w:t>
      </w:r>
    </w:p>
    <w:p w14:paraId="6B7E0443">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cs="Times New Roman"/>
          <w:color w:val="FF0000"/>
          <w:lang w:val="en-US"/>
        </w:rPr>
      </w:pPr>
      <w:r>
        <w:rPr>
          <w:rFonts w:hint="default" w:ascii="Times New Roman" w:hAnsi="Times New Roman" w:cs="Times New Roman"/>
          <w:color w:val="FF0000"/>
          <w:lang w:val="en-US"/>
        </w:rPr>
        <w:t>评价区内的野生动物主要有麻雀、布谷鸟等常见鸟类。受人类活动的影响，区域内目前野生动物的生态分布和种群数量很低，很难见到兽类的栖息与分布，但可见啮齿类小家鼠分布于此。</w:t>
      </w:r>
    </w:p>
    <w:p w14:paraId="74B81B93">
      <w:pPr>
        <w:pStyle w:val="50"/>
        <w:rPr>
          <w:rFonts w:hint="default" w:ascii="Times New Roman" w:hAnsi="Times New Roman" w:cs="Times New Roman"/>
          <w:color w:val="FF0000"/>
        </w:rPr>
      </w:pPr>
      <w:r>
        <w:rPr>
          <w:rFonts w:hint="default" w:ascii="Times New Roman" w:hAnsi="Times New Roman" w:cs="Times New Roman"/>
          <w:color w:val="FF0000"/>
        </w:rPr>
        <w:t>按项目建设规划，种类简单物种多样性指数不高，总体生态效能一般，对该区域的生态环境和生态效能所产生影响不大。</w:t>
      </w:r>
    </w:p>
    <w:p w14:paraId="3ED80B05">
      <w:pPr>
        <w:pStyle w:val="5"/>
        <w:bidi w:val="0"/>
        <w:rPr>
          <w:rFonts w:hint="default" w:ascii="Times New Roman" w:hAnsi="Times New Roman" w:cs="Times New Roman"/>
          <w:color w:val="FF0000"/>
          <w:lang w:eastAsia="zh-CN"/>
        </w:rPr>
      </w:pPr>
      <w:r>
        <w:rPr>
          <w:rFonts w:hint="default" w:ascii="Times New Roman" w:hAnsi="Times New Roman" w:cs="Times New Roman"/>
          <w:color w:val="FF0000"/>
        </w:rPr>
        <w:t>土地沙化现状调查</w:t>
      </w:r>
    </w:p>
    <w:p w14:paraId="6336C17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根据新疆维吾尔自治区林业规划院出具的《新疆第</w:t>
      </w:r>
      <w:r>
        <w:rPr>
          <w:rFonts w:hint="default" w:ascii="Times New Roman" w:hAnsi="Times New Roman" w:eastAsia="宋体" w:cs="Times New Roman"/>
          <w:color w:val="FF0000"/>
          <w:sz w:val="24"/>
          <w:szCs w:val="24"/>
          <w:lang w:val="en-US" w:eastAsia="zh-CN"/>
        </w:rPr>
        <w:t>六</w:t>
      </w:r>
      <w:r>
        <w:rPr>
          <w:rFonts w:hint="default" w:ascii="Times New Roman" w:hAnsi="Times New Roman" w:eastAsia="宋体" w:cs="Times New Roman"/>
          <w:color w:val="FF0000"/>
          <w:sz w:val="24"/>
          <w:szCs w:val="24"/>
        </w:rPr>
        <w:t>次沙化土地监测报告》及2016年12月28日</w:t>
      </w:r>
      <w:r>
        <w:rPr>
          <w:rFonts w:hint="default" w:ascii="Times New Roman" w:hAnsi="Times New Roman" w:cs="Times New Roman"/>
          <w:color w:val="FF0000"/>
          <w:sz w:val="24"/>
          <w:szCs w:val="24"/>
          <w:lang w:eastAsia="zh-CN"/>
        </w:rPr>
        <w:t>国家林业和草原局</w:t>
      </w:r>
      <w:r>
        <w:rPr>
          <w:rFonts w:hint="default" w:ascii="Times New Roman" w:hAnsi="Times New Roman" w:eastAsia="宋体" w:cs="Times New Roman"/>
          <w:color w:val="FF0000"/>
          <w:sz w:val="24"/>
          <w:szCs w:val="24"/>
        </w:rPr>
        <w:t>出具的《国家沙化土地封禁保护区管理办法》（林沙发</w:t>
      </w:r>
      <w:r>
        <w:rPr>
          <w:rFonts w:hint="default" w:ascii="Times New Roman" w:hAnsi="Times New Roman" w:eastAsia="微软雅黑" w:cs="Times New Roman"/>
          <w:color w:val="FF0000"/>
          <w:sz w:val="24"/>
          <w:szCs w:val="24"/>
          <w:lang w:eastAsia="zh-CN"/>
        </w:rPr>
        <w:t>〔</w:t>
      </w:r>
      <w:r>
        <w:rPr>
          <w:rFonts w:hint="default" w:ascii="Times New Roman" w:hAnsi="Times New Roman" w:eastAsia="宋体" w:cs="Times New Roman"/>
          <w:color w:val="FF0000"/>
          <w:sz w:val="24"/>
          <w:szCs w:val="24"/>
        </w:rPr>
        <w:t>2015</w:t>
      </w:r>
      <w:r>
        <w:rPr>
          <w:rFonts w:hint="default" w:ascii="Times New Roman" w:hAnsi="Times New Roman" w:eastAsia="微软雅黑" w:cs="Times New Roman"/>
          <w:color w:val="FF0000"/>
          <w:sz w:val="24"/>
          <w:szCs w:val="24"/>
          <w:lang w:eastAsia="zh-CN"/>
        </w:rPr>
        <w:t>〕</w:t>
      </w:r>
      <w:r>
        <w:rPr>
          <w:rFonts w:hint="default" w:ascii="Times New Roman" w:hAnsi="Times New Roman" w:eastAsia="宋体" w:cs="Times New Roman"/>
          <w:color w:val="FF0000"/>
          <w:sz w:val="24"/>
          <w:szCs w:val="24"/>
        </w:rPr>
        <w:t>66号），通过调查区域自然概况（包括地形地貌、气候、水文、植被、土壤等）及社会经济概况（包括经济发展现状、社会发展状况），根据新疆第</w:t>
      </w:r>
      <w:r>
        <w:rPr>
          <w:rFonts w:hint="default" w:ascii="Times New Roman" w:hAnsi="Times New Roman" w:cs="Times New Roman"/>
          <w:color w:val="FF0000"/>
          <w:sz w:val="24"/>
          <w:szCs w:val="24"/>
          <w:lang w:val="en-US" w:eastAsia="zh-CN"/>
        </w:rPr>
        <w:t>六</w:t>
      </w:r>
      <w:r>
        <w:rPr>
          <w:rFonts w:hint="default" w:ascii="Times New Roman" w:hAnsi="Times New Roman" w:eastAsia="宋体" w:cs="Times New Roman"/>
          <w:color w:val="FF0000"/>
          <w:sz w:val="24"/>
          <w:szCs w:val="24"/>
        </w:rPr>
        <w:t>次沙化监测沙化土地分布图，项目区周围没有沙漠、沙化荒漠存在，并且不在国家沙化土地封禁保护区名单中，因此属于非沙化土地。</w:t>
      </w:r>
    </w:p>
    <w:p w14:paraId="488BADB3">
      <w:pPr>
        <w:pStyle w:val="50"/>
        <w:rPr>
          <w:rFonts w:hint="default" w:ascii="Times New Roman" w:hAnsi="Times New Roman" w:cs="Times New Roman"/>
          <w:color w:val="FF0000"/>
        </w:rPr>
      </w:pPr>
    </w:p>
    <w:p w14:paraId="3549C2E8">
      <w:pPr>
        <w:pStyle w:val="2"/>
        <w:bidi w:val="0"/>
        <w:rPr>
          <w:rFonts w:hint="default" w:ascii="Times New Roman" w:hAnsi="Times New Roman" w:cs="Times New Roman"/>
          <w:color w:val="auto"/>
        </w:rPr>
        <w:sectPr>
          <w:pgSz w:w="11910" w:h="16840"/>
          <w:pgMar w:top="1440" w:right="1797" w:bottom="1417" w:left="1797" w:header="896" w:footer="1236" w:gutter="0"/>
          <w:pgBorders>
            <w:top w:val="none" w:sz="0" w:space="0"/>
            <w:left w:val="none" w:sz="0" w:space="0"/>
            <w:bottom w:val="none" w:sz="0" w:space="0"/>
            <w:right w:val="none" w:sz="0" w:space="0"/>
          </w:pgBorders>
          <w:pgNumType w:fmt="decimal"/>
          <w:cols w:space="720" w:num="1"/>
          <w:rtlGutter w:val="0"/>
          <w:docGrid w:linePitch="0" w:charSpace="0"/>
        </w:sectPr>
      </w:pPr>
    </w:p>
    <w:p w14:paraId="3D7A4195">
      <w:pPr>
        <w:pStyle w:val="2"/>
        <w:bidi w:val="0"/>
        <w:rPr>
          <w:rFonts w:hint="default" w:ascii="Times New Roman" w:hAnsi="Times New Roman" w:cs="Times New Roman"/>
          <w:color w:val="auto"/>
        </w:rPr>
      </w:pPr>
      <w:bookmarkStart w:id="108" w:name="_Toc12187"/>
      <w:bookmarkStart w:id="109" w:name="_Toc1681"/>
      <w:r>
        <w:rPr>
          <w:rFonts w:hint="default" w:ascii="Times New Roman" w:hAnsi="Times New Roman" w:cs="Times New Roman"/>
          <w:color w:val="auto"/>
        </w:rPr>
        <w:t>环境影响预测与评价</w:t>
      </w:r>
      <w:bookmarkEnd w:id="108"/>
      <w:bookmarkEnd w:id="109"/>
    </w:p>
    <w:p w14:paraId="1B8AD1D1">
      <w:pPr>
        <w:pStyle w:val="3"/>
        <w:bidi w:val="0"/>
        <w:rPr>
          <w:rFonts w:hint="default" w:ascii="Times New Roman" w:hAnsi="Times New Roman" w:cs="Times New Roman"/>
          <w:color w:val="auto"/>
        </w:rPr>
      </w:pPr>
      <w:bookmarkStart w:id="110" w:name="_Toc31877"/>
      <w:bookmarkStart w:id="111" w:name="_Toc15939"/>
      <w:r>
        <w:rPr>
          <w:rFonts w:hint="default" w:ascii="Times New Roman" w:hAnsi="Times New Roman" w:cs="Times New Roman"/>
          <w:color w:val="auto"/>
        </w:rPr>
        <w:t>施工期环境影响分析</w:t>
      </w:r>
      <w:bookmarkEnd w:id="110"/>
      <w:bookmarkEnd w:id="111"/>
    </w:p>
    <w:p w14:paraId="79AC833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施工期</w:t>
      </w:r>
      <w:r>
        <w:rPr>
          <w:rFonts w:hint="default" w:ascii="Times New Roman" w:hAnsi="Times New Roman" w:cs="Times New Roman"/>
          <w:color w:val="auto"/>
        </w:rPr>
        <w:t>会对周围环境造成一定的影响</w:t>
      </w:r>
      <w:r>
        <w:rPr>
          <w:rFonts w:hint="default" w:ascii="Times New Roman" w:hAnsi="Times New Roman" w:cs="Times New Roman"/>
          <w:color w:val="auto"/>
          <w:lang w:eastAsia="zh-CN"/>
        </w:rPr>
        <w:t>，</w:t>
      </w:r>
      <w:r>
        <w:rPr>
          <w:rFonts w:hint="default" w:ascii="Times New Roman" w:hAnsi="Times New Roman" w:cs="Times New Roman"/>
          <w:color w:val="auto"/>
        </w:rPr>
        <w:t>主要为以下几点：</w:t>
      </w:r>
    </w:p>
    <w:p w14:paraId="7C8E6587">
      <w:pPr>
        <w:pStyle w:val="73"/>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line="360" w:lineRule="auto"/>
        <w:ind w:leftChars="0" w:right="0"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项目施工期采用商品混凝土，施工期废气主要为</w:t>
      </w:r>
      <w:r>
        <w:rPr>
          <w:rFonts w:hint="default" w:ascii="Times New Roman" w:hAnsi="Times New Roman" w:cs="Times New Roman"/>
          <w:color w:val="auto"/>
          <w:sz w:val="24"/>
          <w:highlight w:val="none"/>
        </w:rPr>
        <w:t>土石方施工过程中产生的扬尘、施工动力机械，如汽车、推土机、翻斗车排放的废气等均会对施工现场及附近大气环境产生不利影响。</w:t>
      </w:r>
    </w:p>
    <w:p w14:paraId="7F91F5C8">
      <w:pPr>
        <w:pStyle w:val="73"/>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line="360" w:lineRule="auto"/>
        <w:ind w:leftChars="0" w:right="0"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各种施工机械，如运输汽车、推土机、挖掘机、混凝土搅拌机等均可产生较高的噪声。虽然这些施工机械噪声属非连续性间歇排放，但由于噪声源相对集中，且多为裸露声源，故其噪声</w:t>
      </w:r>
      <w:r>
        <w:rPr>
          <w:rFonts w:hint="default" w:ascii="Times New Roman" w:hAnsi="Times New Roman" w:cs="Times New Roman"/>
          <w:color w:val="auto"/>
          <w:sz w:val="24"/>
          <w:highlight w:val="none"/>
          <w:lang w:eastAsia="zh-CN"/>
        </w:rPr>
        <w:t>辐射</w:t>
      </w:r>
      <w:r>
        <w:rPr>
          <w:rFonts w:hint="default" w:ascii="Times New Roman" w:hAnsi="Times New Roman" w:cs="Times New Roman"/>
          <w:color w:val="auto"/>
          <w:sz w:val="24"/>
          <w:highlight w:val="none"/>
        </w:rPr>
        <w:t>范围及影响程度都较大。</w:t>
      </w:r>
    </w:p>
    <w:p w14:paraId="3AB75685">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施工过程中施工人员排放的生活废水和生活垃圾对环境产生的影响。</w:t>
      </w:r>
    </w:p>
    <w:p w14:paraId="1C7B6D22">
      <w:pPr>
        <w:pStyle w:val="73"/>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在工程施工过程中的开挖、回填将对地表产生扰动，造成一定的水土流失，受扰动的裸露地表遇暴雨易产生水土流失。</w:t>
      </w:r>
    </w:p>
    <w:p w14:paraId="18CCFE22">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施工期大气环境影响分析</w:t>
      </w:r>
    </w:p>
    <w:p w14:paraId="39652D9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本项目在施工期对周围大气环境有影响的主要因素是：施工工地扬尘污染、施工机械燃烧柴油排放的废气污染及运输车辆的汽车尾气污染。</w:t>
      </w:r>
    </w:p>
    <w:p w14:paraId="7A36410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施工期间的扬尘污染，是指在主体建设、道路清扫、物料运输、土方堆放过程中产生的细小尘粒向大气扩散的现象。造成扬尘的主要原因是：</w:t>
      </w:r>
    </w:p>
    <w:p w14:paraId="2DBF933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①建筑工程四周不围或围挡不完全，围挡隔尘效果差；</w:t>
      </w:r>
    </w:p>
    <w:p w14:paraId="6D9414A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②清理建筑垃圾时降尘措施不力；</w:t>
      </w:r>
    </w:p>
    <w:p w14:paraId="781883C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③建筑垃圾及材料运输车辆不加覆盖或不密封，施工或运输过程中风吹或沿途漏撒，或经车辆碾压产生扬尘；</w:t>
      </w:r>
    </w:p>
    <w:p w14:paraId="2E5F599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④工地上露天堆放的材料、渣堆、土堆等无防尘措施，随风造成扬尘污染。施工期主要大气污染源和污染物排放情况见表5.1-1。</w:t>
      </w:r>
    </w:p>
    <w:p w14:paraId="7AAA262C">
      <w:pPr>
        <w:pStyle w:val="14"/>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
          <w:bCs/>
          <w:color w:val="auto"/>
          <w:sz w:val="21"/>
          <w:szCs w:val="21"/>
        </w:rPr>
        <w:t>施工期间主要大气污染源及污染物排放情况</w:t>
      </w:r>
    </w:p>
    <w:tbl>
      <w:tblPr>
        <w:tblStyle w:val="33"/>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85"/>
        <w:gridCol w:w="1868"/>
      </w:tblGrid>
      <w:tr w14:paraId="3740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3881" w:type="pct"/>
            <w:noWrap w:val="0"/>
            <w:vAlign w:val="top"/>
          </w:tcPr>
          <w:p w14:paraId="514D769B">
            <w:pPr>
              <w:pStyle w:val="69"/>
              <w:spacing w:line="252" w:lineRule="exact"/>
              <w:ind w:left="0" w:leftChars="0" w:right="-10" w:rightChars="0"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主要污染源</w:t>
            </w:r>
          </w:p>
        </w:tc>
        <w:tc>
          <w:tcPr>
            <w:tcW w:w="1118" w:type="pct"/>
            <w:noWrap w:val="0"/>
            <w:vAlign w:val="top"/>
          </w:tcPr>
          <w:p w14:paraId="0F463612">
            <w:pPr>
              <w:pStyle w:val="69"/>
              <w:spacing w:line="252" w:lineRule="exact"/>
              <w:ind w:left="0" w:leftChars="0" w:right="-10" w:rightChars="0"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主要污染物</w:t>
            </w:r>
          </w:p>
        </w:tc>
      </w:tr>
      <w:tr w14:paraId="7A7B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881" w:type="pct"/>
            <w:noWrap w:val="0"/>
            <w:vAlign w:val="top"/>
          </w:tcPr>
          <w:p w14:paraId="7DC014EA">
            <w:pPr>
              <w:pStyle w:val="69"/>
              <w:spacing w:line="250"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裸露地面、土方堆场，土方装卸过程</w:t>
            </w:r>
          </w:p>
        </w:tc>
        <w:tc>
          <w:tcPr>
            <w:tcW w:w="1118" w:type="pct"/>
            <w:noWrap w:val="0"/>
            <w:vAlign w:val="top"/>
          </w:tcPr>
          <w:p w14:paraId="09A3E7A2">
            <w:pPr>
              <w:pStyle w:val="69"/>
              <w:spacing w:line="250"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扬尘</w:t>
            </w:r>
          </w:p>
        </w:tc>
      </w:tr>
      <w:tr w14:paraId="0DAC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3881" w:type="pct"/>
            <w:noWrap w:val="0"/>
            <w:vAlign w:val="top"/>
          </w:tcPr>
          <w:p w14:paraId="786F9FC6">
            <w:pPr>
              <w:pStyle w:val="69"/>
              <w:spacing w:before="1" w:line="252"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打桩机、挖掘机、铲车、运输卡车等</w:t>
            </w:r>
          </w:p>
        </w:tc>
        <w:tc>
          <w:tcPr>
            <w:tcW w:w="1118" w:type="pct"/>
            <w:noWrap w:val="0"/>
            <w:vAlign w:val="top"/>
          </w:tcPr>
          <w:p w14:paraId="6188DCAD">
            <w:pPr>
              <w:pStyle w:val="69"/>
              <w:spacing w:before="1" w:line="252" w:lineRule="exact"/>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NO</w:t>
            </w:r>
            <w:r>
              <w:rPr>
                <w:rFonts w:hint="default" w:ascii="Times New Roman" w:hAnsi="Times New Roman" w:eastAsia="Times New Roman" w:cs="Times New Roman"/>
                <w:color w:val="auto"/>
                <w:sz w:val="21"/>
                <w:highlight w:val="none"/>
                <w:vertAlign w:val="subscript"/>
              </w:rPr>
              <w:t>x</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CO</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HC</w:t>
            </w:r>
          </w:p>
        </w:tc>
      </w:tr>
      <w:tr w14:paraId="3A64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trPr>
        <w:tc>
          <w:tcPr>
            <w:tcW w:w="3881" w:type="pct"/>
            <w:noWrap w:val="0"/>
            <w:vAlign w:val="top"/>
          </w:tcPr>
          <w:p w14:paraId="25B771A5">
            <w:pPr>
              <w:pStyle w:val="69"/>
              <w:spacing w:line="250" w:lineRule="exact"/>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建材堆场，建材装卸过程、混凝土搅拌、加料过程，进出场地车辆</w:t>
            </w:r>
          </w:p>
        </w:tc>
        <w:tc>
          <w:tcPr>
            <w:tcW w:w="1118" w:type="pct"/>
            <w:noWrap w:val="0"/>
            <w:vAlign w:val="top"/>
          </w:tcPr>
          <w:p w14:paraId="32C73DCE">
            <w:pPr>
              <w:pStyle w:val="69"/>
              <w:spacing w:line="250" w:lineRule="exact"/>
              <w:ind w:left="0" w:leftChars="0" w:right="-10"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扬尘</w:t>
            </w:r>
          </w:p>
        </w:tc>
      </w:tr>
      <w:tr w14:paraId="239A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3881" w:type="pct"/>
            <w:noWrap w:val="0"/>
            <w:vAlign w:val="top"/>
          </w:tcPr>
          <w:p w14:paraId="0D61D3F5">
            <w:pPr>
              <w:pStyle w:val="69"/>
              <w:spacing w:before="1" w:line="252"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运输卡车、混凝土搅拌机等</w:t>
            </w:r>
          </w:p>
        </w:tc>
        <w:tc>
          <w:tcPr>
            <w:tcW w:w="1118" w:type="pct"/>
            <w:noWrap w:val="0"/>
            <w:vAlign w:val="top"/>
          </w:tcPr>
          <w:p w14:paraId="665BB30E">
            <w:pPr>
              <w:pStyle w:val="69"/>
              <w:spacing w:before="1" w:line="252" w:lineRule="exact"/>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NO</w:t>
            </w:r>
            <w:r>
              <w:rPr>
                <w:rFonts w:hint="default" w:ascii="Times New Roman" w:hAnsi="Times New Roman" w:eastAsia="Times New Roman" w:cs="Times New Roman"/>
                <w:color w:val="auto"/>
                <w:sz w:val="21"/>
                <w:highlight w:val="none"/>
                <w:vertAlign w:val="subscript"/>
              </w:rPr>
              <w:t>x</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CO</w:t>
            </w:r>
            <w:r>
              <w:rPr>
                <w:rFonts w:hint="default" w:ascii="Times New Roman" w:hAnsi="Times New Roman" w:cs="Times New Roman"/>
                <w:color w:val="auto"/>
                <w:sz w:val="21"/>
                <w:highlight w:val="none"/>
              </w:rPr>
              <w:t>、</w:t>
            </w:r>
            <w:r>
              <w:rPr>
                <w:rFonts w:hint="default" w:ascii="Times New Roman" w:hAnsi="Times New Roman" w:eastAsia="Times New Roman" w:cs="Times New Roman"/>
                <w:color w:val="auto"/>
                <w:sz w:val="21"/>
                <w:highlight w:val="none"/>
              </w:rPr>
              <w:t>HC</w:t>
            </w:r>
          </w:p>
        </w:tc>
      </w:tr>
      <w:tr w14:paraId="55E5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3881" w:type="pct"/>
            <w:noWrap w:val="0"/>
            <w:vAlign w:val="top"/>
          </w:tcPr>
          <w:p w14:paraId="6ED6753D">
            <w:pPr>
              <w:pStyle w:val="69"/>
              <w:spacing w:line="253"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废料、垃圾</w:t>
            </w:r>
          </w:p>
        </w:tc>
        <w:tc>
          <w:tcPr>
            <w:tcW w:w="1118" w:type="pct"/>
            <w:noWrap w:val="0"/>
            <w:vAlign w:val="top"/>
          </w:tcPr>
          <w:p w14:paraId="75325FA3">
            <w:pPr>
              <w:pStyle w:val="69"/>
              <w:spacing w:line="253"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扬尘</w:t>
            </w:r>
          </w:p>
        </w:tc>
      </w:tr>
    </w:tbl>
    <w:p w14:paraId="3A3BE6B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从表中可见：项目施工期的主要污染因子是扬尘，建设期扬尘的环节较多，即扬尘的排放源较多，且大多数排放源扬尘排放的持续时间较长，如建材堆场扬尘和施工场地车辆行驶产生的道路扬尘等在各个施工阶段均存在；建设期施工机械排放的废气主要集中在打桩、挖土阶段，在建筑</w:t>
      </w:r>
      <w:r>
        <w:rPr>
          <w:rFonts w:hint="default" w:ascii="Times New Roman" w:hAnsi="Times New Roman" w:cs="Times New Roman"/>
          <w:color w:val="auto"/>
          <w:lang w:eastAsia="zh-CN"/>
        </w:rPr>
        <w:t>施工现场</w:t>
      </w:r>
      <w:r>
        <w:rPr>
          <w:rFonts w:hint="default" w:ascii="Times New Roman" w:hAnsi="Times New Roman" w:cs="Times New Roman"/>
          <w:color w:val="auto"/>
        </w:rPr>
        <w:t>、平整土地和构筑阶段则主要是进出施工场地的运载车辆排放的尾气污染。</w:t>
      </w:r>
    </w:p>
    <w:p w14:paraId="1E5DE01A">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根据北京市环境科学研究院等单位在市政施工现场实测资料，在一般气象条件下，平均风速2.5m/s时建筑工地内TSP浓度为上风向对照点的2.0~2.5倍；被影响的地区TSP浓度平均值为0.49mg/m</w:t>
      </w:r>
      <w:r>
        <w:rPr>
          <w:rFonts w:hint="default" w:ascii="Times New Roman" w:hAnsi="Times New Roman" w:cs="Times New Roman"/>
          <w:color w:val="0000FF"/>
          <w:sz w:val="24"/>
          <w:szCs w:val="24"/>
          <w:vertAlign w:val="superscript"/>
        </w:rPr>
        <w:t>3</w:t>
      </w:r>
      <w:r>
        <w:rPr>
          <w:rFonts w:hint="default" w:ascii="Times New Roman" w:hAnsi="Times New Roman" w:cs="Times New Roman"/>
          <w:color w:val="0000FF"/>
          <w:sz w:val="24"/>
          <w:szCs w:val="24"/>
        </w:rPr>
        <w:t>左右，相当于环境空气质量二级标准规定值的1.6倍。</w:t>
      </w:r>
    </w:p>
    <w:p w14:paraId="10036D88">
      <w:pPr>
        <w:pStyle w:val="73"/>
        <w:keepNext w:val="0"/>
        <w:keepLines w:val="0"/>
        <w:pageBreakBefore w:val="0"/>
        <w:widowControl w:val="0"/>
        <w:numPr>
          <w:ilvl w:val="0"/>
          <w:numId w:val="0"/>
        </w:numPr>
        <w:tabs>
          <w:tab w:val="left" w:pos="1139"/>
        </w:tabs>
        <w:kinsoku/>
        <w:wordWrap/>
        <w:overflowPunct/>
        <w:topLinePunct w:val="0"/>
        <w:autoSpaceDE w:val="0"/>
        <w:autoSpaceDN w:val="0"/>
        <w:bidi w:val="0"/>
        <w:adjustRightInd/>
        <w:snapToGrid/>
        <w:spacing w:line="360" w:lineRule="auto"/>
        <w:ind w:right="-11" w:rightChars="0" w:firstLine="480" w:firstLineChars="200"/>
        <w:jc w:val="both"/>
        <w:textAlignment w:val="auto"/>
        <w:rPr>
          <w:rFonts w:hint="default" w:ascii="Times New Roman" w:hAnsi="Times New Roman" w:cs="Times New Roman"/>
          <w:color w:val="0000FF"/>
          <w:sz w:val="24"/>
          <w:szCs w:val="24"/>
        </w:rPr>
      </w:pPr>
      <w:r>
        <w:rPr>
          <w:rFonts w:hint="default" w:ascii="Times New Roman" w:hAnsi="Times New Roman" w:cs="Times New Roman"/>
          <w:color w:val="0000FF"/>
          <w:sz w:val="24"/>
          <w:szCs w:val="24"/>
          <w:lang w:val="en-US" w:eastAsia="zh-CN"/>
        </w:rPr>
        <w:t>项目区</w:t>
      </w:r>
      <w:r>
        <w:rPr>
          <w:rFonts w:hint="default" w:ascii="Times New Roman" w:hAnsi="Times New Roman" w:cs="Times New Roman"/>
          <w:color w:val="0000FF"/>
          <w:sz w:val="24"/>
          <w:szCs w:val="24"/>
        </w:rPr>
        <w:t>年主导风向为</w:t>
      </w:r>
      <w:r>
        <w:rPr>
          <w:rFonts w:hint="default" w:ascii="Times New Roman" w:hAnsi="Times New Roman" w:cs="Times New Roman"/>
          <w:color w:val="0000FF"/>
          <w:sz w:val="24"/>
          <w:szCs w:val="24"/>
          <w:lang w:val="en-US" w:eastAsia="zh-CN"/>
        </w:rPr>
        <w:t>西北</w:t>
      </w:r>
      <w:r>
        <w:rPr>
          <w:rFonts w:hint="default" w:ascii="Times New Roman" w:hAnsi="Times New Roman" w:cs="Times New Roman"/>
          <w:color w:val="0000FF"/>
          <w:sz w:val="24"/>
          <w:szCs w:val="24"/>
        </w:rPr>
        <w:t>风，年平均风速1.</w:t>
      </w:r>
      <w:r>
        <w:rPr>
          <w:rFonts w:hint="default" w:ascii="Times New Roman" w:hAnsi="Times New Roman" w:cs="Times New Roman"/>
          <w:color w:val="0000FF"/>
          <w:sz w:val="24"/>
          <w:szCs w:val="24"/>
          <w:lang w:val="en-US"/>
        </w:rPr>
        <w:t>5</w:t>
      </w:r>
      <w:r>
        <w:rPr>
          <w:rFonts w:hint="default" w:ascii="Times New Roman" w:hAnsi="Times New Roman" w:cs="Times New Roman"/>
          <w:color w:val="0000FF"/>
          <w:sz w:val="24"/>
          <w:szCs w:val="24"/>
        </w:rPr>
        <w:t>m/s。建筑施工扬尘的影响范围为其下风向150m，</w:t>
      </w:r>
      <w:r>
        <w:rPr>
          <w:rFonts w:hint="default" w:ascii="Times New Roman" w:hAnsi="Times New Roman" w:cs="Times New Roman"/>
          <w:color w:val="0000FF"/>
          <w:sz w:val="24"/>
          <w:szCs w:val="24"/>
          <w:lang w:val="en-US" w:eastAsia="zh-CN"/>
        </w:rPr>
        <w:t>最近的敏感目标为南侧的9连，距离644m，位于项目区上风向，</w:t>
      </w:r>
      <w:r>
        <w:rPr>
          <w:rFonts w:hint="default" w:ascii="Times New Roman" w:hAnsi="Times New Roman" w:cs="Times New Roman"/>
          <w:color w:val="0000FF"/>
          <w:sz w:val="24"/>
          <w:szCs w:val="24"/>
          <w:highlight w:val="none"/>
        </w:rPr>
        <w:t>在施工过程中，作业场地将采取围挡、围护以减少扬尘扩散</w:t>
      </w:r>
      <w:r>
        <w:rPr>
          <w:rFonts w:hint="default" w:ascii="Times New Roman" w:hAnsi="Times New Roman" w:cs="Times New Roman"/>
          <w:color w:val="0000FF"/>
          <w:sz w:val="24"/>
          <w:szCs w:val="24"/>
          <w:highlight w:val="none"/>
          <w:lang w:val="en-US" w:eastAsia="zh-CN"/>
        </w:rPr>
        <w:t>等措施</w:t>
      </w:r>
      <w:r>
        <w:rPr>
          <w:rFonts w:hint="default" w:ascii="Times New Roman" w:hAnsi="Times New Roman" w:cs="Times New Roman"/>
          <w:color w:val="0000FF"/>
          <w:sz w:val="24"/>
          <w:szCs w:val="24"/>
          <w:highlight w:val="none"/>
        </w:rPr>
        <w:t>。</w:t>
      </w:r>
      <w:r>
        <w:rPr>
          <w:rFonts w:hint="default" w:ascii="Times New Roman" w:hAnsi="Times New Roman" w:cs="Times New Roman"/>
          <w:color w:val="0000FF"/>
          <w:sz w:val="24"/>
          <w:szCs w:val="24"/>
          <w:lang w:val="en-US" w:eastAsia="zh-CN"/>
        </w:rPr>
        <w:t>对其影响较小，</w:t>
      </w:r>
      <w:r>
        <w:rPr>
          <w:rFonts w:hint="default" w:ascii="Times New Roman" w:hAnsi="Times New Roman" w:cs="Times New Roman"/>
          <w:color w:val="0000FF"/>
          <w:sz w:val="24"/>
          <w:szCs w:val="24"/>
        </w:rPr>
        <w:t>由于项目在建设期排放的扬尘和施工机械排放的废气会增加该地区NOx、CO、TSP等的污染，因此必须提倡科学施工、文明施工，并采取一定的防治措施，将项目建设期的污染降低到</w:t>
      </w:r>
      <w:r>
        <w:rPr>
          <w:rFonts w:hint="default" w:ascii="Times New Roman" w:hAnsi="Times New Roman" w:cs="Times New Roman"/>
          <w:color w:val="0000FF"/>
          <w:sz w:val="24"/>
          <w:szCs w:val="24"/>
          <w:lang w:eastAsia="zh-CN"/>
        </w:rPr>
        <w:t>最低程度</w:t>
      </w:r>
      <w:r>
        <w:rPr>
          <w:rFonts w:hint="default" w:ascii="Times New Roman" w:hAnsi="Times New Roman" w:cs="Times New Roman"/>
          <w:color w:val="0000FF"/>
          <w:sz w:val="24"/>
          <w:szCs w:val="24"/>
        </w:rPr>
        <w:t>。</w:t>
      </w:r>
    </w:p>
    <w:p w14:paraId="107C9721">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施工期水环境影响分析</w:t>
      </w:r>
    </w:p>
    <w:p w14:paraId="6B5A0AD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工程的</w:t>
      </w:r>
      <w:r>
        <w:rPr>
          <w:rFonts w:hint="default" w:ascii="Times New Roman" w:hAnsi="Times New Roman" w:cs="Times New Roman"/>
          <w:color w:val="auto"/>
          <w:lang w:val="en-US" w:eastAsia="zh-CN"/>
        </w:rPr>
        <w:t>施工</w:t>
      </w:r>
      <w:r>
        <w:rPr>
          <w:rFonts w:hint="default" w:ascii="Times New Roman" w:hAnsi="Times New Roman" w:cs="Times New Roman"/>
          <w:color w:val="auto"/>
        </w:rPr>
        <w:t>会带来一定量的施工生产废水。施工生产废水为砂石料加工系统污水，少量混凝土</w:t>
      </w:r>
      <w:r>
        <w:rPr>
          <w:rFonts w:hint="default" w:ascii="Times New Roman" w:hAnsi="Times New Roman" w:cs="Times New Roman"/>
          <w:color w:val="auto"/>
          <w:lang w:eastAsia="zh-CN"/>
        </w:rPr>
        <w:t>拌和</w:t>
      </w:r>
      <w:r>
        <w:rPr>
          <w:rFonts w:hint="default" w:ascii="Times New Roman" w:hAnsi="Times New Roman" w:cs="Times New Roman"/>
          <w:color w:val="auto"/>
        </w:rPr>
        <w:t>冲洗污水、混凝土养护废水、施工材料被雨水冲刷形成的污水以及施工机械跑、冒、滴、漏的油污随地表径流形成的污水。施工污水的特点是悬浮物含量高，含有一定的油污，如果随意排放，会危害土壤。因此施工现场应修建防渗沉淀池，将施工废水集中收集到沉淀池中，经沉淀后将上清液循环使用或用于施工场地洒水抑尘，实现施工废水零排放，既可减少新鲜水的用量，又可降低生产成本，同时杜绝对当地土壤和地下水体的影响。</w:t>
      </w:r>
    </w:p>
    <w:p w14:paraId="5AF1BBE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根据本项目的性质和规模，类比同类工程的情况，施工期间，施工队伍进入施工区域，本项目施工高峰期约有</w:t>
      </w:r>
      <w:r>
        <w:rPr>
          <w:rFonts w:hint="default" w:ascii="Times New Roman" w:hAnsi="Times New Roman" w:cs="Times New Roman"/>
          <w:color w:val="auto"/>
          <w:lang w:val="en-US"/>
        </w:rPr>
        <w:t>50</w:t>
      </w:r>
      <w:r>
        <w:rPr>
          <w:rFonts w:hint="default" w:ascii="Times New Roman" w:hAnsi="Times New Roman" w:cs="Times New Roman"/>
          <w:color w:val="auto"/>
        </w:rPr>
        <w:t>人/天，按用水量30L/</w:t>
      </w:r>
      <w:r>
        <w:rPr>
          <w:rFonts w:hint="default" w:ascii="Times New Roman" w:hAnsi="Times New Roman" w:cs="Times New Roman"/>
          <w:color w:val="auto"/>
          <w:lang w:val="en-US" w:eastAsia="zh-CN"/>
        </w:rPr>
        <w:t>人</w:t>
      </w:r>
      <w:r>
        <w:rPr>
          <w:rFonts w:hint="default" w:ascii="Times New Roman" w:hAnsi="Times New Roman" w:cs="Times New Roman"/>
          <w:color w:val="auto"/>
        </w:rPr>
        <w:t>·d和排水量80%计，排水量为</w:t>
      </w:r>
      <w:r>
        <w:rPr>
          <w:rFonts w:hint="default" w:ascii="Times New Roman" w:hAnsi="Times New Roman" w:cs="Times New Roman"/>
          <w:color w:val="auto"/>
          <w:lang w:val="en-US"/>
        </w:rPr>
        <w:t>1.2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/d，根据类比调查，施工场地生活污水中主要污染物浓度COD、BOD</w:t>
      </w:r>
      <w:r>
        <w:rPr>
          <w:rFonts w:hint="default" w:ascii="Times New Roman" w:hAnsi="Times New Roman" w:cs="Times New Roman"/>
          <w:color w:val="auto"/>
          <w:vertAlign w:val="subscript"/>
        </w:rPr>
        <w:t>5</w:t>
      </w:r>
      <w:r>
        <w:rPr>
          <w:rFonts w:hint="default" w:ascii="Times New Roman" w:hAnsi="Times New Roman" w:cs="Times New Roman"/>
          <w:color w:val="auto"/>
        </w:rPr>
        <w:t>和氨氮分别为300mg/L、200mg/L和30mg/L，则本项目施工期COD、BOD</w:t>
      </w:r>
      <w:r>
        <w:rPr>
          <w:rFonts w:hint="default" w:ascii="Times New Roman" w:hAnsi="Times New Roman" w:cs="Times New Roman"/>
          <w:color w:val="auto"/>
          <w:vertAlign w:val="subscript"/>
        </w:rPr>
        <w:t>5</w:t>
      </w:r>
      <w:r>
        <w:rPr>
          <w:rFonts w:hint="default" w:ascii="Times New Roman" w:hAnsi="Times New Roman" w:cs="Times New Roman"/>
          <w:color w:val="auto"/>
        </w:rPr>
        <w:t>和氨氮的产生量分别为</w:t>
      </w:r>
      <w:r>
        <w:rPr>
          <w:rFonts w:hint="default" w:ascii="Times New Roman" w:hAnsi="Times New Roman" w:cs="Times New Roman"/>
          <w:color w:val="auto"/>
          <w:lang w:val="en-US"/>
        </w:rPr>
        <w:t>0.35</w:t>
      </w:r>
      <w:r>
        <w:rPr>
          <w:rFonts w:hint="default" w:ascii="Times New Roman" w:hAnsi="Times New Roman" w:cs="Times New Roman"/>
          <w:color w:val="auto"/>
        </w:rPr>
        <w:t>kg/d、</w:t>
      </w:r>
      <w:r>
        <w:rPr>
          <w:rFonts w:hint="default" w:ascii="Times New Roman" w:hAnsi="Times New Roman" w:cs="Times New Roman"/>
          <w:color w:val="auto"/>
          <w:lang w:val="en-US"/>
        </w:rPr>
        <w:t>0.24</w:t>
      </w:r>
      <w:r>
        <w:rPr>
          <w:rFonts w:hint="default" w:ascii="Times New Roman" w:hAnsi="Times New Roman" w:cs="Times New Roman"/>
          <w:color w:val="auto"/>
        </w:rPr>
        <w:t>kg/d和</w:t>
      </w:r>
      <w:r>
        <w:rPr>
          <w:rFonts w:hint="default" w:ascii="Times New Roman" w:hAnsi="Times New Roman" w:cs="Times New Roman"/>
          <w:color w:val="auto"/>
          <w:lang w:val="en-US"/>
        </w:rPr>
        <w:t>0.04</w:t>
      </w:r>
      <w:r>
        <w:rPr>
          <w:rFonts w:hint="default" w:ascii="Times New Roman" w:hAnsi="Times New Roman" w:cs="Times New Roman"/>
          <w:color w:val="auto"/>
        </w:rPr>
        <w:t>kg/d。本项目</w:t>
      </w:r>
      <w:r>
        <w:rPr>
          <w:rFonts w:hint="default" w:ascii="Times New Roman" w:hAnsi="Times New Roman" w:cs="Times New Roman"/>
          <w:color w:val="auto"/>
          <w:lang w:val="en-US" w:eastAsia="zh-CN"/>
        </w:rPr>
        <w:t>施工生活污水依托现有居民区生活污水处理设施，</w:t>
      </w:r>
      <w:r>
        <w:rPr>
          <w:rFonts w:hint="default" w:ascii="Times New Roman" w:hAnsi="Times New Roman" w:cs="Times New Roman"/>
          <w:color w:val="auto"/>
        </w:rPr>
        <w:t>对周围环境影响不大。</w:t>
      </w:r>
    </w:p>
    <w:p w14:paraId="5B330004">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施工期声环境影响分析</w:t>
      </w:r>
    </w:p>
    <w:p w14:paraId="73CB6CD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噪声源</w:t>
      </w:r>
    </w:p>
    <w:p w14:paraId="1F2B6C6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建筑施工噪声种类繁多，无论从声源传播形式，还是噪声特性来说要比工业噪声（主要是固定声源）、交通噪声复杂</w:t>
      </w:r>
      <w:r>
        <w:rPr>
          <w:rFonts w:hint="default" w:ascii="Times New Roman" w:hAnsi="Times New Roman" w:cs="Times New Roman"/>
          <w:color w:val="auto"/>
          <w:lang w:eastAsia="zh-CN"/>
        </w:rPr>
        <w:t>得</w:t>
      </w:r>
      <w:r>
        <w:rPr>
          <w:rFonts w:hint="default" w:ascii="Times New Roman" w:hAnsi="Times New Roman" w:cs="Times New Roman"/>
          <w:color w:val="auto"/>
        </w:rPr>
        <w:t>多。这些声源具有噪声高、无规则等特点，如不加以控制，往往会对周围环境产生噪声污染。</w:t>
      </w:r>
    </w:p>
    <w:p w14:paraId="58C1B447">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经类比调查得到的常用施工机械在作业时的噪声源强，运输车辆的噪声源强，详见表5.1-2。</w:t>
      </w:r>
    </w:p>
    <w:p w14:paraId="6D00A9D9">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表5.1-2施工设备及运输车辆噪声源统计</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t>单位dB（A）</w:t>
      </w:r>
    </w:p>
    <w:tbl>
      <w:tblPr>
        <w:tblStyle w:val="33"/>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76"/>
        <w:gridCol w:w="4057"/>
      </w:tblGrid>
      <w:tr w14:paraId="6A18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atLeast"/>
          <w:jc w:val="center"/>
        </w:trPr>
        <w:tc>
          <w:tcPr>
            <w:tcW w:w="2565" w:type="pct"/>
            <w:noWrap w:val="0"/>
            <w:vAlign w:val="top"/>
          </w:tcPr>
          <w:p w14:paraId="201FBBA8">
            <w:pPr>
              <w:pStyle w:val="69"/>
              <w:spacing w:before="10"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主要声源</w:t>
            </w:r>
          </w:p>
        </w:tc>
        <w:tc>
          <w:tcPr>
            <w:tcW w:w="2434" w:type="pct"/>
            <w:noWrap w:val="0"/>
            <w:vAlign w:val="top"/>
          </w:tcPr>
          <w:p w14:paraId="700A9EBC">
            <w:pPr>
              <w:pStyle w:val="69"/>
              <w:spacing w:before="10" w:line="257" w:lineRule="exact"/>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声级</w:t>
            </w:r>
          </w:p>
        </w:tc>
      </w:tr>
      <w:tr w14:paraId="6A53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65" w:type="pct"/>
            <w:noWrap w:val="0"/>
            <w:vAlign w:val="center"/>
          </w:tcPr>
          <w:p w14:paraId="26502617">
            <w:pPr>
              <w:pStyle w:val="69"/>
              <w:spacing w:before="21"/>
              <w:ind w:left="5" w:leftChars="0" w:right="-2" w:rightChars="0"/>
              <w:rPr>
                <w:rFonts w:hint="default" w:ascii="Times New Roman" w:hAnsi="Times New Roman" w:cs="Times New Roman"/>
                <w:color w:val="auto"/>
                <w:sz w:val="21"/>
                <w:highlight w:val="none"/>
              </w:rPr>
            </w:pPr>
            <w:r>
              <w:rPr>
                <w:rFonts w:hint="default" w:ascii="Times New Roman" w:hAnsi="Times New Roman" w:eastAsia="宋体" w:cs="Times New Roman"/>
                <w:color w:val="auto"/>
                <w:sz w:val="21"/>
                <w:highlight w:val="none"/>
                <w:lang w:val="en-US" w:eastAsia="zh-CN"/>
              </w:rPr>
              <w:t>推土机</w:t>
            </w:r>
          </w:p>
        </w:tc>
        <w:tc>
          <w:tcPr>
            <w:tcW w:w="2434" w:type="pct"/>
            <w:noWrap w:val="0"/>
            <w:vAlign w:val="top"/>
          </w:tcPr>
          <w:p w14:paraId="4C670923">
            <w:pPr>
              <w:pStyle w:val="69"/>
              <w:spacing w:before="10" w:line="259" w:lineRule="exact"/>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90</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95</w:t>
            </w:r>
          </w:p>
        </w:tc>
      </w:tr>
      <w:tr w14:paraId="3200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2565" w:type="pct"/>
            <w:noWrap w:val="0"/>
            <w:vAlign w:val="center"/>
          </w:tcPr>
          <w:p w14:paraId="2E2D0866">
            <w:pPr>
              <w:pStyle w:val="69"/>
              <w:spacing w:before="21"/>
              <w:ind w:left="5" w:leftChars="0" w:right="-2" w:rightChars="0"/>
              <w:rPr>
                <w:rFonts w:hint="default" w:ascii="Times New Roman" w:hAnsi="Times New Roman" w:cs="Times New Roman"/>
                <w:color w:val="auto"/>
                <w:sz w:val="21"/>
                <w:highlight w:val="none"/>
              </w:rPr>
            </w:pPr>
            <w:r>
              <w:rPr>
                <w:rFonts w:hint="default" w:ascii="Times New Roman" w:hAnsi="Times New Roman" w:eastAsia="宋体" w:cs="Times New Roman"/>
                <w:color w:val="auto"/>
                <w:sz w:val="21"/>
                <w:highlight w:val="none"/>
                <w:lang w:val="en-US" w:eastAsia="zh-CN"/>
              </w:rPr>
              <w:t>挖掘机</w:t>
            </w:r>
          </w:p>
        </w:tc>
        <w:tc>
          <w:tcPr>
            <w:tcW w:w="2434" w:type="pct"/>
            <w:noWrap w:val="0"/>
            <w:vAlign w:val="top"/>
          </w:tcPr>
          <w:p w14:paraId="555F12DF">
            <w:pPr>
              <w:pStyle w:val="69"/>
              <w:spacing w:before="15" w:line="266" w:lineRule="exact"/>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lang w:val="en-US" w:eastAsia="zh-CN"/>
              </w:rPr>
              <w:t>90</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95</w:t>
            </w:r>
          </w:p>
        </w:tc>
      </w:tr>
      <w:tr w14:paraId="733C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565" w:type="pct"/>
            <w:noWrap w:val="0"/>
            <w:vAlign w:val="center"/>
          </w:tcPr>
          <w:p w14:paraId="48AF11FF">
            <w:pPr>
              <w:pStyle w:val="69"/>
              <w:spacing w:before="21"/>
              <w:ind w:left="5" w:leftChars="0" w:right="-2" w:rightChars="0"/>
              <w:rPr>
                <w:rFonts w:hint="default" w:ascii="Times New Roman" w:hAnsi="Times New Roman" w:cs="Times New Roman"/>
                <w:color w:val="auto"/>
                <w:sz w:val="21"/>
                <w:highlight w:val="none"/>
              </w:rPr>
            </w:pPr>
            <w:r>
              <w:rPr>
                <w:rFonts w:hint="default" w:ascii="Times New Roman" w:hAnsi="Times New Roman" w:eastAsia="宋体" w:cs="Times New Roman"/>
                <w:color w:val="auto"/>
                <w:sz w:val="21"/>
                <w:highlight w:val="none"/>
                <w:lang w:val="en-US" w:eastAsia="zh-CN"/>
              </w:rPr>
              <w:t>装载机</w:t>
            </w:r>
          </w:p>
        </w:tc>
        <w:tc>
          <w:tcPr>
            <w:tcW w:w="2434" w:type="pct"/>
            <w:noWrap w:val="0"/>
            <w:vAlign w:val="top"/>
          </w:tcPr>
          <w:p w14:paraId="19AA3B0A">
            <w:pPr>
              <w:pStyle w:val="69"/>
              <w:spacing w:before="17" w:line="267" w:lineRule="exact"/>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Times New Roman" w:cs="Times New Roman"/>
                <w:color w:val="auto"/>
                <w:sz w:val="21"/>
                <w:highlight w:val="none"/>
              </w:rPr>
              <w:t>8</w:t>
            </w:r>
            <w:r>
              <w:rPr>
                <w:rFonts w:hint="default" w:ascii="Times New Roman" w:hAnsi="Times New Roman" w:cs="Times New Roman"/>
                <w:color w:val="auto"/>
                <w:sz w:val="21"/>
                <w:highlight w:val="none"/>
                <w:lang w:val="en-US" w:eastAsia="zh-CN"/>
              </w:rPr>
              <w:t>0</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85</w:t>
            </w:r>
          </w:p>
        </w:tc>
      </w:tr>
      <w:tr w14:paraId="3EAB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2565" w:type="pct"/>
            <w:noWrap w:val="0"/>
            <w:vAlign w:val="center"/>
          </w:tcPr>
          <w:p w14:paraId="5F72FE4A">
            <w:pPr>
              <w:pStyle w:val="69"/>
              <w:spacing w:before="21"/>
              <w:ind w:left="5" w:leftChars="0" w:right="-2" w:rightChars="0"/>
              <w:rPr>
                <w:rFonts w:hint="default" w:ascii="Times New Roman" w:hAnsi="Times New Roman" w:cs="Times New Roman"/>
                <w:color w:val="auto"/>
                <w:sz w:val="21"/>
                <w:highlight w:val="none"/>
              </w:rPr>
            </w:pPr>
            <w:r>
              <w:rPr>
                <w:rFonts w:hint="default" w:ascii="Times New Roman" w:hAnsi="Times New Roman" w:eastAsia="宋体" w:cs="Times New Roman"/>
                <w:color w:val="auto"/>
                <w:sz w:val="21"/>
                <w:highlight w:val="none"/>
                <w:lang w:val="en-US" w:eastAsia="zh-CN"/>
              </w:rPr>
              <w:t>运输车辆</w:t>
            </w:r>
          </w:p>
        </w:tc>
        <w:tc>
          <w:tcPr>
            <w:tcW w:w="2434" w:type="pct"/>
            <w:noWrap w:val="0"/>
            <w:vAlign w:val="top"/>
          </w:tcPr>
          <w:p w14:paraId="24C59DE4">
            <w:pPr>
              <w:pStyle w:val="69"/>
              <w:spacing w:before="15" w:line="266" w:lineRule="exact"/>
              <w:ind w:left="0" w:leftChars="0" w:right="-10" w:rightChars="0" w:firstLine="0" w:firstLineChars="0"/>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8</w:t>
            </w:r>
            <w:r>
              <w:rPr>
                <w:rFonts w:hint="default" w:ascii="Times New Roman" w:hAnsi="Times New Roman" w:cs="Times New Roman"/>
                <w:color w:val="auto"/>
                <w:sz w:val="21"/>
                <w:highlight w:val="none"/>
                <w:lang w:val="en-US" w:eastAsia="zh-CN"/>
              </w:rPr>
              <w:t>0</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85</w:t>
            </w:r>
          </w:p>
        </w:tc>
      </w:tr>
      <w:tr w14:paraId="5A3C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565" w:type="pct"/>
            <w:noWrap w:val="0"/>
            <w:vAlign w:val="center"/>
          </w:tcPr>
          <w:p w14:paraId="73C98D96">
            <w:pPr>
              <w:pStyle w:val="69"/>
              <w:spacing w:before="21"/>
              <w:ind w:left="5" w:leftChars="0" w:right="-2" w:rightChars="0"/>
              <w:rPr>
                <w:rFonts w:hint="default" w:ascii="Times New Roman" w:hAnsi="Times New Roman" w:cs="Times New Roman"/>
                <w:color w:val="auto"/>
                <w:sz w:val="21"/>
                <w:highlight w:val="none"/>
              </w:rPr>
            </w:pPr>
            <w:r>
              <w:rPr>
                <w:rFonts w:hint="default" w:ascii="Times New Roman" w:hAnsi="Times New Roman" w:eastAsia="宋体" w:cs="Times New Roman"/>
                <w:color w:val="auto"/>
                <w:sz w:val="21"/>
                <w:highlight w:val="none"/>
                <w:lang w:val="en-US" w:eastAsia="zh-CN"/>
              </w:rPr>
              <w:t>混凝土搅拌车</w:t>
            </w:r>
          </w:p>
        </w:tc>
        <w:tc>
          <w:tcPr>
            <w:tcW w:w="2434" w:type="pct"/>
            <w:noWrap w:val="0"/>
            <w:vAlign w:val="top"/>
          </w:tcPr>
          <w:p w14:paraId="2C115E90">
            <w:pPr>
              <w:pStyle w:val="69"/>
              <w:spacing w:before="2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90</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95</w:t>
            </w:r>
          </w:p>
        </w:tc>
      </w:tr>
      <w:tr w14:paraId="2E6D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65" w:type="pct"/>
            <w:noWrap w:val="0"/>
            <w:vAlign w:val="center"/>
          </w:tcPr>
          <w:p w14:paraId="75FDDC66">
            <w:pPr>
              <w:pStyle w:val="69"/>
              <w:spacing w:before="21"/>
              <w:ind w:left="5" w:leftChars="0" w:right="-2" w:rightChars="0"/>
              <w:rPr>
                <w:rFonts w:hint="default" w:ascii="Times New Roman" w:hAnsi="Times New Roman" w:cs="Times New Roman"/>
                <w:color w:val="auto"/>
                <w:sz w:val="21"/>
                <w:highlight w:val="none"/>
              </w:rPr>
            </w:pPr>
            <w:r>
              <w:rPr>
                <w:rFonts w:hint="default" w:ascii="Times New Roman" w:hAnsi="Times New Roman" w:eastAsia="宋体" w:cs="Times New Roman"/>
                <w:color w:val="auto"/>
                <w:sz w:val="21"/>
                <w:highlight w:val="none"/>
                <w:lang w:val="en-US" w:eastAsia="zh-CN"/>
              </w:rPr>
              <w:t>空压机</w:t>
            </w:r>
          </w:p>
        </w:tc>
        <w:tc>
          <w:tcPr>
            <w:tcW w:w="2434" w:type="pct"/>
            <w:noWrap w:val="0"/>
            <w:vAlign w:val="top"/>
          </w:tcPr>
          <w:p w14:paraId="7AD98773">
            <w:pPr>
              <w:pStyle w:val="69"/>
              <w:spacing w:before="15" w:line="267" w:lineRule="exact"/>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97</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102</w:t>
            </w:r>
          </w:p>
        </w:tc>
      </w:tr>
      <w:tr w14:paraId="2DE4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565" w:type="pct"/>
            <w:noWrap w:val="0"/>
            <w:vAlign w:val="center"/>
          </w:tcPr>
          <w:p w14:paraId="151C5FD3">
            <w:pPr>
              <w:pStyle w:val="69"/>
              <w:spacing w:before="21"/>
              <w:ind w:left="5" w:leftChars="0" w:right="-2" w:rightChars="0"/>
              <w:rPr>
                <w:rFonts w:hint="default" w:ascii="Times New Roman" w:hAnsi="Times New Roman" w:cs="Times New Roman"/>
                <w:color w:val="auto"/>
                <w:sz w:val="21"/>
                <w:highlight w:val="none"/>
              </w:rPr>
            </w:pPr>
            <w:r>
              <w:rPr>
                <w:rFonts w:hint="default" w:ascii="Times New Roman" w:hAnsi="Times New Roman" w:eastAsia="宋体" w:cs="Times New Roman"/>
                <w:color w:val="auto"/>
                <w:sz w:val="21"/>
                <w:highlight w:val="none"/>
                <w:lang w:val="en-US" w:eastAsia="zh-CN"/>
              </w:rPr>
              <w:t>混凝土泵</w:t>
            </w:r>
          </w:p>
        </w:tc>
        <w:tc>
          <w:tcPr>
            <w:tcW w:w="2434" w:type="pct"/>
            <w:noWrap w:val="0"/>
            <w:vAlign w:val="top"/>
          </w:tcPr>
          <w:p w14:paraId="49B8CF8A">
            <w:pPr>
              <w:pStyle w:val="69"/>
              <w:spacing w:before="17" w:line="266" w:lineRule="exact"/>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85</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90</w:t>
            </w:r>
          </w:p>
        </w:tc>
      </w:tr>
    </w:tbl>
    <w:p w14:paraId="0E9167B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预测模式</w:t>
      </w:r>
    </w:p>
    <w:p w14:paraId="7A3E5433">
      <w:pPr>
        <w:pStyle w:val="106"/>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sz w:val="24"/>
          <w:szCs w:val="24"/>
          <w:highlight w:val="none"/>
        </w:rPr>
        <w:t>室外声源</w:t>
      </w:r>
    </w:p>
    <w:p w14:paraId="301BBCA1">
      <w:pPr>
        <w:pStyle w:val="106"/>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设室外声源为I个</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预测点为j个，采用倍频带声压级法</w:t>
      </w:r>
      <w:r>
        <w:rPr>
          <w:rFonts w:hint="default" w:ascii="Times New Roman" w:hAnsi="Times New Roman" w:eastAsia="宋体" w:cs="Times New Roman"/>
          <w:color w:val="auto"/>
          <w:sz w:val="24"/>
          <w:szCs w:val="24"/>
          <w:highlight w:val="none"/>
          <w:lang w:eastAsia="zh-CN"/>
        </w:rPr>
        <w:t>：</w:t>
      </w:r>
    </w:p>
    <w:p w14:paraId="7D942EC8">
      <w:pPr>
        <w:pStyle w:val="106"/>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计算第I个噪声源在第j个预测点的倍频带声压级L</w:t>
      </w:r>
      <w:r>
        <w:rPr>
          <w:rFonts w:hint="default" w:ascii="Times New Roman" w:hAnsi="Times New Roman" w:eastAsia="宋体" w:cs="Times New Roman"/>
          <w:color w:val="auto"/>
          <w:sz w:val="24"/>
          <w:szCs w:val="24"/>
          <w:highlight w:val="none"/>
          <w:vertAlign w:val="subscript"/>
        </w:rPr>
        <w:t>octij</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w:t>
      </w:r>
    </w:p>
    <w:p w14:paraId="766ED92A">
      <w:pPr>
        <w:pStyle w:val="106"/>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octij</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octi</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）-（Aoctdir+Aoctbar+Aoctatm+Aoctexc）</w:t>
      </w:r>
    </w:p>
    <w:p w14:paraId="132220F5">
      <w:pPr>
        <w:pStyle w:val="106"/>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14:paraId="0E05A43D">
      <w:pPr>
        <w:pStyle w:val="106"/>
        <w:keepNext w:val="0"/>
        <w:keepLines w:val="0"/>
        <w:pageBreakBefore w:val="0"/>
        <w:widowControl w:val="0"/>
        <w:kinsoku/>
        <w:wordWrap/>
        <w:overflowPunct/>
        <w:topLinePunct w:val="0"/>
        <w:autoSpaceDE w:val="0"/>
        <w:autoSpaceDN w:val="0"/>
        <w:bidi w:val="0"/>
        <w:adjustRightInd/>
        <w:snapToGrid/>
        <w:spacing w:line="360" w:lineRule="auto"/>
        <w:ind w:right="0"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Loctij（r0）—第I个噪声源在参考位置r0处的倍频带声压级，dB；</w:t>
      </w:r>
    </w:p>
    <w:p w14:paraId="09BA36DD">
      <w:pPr>
        <w:pStyle w:val="106"/>
        <w:keepNext w:val="0"/>
        <w:keepLines w:val="0"/>
        <w:pageBreakBefore w:val="0"/>
        <w:widowControl w:val="0"/>
        <w:kinsoku/>
        <w:wordWrap/>
        <w:overflowPunct/>
        <w:topLinePunct w:val="0"/>
        <w:autoSpaceDE w:val="0"/>
        <w:autoSpaceDN w:val="0"/>
        <w:bidi w:val="0"/>
        <w:adjustRightInd/>
        <w:snapToGrid/>
        <w:spacing w:line="360" w:lineRule="auto"/>
        <w:ind w:right="0"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Aoctdir—发散衰减量，dB；</w:t>
      </w:r>
    </w:p>
    <w:p w14:paraId="162672C9">
      <w:pPr>
        <w:pStyle w:val="106"/>
        <w:keepNext w:val="0"/>
        <w:keepLines w:val="0"/>
        <w:pageBreakBefore w:val="0"/>
        <w:widowControl w:val="0"/>
        <w:kinsoku/>
        <w:wordWrap/>
        <w:overflowPunct/>
        <w:topLinePunct w:val="0"/>
        <w:autoSpaceDE w:val="0"/>
        <w:autoSpaceDN w:val="0"/>
        <w:bidi w:val="0"/>
        <w:adjustRightInd/>
        <w:snapToGrid/>
        <w:spacing w:line="360" w:lineRule="auto"/>
        <w:ind w:right="0"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Aoctbar—屏障衰减量，dB；</w:t>
      </w:r>
    </w:p>
    <w:p w14:paraId="59043AB4">
      <w:pPr>
        <w:pStyle w:val="106"/>
        <w:keepNext w:val="0"/>
        <w:keepLines w:val="0"/>
        <w:pageBreakBefore w:val="0"/>
        <w:widowControl w:val="0"/>
        <w:kinsoku/>
        <w:wordWrap/>
        <w:overflowPunct/>
        <w:topLinePunct w:val="0"/>
        <w:autoSpaceDE w:val="0"/>
        <w:autoSpaceDN w:val="0"/>
        <w:bidi w:val="0"/>
        <w:adjustRightInd/>
        <w:snapToGrid/>
        <w:spacing w:line="360" w:lineRule="auto"/>
        <w:ind w:right="0"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Aoctatm—空气吸收衰减量，dB；</w:t>
      </w:r>
    </w:p>
    <w:p w14:paraId="7038CA92">
      <w:pPr>
        <w:pStyle w:val="106"/>
        <w:keepNext w:val="0"/>
        <w:keepLines w:val="0"/>
        <w:pageBreakBefore w:val="0"/>
        <w:widowControl w:val="0"/>
        <w:kinsoku/>
        <w:wordWrap/>
        <w:overflowPunct/>
        <w:topLinePunct w:val="0"/>
        <w:autoSpaceDE w:val="0"/>
        <w:autoSpaceDN w:val="0"/>
        <w:bidi w:val="0"/>
        <w:adjustRightInd/>
        <w:snapToGrid/>
        <w:spacing w:line="360" w:lineRule="auto"/>
        <w:ind w:right="0"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Aoctexc—附加衰减量，dB；</w:t>
      </w:r>
    </w:p>
    <w:p w14:paraId="60D72E58">
      <w:pPr>
        <w:pStyle w:val="106"/>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假设已知噪声源的倍频带声功率级为L</w:t>
      </w:r>
      <w:r>
        <w:rPr>
          <w:rFonts w:hint="default" w:ascii="Times New Roman" w:hAnsi="Times New Roman" w:eastAsia="宋体" w:cs="Times New Roman"/>
          <w:color w:val="auto"/>
          <w:sz w:val="24"/>
          <w:szCs w:val="24"/>
          <w:highlight w:val="none"/>
          <w:vertAlign w:val="subscript"/>
        </w:rPr>
        <w:t>wiact</w:t>
      </w:r>
      <w:r>
        <w:rPr>
          <w:rFonts w:hint="default" w:ascii="Times New Roman" w:hAnsi="Times New Roman" w:eastAsia="宋体" w:cs="Times New Roman"/>
          <w:color w:val="auto"/>
          <w:sz w:val="24"/>
          <w:szCs w:val="24"/>
          <w:highlight w:val="none"/>
        </w:rPr>
        <w:t>，并假设声源位于地面上（半自由场），则：</w:t>
      </w:r>
    </w:p>
    <w:p w14:paraId="042BBD83">
      <w:pPr>
        <w:pStyle w:val="106"/>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octi</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wiact</w:t>
      </w:r>
      <w:r>
        <w:rPr>
          <w:rFonts w:hint="default" w:ascii="Times New Roman" w:hAnsi="Times New Roman" w:eastAsia="宋体" w:cs="Times New Roman"/>
          <w:color w:val="auto"/>
          <w:sz w:val="24"/>
          <w:szCs w:val="24"/>
          <w:highlight w:val="none"/>
        </w:rPr>
        <w:t>-20lgr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-8</w:t>
      </w:r>
    </w:p>
    <w:p w14:paraId="129C5D4E">
      <w:pPr>
        <w:pStyle w:val="106"/>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由上式计算的倍频带声压级合成为A声级</w:t>
      </w:r>
    </w:p>
    <w:p w14:paraId="467B1F16">
      <w:pPr>
        <w:pStyle w:val="106"/>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aij</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wai</w:t>
      </w:r>
      <w:r>
        <w:rPr>
          <w:rFonts w:hint="default" w:ascii="Times New Roman" w:hAnsi="Times New Roman" w:eastAsia="宋体" w:cs="Times New Roman"/>
          <w:color w:val="auto"/>
          <w:sz w:val="24"/>
          <w:szCs w:val="24"/>
          <w:highlight w:val="none"/>
        </w:rPr>
        <w:t>-20lgr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-8</w:t>
      </w:r>
    </w:p>
    <w:p w14:paraId="19771BBE">
      <w:pPr>
        <w:pStyle w:val="106"/>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评价标准</w:t>
      </w:r>
    </w:p>
    <w:p w14:paraId="3571E389">
      <w:pPr>
        <w:pStyle w:val="106"/>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建筑施工工地的噪声适用标准为《建筑施工场界环境噪声排放标准》（GB12532-2011），噪声限值为昼间70dB（A），夜间55dB（A）。</w:t>
      </w:r>
    </w:p>
    <w:p w14:paraId="0FF6F41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预测结果及评价</w:t>
      </w:r>
    </w:p>
    <w:p w14:paraId="2D24FC5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本项目占地面积不大，噪声设备较集中，施工设备多为不连续噪声，本次评价根据噪声预测衰减</w:t>
      </w:r>
      <w:r>
        <w:rPr>
          <w:rFonts w:hint="default" w:ascii="Times New Roman" w:hAnsi="Times New Roman" w:cs="Times New Roman"/>
          <w:color w:val="auto"/>
          <w:lang w:eastAsia="zh-CN"/>
        </w:rPr>
        <w:t>模式</w:t>
      </w:r>
      <w:r>
        <w:rPr>
          <w:rFonts w:hint="default" w:ascii="Times New Roman" w:hAnsi="Times New Roman" w:cs="Times New Roman"/>
          <w:color w:val="auto"/>
        </w:rPr>
        <w:t>对主要的施工设备噪声衰减情况进行预测，预测结果见表5.1-3。</w:t>
      </w:r>
    </w:p>
    <w:p w14:paraId="22B593B4">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表5.1-3</w:t>
      </w:r>
      <w:r>
        <w:rPr>
          <w:rFonts w:hint="default" w:ascii="Times New Roman" w:hAnsi="Times New Roman" w:eastAsia="宋体" w:cs="Times New Roman"/>
          <w:b/>
          <w:bCs/>
          <w:color w:val="auto"/>
          <w:sz w:val="21"/>
          <w:szCs w:val="21"/>
        </w:rPr>
        <w:tab/>
      </w:r>
      <w:r>
        <w:rPr>
          <w:rFonts w:hint="default" w:ascii="Times New Roman" w:hAnsi="Times New Roman" w:eastAsia="宋体" w:cs="Times New Roman"/>
          <w:b/>
          <w:bCs/>
          <w:color w:val="auto"/>
          <w:sz w:val="21"/>
          <w:szCs w:val="21"/>
        </w:rPr>
        <w:t>不同施工机械噪声距离衰减值情况表dB（A）</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49"/>
        <w:gridCol w:w="901"/>
        <w:gridCol w:w="818"/>
        <w:gridCol w:w="843"/>
        <w:gridCol w:w="975"/>
        <w:gridCol w:w="792"/>
        <w:gridCol w:w="960"/>
        <w:gridCol w:w="968"/>
      </w:tblGrid>
      <w:tr w14:paraId="1ADD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99" w:hRule="atLeast"/>
          <w:jc w:val="center"/>
        </w:trPr>
        <w:tc>
          <w:tcPr>
            <w:tcW w:w="2049" w:type="dxa"/>
            <w:tcBorders>
              <w:tl2br w:val="nil"/>
              <w:tr2bl w:val="nil"/>
            </w:tcBorders>
            <w:noWrap w:val="0"/>
            <w:vAlign w:val="center"/>
          </w:tcPr>
          <w:p w14:paraId="40AF6665">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-35560</wp:posOffset>
                      </wp:positionH>
                      <wp:positionV relativeFrom="paragraph">
                        <wp:posOffset>-3175</wp:posOffset>
                      </wp:positionV>
                      <wp:extent cx="1318895" cy="370205"/>
                      <wp:effectExtent l="1270" t="4445" r="13335" b="6350"/>
                      <wp:wrapNone/>
                      <wp:docPr id="3" name="直线 122"/>
                      <wp:cNvGraphicFramePr/>
                      <a:graphic xmlns:a="http://schemas.openxmlformats.org/drawingml/2006/main">
                        <a:graphicData uri="http://schemas.microsoft.com/office/word/2010/wordprocessingShape">
                          <wps:wsp>
                            <wps:cNvCnPr/>
                            <wps:spPr>
                              <a:xfrm>
                                <a:off x="0" y="0"/>
                                <a:ext cx="1318895" cy="3702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2" o:spid="_x0000_s1026" o:spt="20" style="position:absolute;left:0pt;margin-left:-2.8pt;margin-top:-0.25pt;height:29.15pt;width:103.85pt;z-index:251662336;mso-width-relative:page;mso-height-relative:page;" filled="f" stroked="t" coordsize="21600,21600" o:gfxdata="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FHsQ1gAAAAcBAAAPAAAAAAAAAAEAIAAAACIAAABkcnMvZG93bnJldi54bWxQSwECFAAUAAAACACH&#10;TuJA1aOjde0BAADiAwAADgAAAAAAAAABACAAAAAlAQAAZHJzL2Uyb0RvYy54bWxQSwUGAAAAAAYA&#10;BgBZAQAAhAU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1"/>
                <w:highlight w:val="none"/>
                <w:lang w:val="en-US" w:eastAsia="zh-CN"/>
              </w:rPr>
              <w:t>距离（m）</w:t>
            </w:r>
          </w:p>
          <w:p w14:paraId="5C4757CC">
            <w:pPr>
              <w:pStyle w:val="69"/>
              <w:spacing w:before="21"/>
              <w:ind w:left="5" w:right="-2"/>
              <w:jc w:val="both"/>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施工设备</w:t>
            </w:r>
          </w:p>
        </w:tc>
        <w:tc>
          <w:tcPr>
            <w:tcW w:w="901" w:type="dxa"/>
            <w:tcBorders>
              <w:tl2br w:val="nil"/>
              <w:tr2bl w:val="nil"/>
            </w:tcBorders>
            <w:noWrap w:val="0"/>
            <w:vAlign w:val="center"/>
          </w:tcPr>
          <w:p w14:paraId="5A0990DD">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源强</w:t>
            </w:r>
          </w:p>
        </w:tc>
        <w:tc>
          <w:tcPr>
            <w:tcW w:w="818" w:type="dxa"/>
            <w:tcBorders>
              <w:tl2br w:val="nil"/>
              <w:tr2bl w:val="nil"/>
            </w:tcBorders>
            <w:noWrap w:val="0"/>
            <w:vAlign w:val="center"/>
          </w:tcPr>
          <w:p w14:paraId="29567811">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10</w:t>
            </w:r>
          </w:p>
        </w:tc>
        <w:tc>
          <w:tcPr>
            <w:tcW w:w="843" w:type="dxa"/>
            <w:tcBorders>
              <w:tl2br w:val="nil"/>
              <w:tr2bl w:val="nil"/>
            </w:tcBorders>
            <w:noWrap w:val="0"/>
            <w:vAlign w:val="center"/>
          </w:tcPr>
          <w:p w14:paraId="2722A6E3">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30</w:t>
            </w:r>
          </w:p>
        </w:tc>
        <w:tc>
          <w:tcPr>
            <w:tcW w:w="975" w:type="dxa"/>
            <w:tcBorders>
              <w:tl2br w:val="nil"/>
              <w:tr2bl w:val="nil"/>
            </w:tcBorders>
            <w:noWrap w:val="0"/>
            <w:vAlign w:val="center"/>
          </w:tcPr>
          <w:p w14:paraId="11EF6399">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60</w:t>
            </w:r>
          </w:p>
        </w:tc>
        <w:tc>
          <w:tcPr>
            <w:tcW w:w="792" w:type="dxa"/>
            <w:tcBorders>
              <w:tl2br w:val="nil"/>
              <w:tr2bl w:val="nil"/>
            </w:tcBorders>
            <w:noWrap w:val="0"/>
            <w:vAlign w:val="center"/>
          </w:tcPr>
          <w:p w14:paraId="073221BA">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100</w:t>
            </w:r>
          </w:p>
        </w:tc>
        <w:tc>
          <w:tcPr>
            <w:tcW w:w="960" w:type="dxa"/>
            <w:tcBorders>
              <w:tl2br w:val="nil"/>
              <w:tr2bl w:val="nil"/>
            </w:tcBorders>
            <w:noWrap w:val="0"/>
            <w:vAlign w:val="center"/>
          </w:tcPr>
          <w:p w14:paraId="096D6522">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150</w:t>
            </w:r>
          </w:p>
        </w:tc>
        <w:tc>
          <w:tcPr>
            <w:tcW w:w="968" w:type="dxa"/>
            <w:tcBorders>
              <w:tl2br w:val="nil"/>
              <w:tr2bl w:val="nil"/>
            </w:tcBorders>
            <w:noWrap w:val="0"/>
            <w:vAlign w:val="center"/>
          </w:tcPr>
          <w:p w14:paraId="707F343D">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210</w:t>
            </w:r>
          </w:p>
        </w:tc>
      </w:tr>
      <w:tr w14:paraId="388F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49" w:type="dxa"/>
            <w:tcBorders>
              <w:tl2br w:val="nil"/>
              <w:tr2bl w:val="nil"/>
            </w:tcBorders>
            <w:noWrap w:val="0"/>
            <w:vAlign w:val="center"/>
          </w:tcPr>
          <w:p w14:paraId="5540E4DD">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推土机</w:t>
            </w:r>
          </w:p>
        </w:tc>
        <w:tc>
          <w:tcPr>
            <w:tcW w:w="901" w:type="dxa"/>
            <w:tcBorders>
              <w:tl2br w:val="nil"/>
              <w:tr2bl w:val="nil"/>
            </w:tcBorders>
            <w:noWrap w:val="0"/>
            <w:vAlign w:val="center"/>
          </w:tcPr>
          <w:p w14:paraId="39C4E9B7">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95</w:t>
            </w:r>
          </w:p>
        </w:tc>
        <w:tc>
          <w:tcPr>
            <w:tcW w:w="818" w:type="dxa"/>
            <w:tcBorders>
              <w:tl2br w:val="nil"/>
              <w:tr2bl w:val="nil"/>
            </w:tcBorders>
            <w:noWrap w:val="0"/>
            <w:vAlign w:val="center"/>
          </w:tcPr>
          <w:p w14:paraId="47267576">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76.25</w:t>
            </w:r>
          </w:p>
        </w:tc>
        <w:tc>
          <w:tcPr>
            <w:tcW w:w="843" w:type="dxa"/>
            <w:tcBorders>
              <w:tl2br w:val="nil"/>
              <w:tr2bl w:val="nil"/>
            </w:tcBorders>
            <w:noWrap w:val="0"/>
            <w:vAlign w:val="center"/>
          </w:tcPr>
          <w:p w14:paraId="0C0D8AB4">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65.49</w:t>
            </w:r>
          </w:p>
        </w:tc>
        <w:tc>
          <w:tcPr>
            <w:tcW w:w="975" w:type="dxa"/>
            <w:tcBorders>
              <w:tl2br w:val="nil"/>
              <w:tr2bl w:val="nil"/>
            </w:tcBorders>
            <w:noWrap w:val="0"/>
            <w:vAlign w:val="center"/>
          </w:tcPr>
          <w:p w14:paraId="55E6A576">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59.88</w:t>
            </w:r>
          </w:p>
        </w:tc>
        <w:tc>
          <w:tcPr>
            <w:tcW w:w="792" w:type="dxa"/>
            <w:tcBorders>
              <w:tl2br w:val="nil"/>
              <w:tr2bl w:val="nil"/>
            </w:tcBorders>
            <w:noWrap w:val="0"/>
            <w:vAlign w:val="center"/>
          </w:tcPr>
          <w:p w14:paraId="43098E0D">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54.72</w:t>
            </w:r>
          </w:p>
        </w:tc>
        <w:tc>
          <w:tcPr>
            <w:tcW w:w="960" w:type="dxa"/>
            <w:tcBorders>
              <w:tl2br w:val="nil"/>
              <w:tr2bl w:val="nil"/>
            </w:tcBorders>
            <w:noWrap w:val="0"/>
            <w:vAlign w:val="center"/>
          </w:tcPr>
          <w:p w14:paraId="244CF628">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51.19</w:t>
            </w:r>
          </w:p>
        </w:tc>
        <w:tc>
          <w:tcPr>
            <w:tcW w:w="968" w:type="dxa"/>
            <w:tcBorders>
              <w:tl2br w:val="nil"/>
              <w:tr2bl w:val="nil"/>
            </w:tcBorders>
            <w:noWrap w:val="0"/>
            <w:vAlign w:val="center"/>
          </w:tcPr>
          <w:p w14:paraId="62749931">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48.87</w:t>
            </w:r>
          </w:p>
        </w:tc>
      </w:tr>
      <w:tr w14:paraId="4FD3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49" w:type="dxa"/>
            <w:tcBorders>
              <w:tl2br w:val="nil"/>
              <w:tr2bl w:val="nil"/>
            </w:tcBorders>
            <w:noWrap w:val="0"/>
            <w:vAlign w:val="center"/>
          </w:tcPr>
          <w:p w14:paraId="42B08C1F">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挖掘机</w:t>
            </w:r>
          </w:p>
        </w:tc>
        <w:tc>
          <w:tcPr>
            <w:tcW w:w="901" w:type="dxa"/>
            <w:tcBorders>
              <w:tl2br w:val="nil"/>
              <w:tr2bl w:val="nil"/>
            </w:tcBorders>
            <w:noWrap w:val="0"/>
            <w:vAlign w:val="center"/>
          </w:tcPr>
          <w:p w14:paraId="649A625C">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95</w:t>
            </w:r>
          </w:p>
        </w:tc>
        <w:tc>
          <w:tcPr>
            <w:tcW w:w="818" w:type="dxa"/>
            <w:tcBorders>
              <w:tl2br w:val="nil"/>
              <w:tr2bl w:val="nil"/>
            </w:tcBorders>
            <w:noWrap w:val="0"/>
            <w:vAlign w:val="center"/>
          </w:tcPr>
          <w:p w14:paraId="550FEFD0">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76.25</w:t>
            </w:r>
          </w:p>
        </w:tc>
        <w:tc>
          <w:tcPr>
            <w:tcW w:w="843" w:type="dxa"/>
            <w:tcBorders>
              <w:tl2br w:val="nil"/>
              <w:tr2bl w:val="nil"/>
            </w:tcBorders>
            <w:noWrap w:val="0"/>
            <w:vAlign w:val="center"/>
          </w:tcPr>
          <w:p w14:paraId="13CD110E">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65.49</w:t>
            </w:r>
          </w:p>
        </w:tc>
        <w:tc>
          <w:tcPr>
            <w:tcW w:w="975" w:type="dxa"/>
            <w:tcBorders>
              <w:tl2br w:val="nil"/>
              <w:tr2bl w:val="nil"/>
            </w:tcBorders>
            <w:noWrap w:val="0"/>
            <w:vAlign w:val="center"/>
          </w:tcPr>
          <w:p w14:paraId="0ACE1369">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59.88</w:t>
            </w:r>
          </w:p>
        </w:tc>
        <w:tc>
          <w:tcPr>
            <w:tcW w:w="792" w:type="dxa"/>
            <w:tcBorders>
              <w:tl2br w:val="nil"/>
              <w:tr2bl w:val="nil"/>
            </w:tcBorders>
            <w:noWrap w:val="0"/>
            <w:vAlign w:val="center"/>
          </w:tcPr>
          <w:p w14:paraId="12C54D38">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54.72</w:t>
            </w:r>
          </w:p>
        </w:tc>
        <w:tc>
          <w:tcPr>
            <w:tcW w:w="960" w:type="dxa"/>
            <w:tcBorders>
              <w:tl2br w:val="nil"/>
              <w:tr2bl w:val="nil"/>
            </w:tcBorders>
            <w:noWrap w:val="0"/>
            <w:vAlign w:val="center"/>
          </w:tcPr>
          <w:p w14:paraId="1FDDE479">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51.19</w:t>
            </w:r>
          </w:p>
        </w:tc>
        <w:tc>
          <w:tcPr>
            <w:tcW w:w="968" w:type="dxa"/>
            <w:tcBorders>
              <w:tl2br w:val="nil"/>
              <w:tr2bl w:val="nil"/>
            </w:tcBorders>
            <w:noWrap w:val="0"/>
            <w:vAlign w:val="center"/>
          </w:tcPr>
          <w:p w14:paraId="1EAF26F1">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48.87</w:t>
            </w:r>
          </w:p>
        </w:tc>
      </w:tr>
      <w:tr w14:paraId="2990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49" w:type="dxa"/>
            <w:tcBorders>
              <w:tl2br w:val="nil"/>
              <w:tr2bl w:val="nil"/>
            </w:tcBorders>
            <w:noWrap w:val="0"/>
            <w:vAlign w:val="center"/>
          </w:tcPr>
          <w:p w14:paraId="6977AD28">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装载机</w:t>
            </w:r>
          </w:p>
        </w:tc>
        <w:tc>
          <w:tcPr>
            <w:tcW w:w="901" w:type="dxa"/>
            <w:tcBorders>
              <w:tl2br w:val="nil"/>
              <w:tr2bl w:val="nil"/>
            </w:tcBorders>
            <w:noWrap w:val="0"/>
            <w:vAlign w:val="center"/>
          </w:tcPr>
          <w:p w14:paraId="77324312">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85</w:t>
            </w:r>
          </w:p>
        </w:tc>
        <w:tc>
          <w:tcPr>
            <w:tcW w:w="818" w:type="dxa"/>
            <w:tcBorders>
              <w:tl2br w:val="nil"/>
              <w:tr2bl w:val="nil"/>
            </w:tcBorders>
            <w:noWrap w:val="0"/>
            <w:vAlign w:val="center"/>
          </w:tcPr>
          <w:p w14:paraId="0019D3BE">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64.73</w:t>
            </w:r>
          </w:p>
        </w:tc>
        <w:tc>
          <w:tcPr>
            <w:tcW w:w="843" w:type="dxa"/>
            <w:tcBorders>
              <w:tl2br w:val="nil"/>
              <w:tr2bl w:val="nil"/>
            </w:tcBorders>
            <w:noWrap w:val="0"/>
            <w:vAlign w:val="center"/>
          </w:tcPr>
          <w:p w14:paraId="65245B3B">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55.42</w:t>
            </w:r>
          </w:p>
        </w:tc>
        <w:tc>
          <w:tcPr>
            <w:tcW w:w="975" w:type="dxa"/>
            <w:tcBorders>
              <w:tl2br w:val="nil"/>
              <w:tr2bl w:val="nil"/>
            </w:tcBorders>
            <w:noWrap w:val="0"/>
            <w:vAlign w:val="center"/>
          </w:tcPr>
          <w:p w14:paraId="1CEEABCF">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49.47</w:t>
            </w:r>
          </w:p>
        </w:tc>
        <w:tc>
          <w:tcPr>
            <w:tcW w:w="792" w:type="dxa"/>
            <w:tcBorders>
              <w:tl2br w:val="nil"/>
              <w:tr2bl w:val="nil"/>
            </w:tcBorders>
            <w:noWrap w:val="0"/>
            <w:vAlign w:val="center"/>
          </w:tcPr>
          <w:p w14:paraId="3E585809">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45.62</w:t>
            </w:r>
          </w:p>
        </w:tc>
        <w:tc>
          <w:tcPr>
            <w:tcW w:w="960" w:type="dxa"/>
            <w:tcBorders>
              <w:tl2br w:val="nil"/>
              <w:tr2bl w:val="nil"/>
            </w:tcBorders>
            <w:noWrap w:val="0"/>
            <w:vAlign w:val="center"/>
          </w:tcPr>
          <w:p w14:paraId="5FB44194">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41.69</w:t>
            </w:r>
          </w:p>
        </w:tc>
        <w:tc>
          <w:tcPr>
            <w:tcW w:w="968" w:type="dxa"/>
            <w:tcBorders>
              <w:tl2br w:val="nil"/>
              <w:tr2bl w:val="nil"/>
            </w:tcBorders>
            <w:noWrap w:val="0"/>
            <w:vAlign w:val="center"/>
          </w:tcPr>
          <w:p w14:paraId="3417E2FE">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38.75</w:t>
            </w:r>
          </w:p>
        </w:tc>
      </w:tr>
      <w:tr w14:paraId="2115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49" w:type="dxa"/>
            <w:tcBorders>
              <w:tl2br w:val="nil"/>
              <w:tr2bl w:val="nil"/>
            </w:tcBorders>
            <w:noWrap w:val="0"/>
            <w:vAlign w:val="center"/>
          </w:tcPr>
          <w:p w14:paraId="19FEED1F">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运输车辆</w:t>
            </w:r>
          </w:p>
        </w:tc>
        <w:tc>
          <w:tcPr>
            <w:tcW w:w="901" w:type="dxa"/>
            <w:tcBorders>
              <w:tl2br w:val="nil"/>
              <w:tr2bl w:val="nil"/>
            </w:tcBorders>
            <w:noWrap w:val="0"/>
            <w:vAlign w:val="center"/>
          </w:tcPr>
          <w:p w14:paraId="0DB1F5BC">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85</w:t>
            </w:r>
          </w:p>
        </w:tc>
        <w:tc>
          <w:tcPr>
            <w:tcW w:w="818" w:type="dxa"/>
            <w:tcBorders>
              <w:tl2br w:val="nil"/>
              <w:tr2bl w:val="nil"/>
            </w:tcBorders>
            <w:noWrap w:val="0"/>
            <w:vAlign w:val="center"/>
          </w:tcPr>
          <w:p w14:paraId="0FCB79D3">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64.73</w:t>
            </w:r>
          </w:p>
        </w:tc>
        <w:tc>
          <w:tcPr>
            <w:tcW w:w="843" w:type="dxa"/>
            <w:tcBorders>
              <w:tl2br w:val="nil"/>
              <w:tr2bl w:val="nil"/>
            </w:tcBorders>
            <w:noWrap w:val="0"/>
            <w:vAlign w:val="center"/>
          </w:tcPr>
          <w:p w14:paraId="245E11BC">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55.42</w:t>
            </w:r>
          </w:p>
        </w:tc>
        <w:tc>
          <w:tcPr>
            <w:tcW w:w="975" w:type="dxa"/>
            <w:tcBorders>
              <w:tl2br w:val="nil"/>
              <w:tr2bl w:val="nil"/>
            </w:tcBorders>
            <w:noWrap w:val="0"/>
            <w:vAlign w:val="center"/>
          </w:tcPr>
          <w:p w14:paraId="39318EE7">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49.47</w:t>
            </w:r>
          </w:p>
        </w:tc>
        <w:tc>
          <w:tcPr>
            <w:tcW w:w="792" w:type="dxa"/>
            <w:tcBorders>
              <w:tl2br w:val="nil"/>
              <w:tr2bl w:val="nil"/>
            </w:tcBorders>
            <w:noWrap w:val="0"/>
            <w:vAlign w:val="center"/>
          </w:tcPr>
          <w:p w14:paraId="546DB4D5">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45.62</w:t>
            </w:r>
          </w:p>
        </w:tc>
        <w:tc>
          <w:tcPr>
            <w:tcW w:w="960" w:type="dxa"/>
            <w:tcBorders>
              <w:tl2br w:val="nil"/>
              <w:tr2bl w:val="nil"/>
            </w:tcBorders>
            <w:noWrap w:val="0"/>
            <w:vAlign w:val="center"/>
          </w:tcPr>
          <w:p w14:paraId="634753B4">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41.69</w:t>
            </w:r>
          </w:p>
        </w:tc>
        <w:tc>
          <w:tcPr>
            <w:tcW w:w="968" w:type="dxa"/>
            <w:tcBorders>
              <w:tl2br w:val="nil"/>
              <w:tr2bl w:val="nil"/>
            </w:tcBorders>
            <w:noWrap w:val="0"/>
            <w:vAlign w:val="center"/>
          </w:tcPr>
          <w:p w14:paraId="36784C1A">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38.75</w:t>
            </w:r>
          </w:p>
        </w:tc>
      </w:tr>
      <w:tr w14:paraId="5073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49" w:type="dxa"/>
            <w:tcBorders>
              <w:tl2br w:val="nil"/>
              <w:tr2bl w:val="nil"/>
            </w:tcBorders>
            <w:noWrap w:val="0"/>
            <w:vAlign w:val="center"/>
          </w:tcPr>
          <w:p w14:paraId="37341D62">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混凝土搅拌车</w:t>
            </w:r>
          </w:p>
        </w:tc>
        <w:tc>
          <w:tcPr>
            <w:tcW w:w="901" w:type="dxa"/>
            <w:tcBorders>
              <w:tl2br w:val="nil"/>
              <w:tr2bl w:val="nil"/>
            </w:tcBorders>
            <w:noWrap w:val="0"/>
            <w:vAlign w:val="center"/>
          </w:tcPr>
          <w:p w14:paraId="489FDC19">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95</w:t>
            </w:r>
          </w:p>
        </w:tc>
        <w:tc>
          <w:tcPr>
            <w:tcW w:w="818" w:type="dxa"/>
            <w:tcBorders>
              <w:tl2br w:val="nil"/>
              <w:tr2bl w:val="nil"/>
            </w:tcBorders>
            <w:noWrap w:val="0"/>
            <w:vAlign w:val="center"/>
          </w:tcPr>
          <w:p w14:paraId="6ADF1228">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76.25</w:t>
            </w:r>
          </w:p>
        </w:tc>
        <w:tc>
          <w:tcPr>
            <w:tcW w:w="843" w:type="dxa"/>
            <w:tcBorders>
              <w:tl2br w:val="nil"/>
              <w:tr2bl w:val="nil"/>
            </w:tcBorders>
            <w:noWrap w:val="0"/>
            <w:vAlign w:val="center"/>
          </w:tcPr>
          <w:p w14:paraId="66C6ABEE">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65.49</w:t>
            </w:r>
          </w:p>
        </w:tc>
        <w:tc>
          <w:tcPr>
            <w:tcW w:w="975" w:type="dxa"/>
            <w:tcBorders>
              <w:tl2br w:val="nil"/>
              <w:tr2bl w:val="nil"/>
            </w:tcBorders>
            <w:noWrap w:val="0"/>
            <w:vAlign w:val="center"/>
          </w:tcPr>
          <w:p w14:paraId="28038605">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59.88</w:t>
            </w:r>
          </w:p>
        </w:tc>
        <w:tc>
          <w:tcPr>
            <w:tcW w:w="792" w:type="dxa"/>
            <w:tcBorders>
              <w:tl2br w:val="nil"/>
              <w:tr2bl w:val="nil"/>
            </w:tcBorders>
            <w:noWrap w:val="0"/>
            <w:vAlign w:val="center"/>
          </w:tcPr>
          <w:p w14:paraId="73376E02">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54.72</w:t>
            </w:r>
          </w:p>
        </w:tc>
        <w:tc>
          <w:tcPr>
            <w:tcW w:w="960" w:type="dxa"/>
            <w:tcBorders>
              <w:tl2br w:val="nil"/>
              <w:tr2bl w:val="nil"/>
            </w:tcBorders>
            <w:noWrap w:val="0"/>
            <w:vAlign w:val="center"/>
          </w:tcPr>
          <w:p w14:paraId="42708AD3">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51.19</w:t>
            </w:r>
          </w:p>
        </w:tc>
        <w:tc>
          <w:tcPr>
            <w:tcW w:w="968" w:type="dxa"/>
            <w:tcBorders>
              <w:tl2br w:val="nil"/>
              <w:tr2bl w:val="nil"/>
            </w:tcBorders>
            <w:noWrap w:val="0"/>
            <w:vAlign w:val="center"/>
          </w:tcPr>
          <w:p w14:paraId="0398DA8E">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48.87</w:t>
            </w:r>
          </w:p>
        </w:tc>
      </w:tr>
      <w:tr w14:paraId="4D0D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49" w:type="dxa"/>
            <w:tcBorders>
              <w:tl2br w:val="nil"/>
              <w:tr2bl w:val="nil"/>
            </w:tcBorders>
            <w:noWrap w:val="0"/>
            <w:vAlign w:val="center"/>
          </w:tcPr>
          <w:p w14:paraId="13BD2207">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空压机</w:t>
            </w:r>
          </w:p>
        </w:tc>
        <w:tc>
          <w:tcPr>
            <w:tcW w:w="901" w:type="dxa"/>
            <w:tcBorders>
              <w:tl2br w:val="nil"/>
              <w:tr2bl w:val="nil"/>
            </w:tcBorders>
            <w:noWrap w:val="0"/>
            <w:vAlign w:val="center"/>
          </w:tcPr>
          <w:p w14:paraId="552117FD">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102</w:t>
            </w:r>
          </w:p>
        </w:tc>
        <w:tc>
          <w:tcPr>
            <w:tcW w:w="818" w:type="dxa"/>
            <w:tcBorders>
              <w:tl2br w:val="nil"/>
              <w:tr2bl w:val="nil"/>
            </w:tcBorders>
            <w:noWrap w:val="0"/>
            <w:vAlign w:val="center"/>
          </w:tcPr>
          <w:p w14:paraId="21815030">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82.38</w:t>
            </w:r>
          </w:p>
        </w:tc>
        <w:tc>
          <w:tcPr>
            <w:tcW w:w="843" w:type="dxa"/>
            <w:tcBorders>
              <w:tl2br w:val="nil"/>
              <w:tr2bl w:val="nil"/>
            </w:tcBorders>
            <w:noWrap w:val="0"/>
            <w:vAlign w:val="center"/>
          </w:tcPr>
          <w:p w14:paraId="7BC972C1">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72.70</w:t>
            </w:r>
          </w:p>
        </w:tc>
        <w:tc>
          <w:tcPr>
            <w:tcW w:w="975" w:type="dxa"/>
            <w:tcBorders>
              <w:tl2br w:val="nil"/>
              <w:tr2bl w:val="nil"/>
            </w:tcBorders>
            <w:noWrap w:val="0"/>
            <w:vAlign w:val="center"/>
          </w:tcPr>
          <w:p w14:paraId="2452A256">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66.88</w:t>
            </w:r>
          </w:p>
        </w:tc>
        <w:tc>
          <w:tcPr>
            <w:tcW w:w="792" w:type="dxa"/>
            <w:tcBorders>
              <w:tl2br w:val="nil"/>
              <w:tr2bl w:val="nil"/>
            </w:tcBorders>
            <w:noWrap w:val="0"/>
            <w:vAlign w:val="center"/>
          </w:tcPr>
          <w:p w14:paraId="53640EC1">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62.32</w:t>
            </w:r>
          </w:p>
        </w:tc>
        <w:tc>
          <w:tcPr>
            <w:tcW w:w="960" w:type="dxa"/>
            <w:tcBorders>
              <w:tl2br w:val="nil"/>
              <w:tr2bl w:val="nil"/>
            </w:tcBorders>
            <w:noWrap w:val="0"/>
            <w:vAlign w:val="center"/>
          </w:tcPr>
          <w:p w14:paraId="30BA65C6">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58.75</w:t>
            </w:r>
          </w:p>
        </w:tc>
        <w:tc>
          <w:tcPr>
            <w:tcW w:w="968" w:type="dxa"/>
            <w:tcBorders>
              <w:tl2br w:val="nil"/>
              <w:tr2bl w:val="nil"/>
            </w:tcBorders>
            <w:noWrap w:val="0"/>
            <w:vAlign w:val="center"/>
          </w:tcPr>
          <w:p w14:paraId="7F01EC0B">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55.66</w:t>
            </w:r>
          </w:p>
        </w:tc>
      </w:tr>
      <w:tr w14:paraId="20FC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49" w:type="dxa"/>
            <w:tcBorders>
              <w:tl2br w:val="nil"/>
              <w:tr2bl w:val="nil"/>
            </w:tcBorders>
            <w:noWrap w:val="0"/>
            <w:vAlign w:val="center"/>
          </w:tcPr>
          <w:p w14:paraId="2238FC7E">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混凝土泵</w:t>
            </w:r>
          </w:p>
        </w:tc>
        <w:tc>
          <w:tcPr>
            <w:tcW w:w="901" w:type="dxa"/>
            <w:tcBorders>
              <w:tl2br w:val="nil"/>
              <w:tr2bl w:val="nil"/>
            </w:tcBorders>
            <w:noWrap w:val="0"/>
            <w:vAlign w:val="center"/>
          </w:tcPr>
          <w:p w14:paraId="556AA4F2">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90</w:t>
            </w:r>
          </w:p>
        </w:tc>
        <w:tc>
          <w:tcPr>
            <w:tcW w:w="818" w:type="dxa"/>
            <w:tcBorders>
              <w:tl2br w:val="nil"/>
              <w:tr2bl w:val="nil"/>
            </w:tcBorders>
            <w:noWrap w:val="0"/>
            <w:vAlign w:val="center"/>
          </w:tcPr>
          <w:p w14:paraId="04D17277">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71.25</w:t>
            </w:r>
          </w:p>
        </w:tc>
        <w:tc>
          <w:tcPr>
            <w:tcW w:w="843" w:type="dxa"/>
            <w:tcBorders>
              <w:tl2br w:val="nil"/>
              <w:tr2bl w:val="nil"/>
            </w:tcBorders>
            <w:noWrap w:val="0"/>
            <w:vAlign w:val="center"/>
          </w:tcPr>
          <w:p w14:paraId="0DB0DFB1">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60.85</w:t>
            </w:r>
          </w:p>
        </w:tc>
        <w:tc>
          <w:tcPr>
            <w:tcW w:w="975" w:type="dxa"/>
            <w:tcBorders>
              <w:tl2br w:val="nil"/>
              <w:tr2bl w:val="nil"/>
            </w:tcBorders>
            <w:noWrap w:val="0"/>
            <w:vAlign w:val="center"/>
          </w:tcPr>
          <w:p w14:paraId="4858E519">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54.34</w:t>
            </w:r>
          </w:p>
        </w:tc>
        <w:tc>
          <w:tcPr>
            <w:tcW w:w="792" w:type="dxa"/>
            <w:tcBorders>
              <w:tl2br w:val="nil"/>
              <w:tr2bl w:val="nil"/>
            </w:tcBorders>
            <w:noWrap w:val="0"/>
            <w:vAlign w:val="center"/>
          </w:tcPr>
          <w:p w14:paraId="1C98A5E2">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50.22</w:t>
            </w:r>
          </w:p>
        </w:tc>
        <w:tc>
          <w:tcPr>
            <w:tcW w:w="960" w:type="dxa"/>
            <w:tcBorders>
              <w:tl2br w:val="nil"/>
              <w:tr2bl w:val="nil"/>
            </w:tcBorders>
            <w:noWrap w:val="0"/>
            <w:vAlign w:val="center"/>
          </w:tcPr>
          <w:p w14:paraId="32C74920">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46.59</w:t>
            </w:r>
          </w:p>
        </w:tc>
        <w:tc>
          <w:tcPr>
            <w:tcW w:w="968" w:type="dxa"/>
            <w:tcBorders>
              <w:tl2br w:val="nil"/>
              <w:tr2bl w:val="nil"/>
            </w:tcBorders>
            <w:noWrap w:val="0"/>
            <w:vAlign w:val="center"/>
          </w:tcPr>
          <w:p w14:paraId="641A3DD9">
            <w:pPr>
              <w:pStyle w:val="69"/>
              <w:spacing w:before="21"/>
              <w:ind w:left="5" w:right="-2"/>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43.65</w:t>
            </w:r>
          </w:p>
        </w:tc>
      </w:tr>
    </w:tbl>
    <w:p w14:paraId="628B2894">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由计算结果对照，主要施工设备昼间噪声影响半径约</w:t>
      </w:r>
      <w:r>
        <w:rPr>
          <w:rFonts w:hint="default" w:ascii="Times New Roman" w:hAnsi="Times New Roman" w:cs="Times New Roman"/>
          <w:color w:val="auto"/>
          <w:lang w:val="en-US" w:eastAsia="zh-CN"/>
        </w:rPr>
        <w:t>60</w:t>
      </w:r>
      <w:r>
        <w:rPr>
          <w:rFonts w:hint="default" w:ascii="Times New Roman" w:hAnsi="Times New Roman" w:cs="Times New Roman"/>
          <w:color w:val="auto"/>
        </w:rPr>
        <w:t>m，夜间噪声影响半径约</w:t>
      </w:r>
      <w:r>
        <w:rPr>
          <w:rFonts w:hint="default" w:ascii="Times New Roman" w:hAnsi="Times New Roman" w:cs="Times New Roman"/>
          <w:color w:val="auto"/>
          <w:lang w:val="en-US" w:eastAsia="zh-CN"/>
        </w:rPr>
        <w:t>210</w:t>
      </w:r>
      <w:r>
        <w:rPr>
          <w:rFonts w:hint="default" w:ascii="Times New Roman" w:hAnsi="Times New Roman" w:cs="Times New Roman"/>
          <w:color w:val="auto"/>
        </w:rPr>
        <w:t>m。以上预测结果表明，施工设备的噪声在昼间影响范围较小，而在夜间影响范围较大。</w:t>
      </w:r>
    </w:p>
    <w:p w14:paraId="782C0BB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本项目主要为场址周围200m无居民集中区等声环境敏感点，项目施工期噪声对周边声环境影响不大，随施工结束，施工噪声影响亦会结束。</w:t>
      </w:r>
    </w:p>
    <w:p w14:paraId="1440477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为减少施工期对周围环境的影响，在施工期</w:t>
      </w:r>
      <w:r>
        <w:rPr>
          <w:rFonts w:hint="default" w:ascii="Times New Roman" w:hAnsi="Times New Roman" w:cs="Times New Roman"/>
          <w:color w:val="auto"/>
          <w:lang w:eastAsia="zh-CN"/>
        </w:rPr>
        <w:t>间</w:t>
      </w:r>
      <w:r>
        <w:rPr>
          <w:rFonts w:hint="default" w:ascii="Times New Roman" w:hAnsi="Times New Roman" w:cs="Times New Roman"/>
          <w:color w:val="auto"/>
        </w:rPr>
        <w:t>采取了以下控制措施，以将不利影响降到最低。</w:t>
      </w:r>
    </w:p>
    <w:p w14:paraId="7F1C1E3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从声源上控制：建设单位在与施工单位签订合同时，应要求其使用的主要机械设备为低噪声机械设备，同时在施工过程中施工单位应设专人对设备进行定期保养和维护，并负责对现场工作人员进行培训，严格按操作规范使用各类机械；合理安排施工时间和施工场地，将施工噪声的影响降至</w:t>
      </w:r>
      <w:r>
        <w:rPr>
          <w:rFonts w:hint="default" w:ascii="Times New Roman" w:hAnsi="Times New Roman" w:cs="Times New Roman"/>
          <w:color w:val="auto"/>
          <w:lang w:eastAsia="zh-CN"/>
        </w:rPr>
        <w:t>最低</w:t>
      </w:r>
      <w:r>
        <w:rPr>
          <w:rFonts w:hint="default" w:ascii="Times New Roman" w:hAnsi="Times New Roman" w:cs="Times New Roman"/>
          <w:color w:val="auto"/>
        </w:rPr>
        <w:t>。施工企业也应对施工噪声进行自律，文明施工。</w:t>
      </w:r>
    </w:p>
    <w:p w14:paraId="4324F256">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施工期固体废物环境影响分析</w:t>
      </w:r>
    </w:p>
    <w:p w14:paraId="30FDB06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施工期产生的固体废物主要来源于：平整土地固废、挖掘土方、建筑施工等产生的建筑垃圾和建筑工人产生的生活垃圾。这些施工废物如不及时清理和妥善处置或在运输时产生遗洒现象，将导致土地被占用</w:t>
      </w:r>
      <w:r>
        <w:rPr>
          <w:rFonts w:hint="default" w:ascii="Times New Roman" w:hAnsi="Times New Roman" w:cs="Times New Roman"/>
          <w:color w:val="auto"/>
          <w:lang w:eastAsia="zh-CN"/>
        </w:rPr>
        <w:t>或</w:t>
      </w:r>
      <w:r>
        <w:rPr>
          <w:rFonts w:hint="default" w:ascii="Times New Roman" w:hAnsi="Times New Roman" w:cs="Times New Roman"/>
          <w:color w:val="auto"/>
        </w:rPr>
        <w:t>污染养殖场环境，对环境卫生、</w:t>
      </w:r>
      <w:r>
        <w:rPr>
          <w:rFonts w:hint="default" w:ascii="Times New Roman" w:hAnsi="Times New Roman" w:cs="Times New Roman"/>
          <w:color w:val="auto"/>
          <w:lang w:eastAsia="zh-CN"/>
        </w:rPr>
        <w:t>鸡舍</w:t>
      </w:r>
      <w:r>
        <w:rPr>
          <w:rFonts w:hint="default" w:ascii="Times New Roman" w:hAnsi="Times New Roman" w:cs="Times New Roman"/>
          <w:color w:val="auto"/>
        </w:rPr>
        <w:t>健康等产生不利影响。</w:t>
      </w:r>
    </w:p>
    <w:p w14:paraId="0733C54F">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highlight w:val="yellow"/>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生活垃圾</w:t>
      </w:r>
    </w:p>
    <w:p w14:paraId="261B4761">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Chars="0" w:right="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highlight w:val="none"/>
        </w:rPr>
        <w:t>施工人员</w:t>
      </w:r>
      <w:r>
        <w:rPr>
          <w:rFonts w:hint="default" w:ascii="Times New Roman" w:hAnsi="Times New Roman" w:cs="Times New Roman"/>
          <w:color w:val="auto"/>
        </w:rPr>
        <w:t>产生的固体废弃物按人均</w:t>
      </w:r>
      <w:r>
        <w:rPr>
          <w:rFonts w:hint="default" w:ascii="Times New Roman" w:hAnsi="Times New Roman" w:cs="Times New Roman"/>
          <w:color w:val="auto"/>
          <w:lang w:val="en-US" w:eastAsia="zh-CN"/>
        </w:rPr>
        <w:t>0.5</w:t>
      </w:r>
      <w:r>
        <w:rPr>
          <w:rFonts w:hint="default" w:ascii="Times New Roman" w:hAnsi="Times New Roman" w:cs="Times New Roman"/>
          <w:color w:val="auto"/>
        </w:rPr>
        <w:t>kg/d计，在本项目</w:t>
      </w:r>
      <w:r>
        <w:rPr>
          <w:rFonts w:hint="default" w:ascii="Times New Roman" w:hAnsi="Times New Roman" w:cs="Times New Roman"/>
          <w:color w:val="auto"/>
          <w:lang w:val="en-US"/>
        </w:rPr>
        <w:t>50</w:t>
      </w:r>
      <w:r>
        <w:rPr>
          <w:rFonts w:hint="default" w:ascii="Times New Roman" w:hAnsi="Times New Roman" w:cs="Times New Roman"/>
          <w:color w:val="auto"/>
        </w:rPr>
        <w:t>个左右施工人员的情况下，施工人员的固体废弃物的产生量为</w:t>
      </w:r>
      <w:r>
        <w:rPr>
          <w:rFonts w:hint="default" w:ascii="Times New Roman" w:hAnsi="Times New Roman" w:cs="Times New Roman"/>
          <w:color w:val="auto"/>
          <w:lang w:val="en-US" w:eastAsia="zh-CN"/>
        </w:rPr>
        <w:t>25</w:t>
      </w:r>
      <w:r>
        <w:rPr>
          <w:rFonts w:hint="default" w:ascii="Times New Roman" w:hAnsi="Times New Roman" w:cs="Times New Roman"/>
          <w:color w:val="auto"/>
        </w:rPr>
        <w:t>kg/d，施工期的生活垃圾量很少，但如果不及时清理，在气温适宜的条件下会滋生蚊虫、产生恶臭、传播疾病。生活垃圾集中堆放在具有防渗功能的垃圾池内，由环卫部门定期清运，对评价区影响较小。</w:t>
      </w:r>
    </w:p>
    <w:p w14:paraId="45E26F85">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建筑垃圾</w:t>
      </w:r>
    </w:p>
    <w:p w14:paraId="5945B23C">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Chars="0" w:right="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施工现场产生的固体废物以建筑垃圾为主。少量的建筑垃圾及弃土的堆放不仅影响景观，而且还容易引起扬尘等环境问题，为避免这些问题的出现，对施工中产生的固体废物必须及时处置。建筑垃圾应尽量回收有用材料，不能回收的部分应随时外运，运至环卫部门指定的建筑垃圾填埋场统一处理或用于筑路、填坑。弃土拟在本工程建设中尽可能</w:t>
      </w:r>
      <w:r>
        <w:rPr>
          <w:rFonts w:hint="default" w:ascii="Times New Roman" w:hAnsi="Times New Roman" w:cs="Times New Roman"/>
          <w:color w:val="auto"/>
          <w:lang w:eastAsia="zh-CN"/>
        </w:rPr>
        <w:t>用作</w:t>
      </w:r>
      <w:r>
        <w:rPr>
          <w:rFonts w:hint="default" w:ascii="Times New Roman" w:hAnsi="Times New Roman" w:cs="Times New Roman"/>
          <w:color w:val="auto"/>
        </w:rPr>
        <w:t>回填土，尽量做到土方的平衡，以减少废土的运输量，减少运输过程中粉尘的排放。渣土尽量在场内周转，就地用于绿化、道路等生态景观建设，必须外运的弃土以及建筑废料应运至专门的建筑垃圾堆放场。</w:t>
      </w:r>
    </w:p>
    <w:p w14:paraId="147DFF61">
      <w:pPr>
        <w:pStyle w:val="16"/>
        <w:keepNext w:val="0"/>
        <w:keepLines w:val="0"/>
        <w:pageBreakBefore w:val="0"/>
        <w:widowControl w:val="0"/>
        <w:kinsoku/>
        <w:wordWrap/>
        <w:overflowPunct/>
        <w:topLinePunct w:val="0"/>
        <w:autoSpaceDE w:val="0"/>
        <w:autoSpaceDN w:val="0"/>
        <w:bidi w:val="0"/>
        <w:adjustRightInd/>
        <w:snapToGrid/>
        <w:spacing w:before="0" w:line="360" w:lineRule="auto"/>
        <w:ind w:leftChars="0" w:right="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综合上述，建设单位在施工期间对其产生的施工废物，生活垃圾及时收集、清运，不会对当地环境产生污染影响。</w:t>
      </w:r>
    </w:p>
    <w:p w14:paraId="0B1F8E93">
      <w:pPr>
        <w:pStyle w:val="3"/>
        <w:bidi w:val="0"/>
        <w:rPr>
          <w:rFonts w:hint="default" w:ascii="Times New Roman" w:hAnsi="Times New Roman" w:cs="Times New Roman"/>
          <w:lang w:val="en-US"/>
        </w:rPr>
      </w:pPr>
      <w:bookmarkStart w:id="112" w:name="_TOC_250032"/>
      <w:bookmarkEnd w:id="112"/>
      <w:bookmarkStart w:id="113" w:name="_Toc24640"/>
      <w:bookmarkStart w:id="114" w:name="_Toc239"/>
      <w:r>
        <w:rPr>
          <w:rFonts w:hint="default" w:ascii="Times New Roman" w:hAnsi="Times New Roman" w:cs="Times New Roman"/>
          <w:lang w:val="en-US"/>
        </w:rPr>
        <w:t>运营期环境影响预测与评价</w:t>
      </w:r>
      <w:bookmarkEnd w:id="113"/>
      <w:bookmarkEnd w:id="114"/>
    </w:p>
    <w:p w14:paraId="64AE781E">
      <w:pPr>
        <w:pStyle w:val="4"/>
        <w:bidi w:val="0"/>
        <w:rPr>
          <w:rFonts w:hint="default" w:ascii="Times New Roman" w:hAnsi="Times New Roman" w:cs="Times New Roman"/>
          <w:lang w:val="en-US"/>
        </w:rPr>
      </w:pPr>
      <w:r>
        <w:rPr>
          <w:rFonts w:hint="default" w:ascii="Times New Roman" w:hAnsi="Times New Roman" w:cs="Times New Roman"/>
          <w:lang w:val="en-US"/>
        </w:rPr>
        <w:t>大气环境影响预测与评价</w:t>
      </w:r>
    </w:p>
    <w:p w14:paraId="33B050BF">
      <w:pPr>
        <w:pStyle w:val="5"/>
        <w:bidi w:val="0"/>
        <w:rPr>
          <w:rFonts w:hint="default" w:ascii="Times New Roman" w:hAnsi="Times New Roman" w:cs="Times New Roman"/>
        </w:rPr>
      </w:pPr>
      <w:r>
        <w:rPr>
          <w:rFonts w:hint="default" w:ascii="Times New Roman" w:hAnsi="Times New Roman" w:cs="Times New Roman"/>
        </w:rPr>
        <w:t>大气环境影响评价工作等级的确定</w:t>
      </w:r>
    </w:p>
    <w:p w14:paraId="3D6A88EB">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176"/>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w:t>
      </w:r>
      <w:r>
        <w:rPr>
          <w:rFonts w:hint="default" w:ascii="Times New Roman" w:hAnsi="Times New Roman" w:cs="Times New Roman"/>
          <w:color w:val="auto"/>
          <w:sz w:val="24"/>
          <w:szCs w:val="24"/>
          <w:lang w:eastAsia="zh-CN"/>
        </w:rPr>
        <w:t>环境影响评价技术导则大气环境</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HJ2.2-2018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中5.3节工作等级的确定方法，结合项目工程分析结果，选择正常排放的主要污染物及排放参数，采用附录A推荐模型中的AERSCREEN模式计算项目污染源的最大环境影响，然后按评价工作分级判据进行分级。</w:t>
      </w:r>
    </w:p>
    <w:p w14:paraId="5E129D18">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176"/>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（1）P</w:t>
      </w:r>
      <w:r>
        <w:rPr>
          <w:rFonts w:hint="default" w:ascii="Times New Roman" w:hAnsi="Times New Roman" w:cs="Times New Roman"/>
          <w:color w:val="auto"/>
          <w:sz w:val="24"/>
          <w:szCs w:val="24"/>
          <w:vertAlign w:val="subscript"/>
        </w:rPr>
        <w:t>max</w:t>
      </w:r>
      <w:r>
        <w:rPr>
          <w:rFonts w:hint="default" w:ascii="Times New Roman" w:hAnsi="Times New Roman" w:cs="Times New Roman"/>
          <w:color w:val="auto"/>
          <w:sz w:val="24"/>
          <w:szCs w:val="24"/>
        </w:rPr>
        <w:t>及D</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的确定</w:t>
      </w:r>
    </w:p>
    <w:p w14:paraId="078903DA">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176"/>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依据《环境影响评价技术导则大气环境》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HJ2.2-2018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中最大地面浓度占标率P</w:t>
      </w:r>
      <w:r>
        <w:rPr>
          <w:rFonts w:hint="default" w:ascii="Times New Roman" w:hAnsi="Times New Roman" w:cs="Times New Roman"/>
          <w:i/>
          <w:color w:val="auto"/>
          <w:sz w:val="24"/>
          <w:szCs w:val="24"/>
        </w:rPr>
        <w:t>i</w:t>
      </w:r>
      <w:r>
        <w:rPr>
          <w:rFonts w:hint="default" w:ascii="Times New Roman" w:hAnsi="Times New Roman" w:cs="Times New Roman"/>
          <w:color w:val="auto"/>
          <w:sz w:val="24"/>
          <w:szCs w:val="24"/>
        </w:rPr>
        <w:t>定义如下：</w:t>
      </w:r>
    </w:p>
    <w:p w14:paraId="0B0503B6">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176"/>
        <w:jc w:val="center"/>
        <w:textAlignment w:val="auto"/>
        <w:rPr>
          <w:rFonts w:hint="default" w:ascii="Times New Roman" w:hAnsi="Times New Roman" w:cs="Times New Roman"/>
          <w:color w:val="auto"/>
          <w:sz w:val="24"/>
          <w:szCs w:val="24"/>
        </w:rPr>
      </w:pPr>
      <m:oMathPara>
        <m:oMath>
          <m:sSub>
            <m:sSubPr>
              <m:ctrlPr>
                <w:rPr>
                  <w:rFonts w:hint="default" w:ascii="Cambria Math" w:hAnsi="Cambria Math" w:cs="Times New Roman"/>
                  <w:sz w:val="24"/>
                  <w:szCs w:val="24"/>
                </w:rPr>
              </m:ctrlPr>
            </m:sSubPr>
            <m:e>
              <m:r>
                <m:rPr/>
                <w:rPr>
                  <w:rFonts w:hint="default" w:ascii="Cambria Math" w:hAnsi="Cambria Math" w:cs="Times New Roman"/>
                  <w:sz w:val="24"/>
                  <w:szCs w:val="24"/>
                </w:rPr>
                <m:t>P</m:t>
              </m:r>
              <m:ctrlPr>
                <w:rPr>
                  <w:rFonts w:hint="default" w:ascii="Cambria Math" w:hAnsi="Cambria Math" w:cs="Times New Roman"/>
                  <w:sz w:val="24"/>
                  <w:szCs w:val="24"/>
                </w:rPr>
              </m:ctrlPr>
            </m:e>
            <m:sub>
              <m:r>
                <m:rPr/>
                <w:rPr>
                  <w:rFonts w:hint="default" w:ascii="Cambria Math" w:hAnsi="Cambria Math" w:cs="Times New Roman"/>
                  <w:sz w:val="24"/>
                  <w:szCs w:val="24"/>
                </w:rPr>
                <m:t>i</m:t>
              </m:r>
              <m:ctrlPr>
                <w:rPr>
                  <w:rFonts w:hint="default" w:ascii="Cambria Math" w:hAnsi="Cambria Math" w:cs="Times New Roman"/>
                  <w:sz w:val="24"/>
                  <w:szCs w:val="24"/>
                </w:rPr>
              </m:ctrlPr>
            </m:sub>
          </m:sSub>
          <m:r>
            <m:rPr>
              <m:sty m:val="p"/>
            </m:rPr>
            <w:rPr>
              <w:rFonts w:hint="default" w:ascii="Cambria Math" w:hAnsi="Cambria Math" w:cs="Times New Roman"/>
              <w:sz w:val="24"/>
              <w:szCs w:val="24"/>
            </w:rPr>
            <m:t>=</m:t>
          </m:r>
          <m:f>
            <m:fPr>
              <m:ctrlPr>
                <w:rPr>
                  <w:rFonts w:hint="default" w:ascii="Cambria Math" w:hAnsi="Cambria Math" w:cs="Times New Roman"/>
                  <w:sz w:val="24"/>
                  <w:szCs w:val="24"/>
                </w:rPr>
              </m:ctrlPr>
            </m:fPr>
            <m:num>
              <m:sSub>
                <m:sSubPr>
                  <m:ctrlPr>
                    <w:rPr>
                      <w:rFonts w:hint="default" w:ascii="Cambria Math" w:hAnsi="Cambria Math" w:cs="Times New Roman"/>
                      <w:i/>
                      <w:sz w:val="24"/>
                      <w:szCs w:val="24"/>
                    </w:rPr>
                  </m:ctrlPr>
                </m:sSubPr>
                <m:e>
                  <m:r>
                    <m:rPr/>
                    <w:rPr>
                      <w:rFonts w:hint="default" w:ascii="Cambria Math" w:hAnsi="Cambria Math" w:cs="Times New Roman"/>
                      <w:sz w:val="24"/>
                      <w:szCs w:val="24"/>
                    </w:rPr>
                    <m:t>C</m:t>
                  </m:r>
                  <m:ctrlPr>
                    <w:rPr>
                      <w:rFonts w:hint="default" w:ascii="Cambria Math" w:hAnsi="Cambria Math" w:cs="Times New Roman"/>
                      <w:i/>
                      <w:sz w:val="24"/>
                      <w:szCs w:val="24"/>
                    </w:rPr>
                  </m:ctrlPr>
                </m:e>
                <m:sub>
                  <m:r>
                    <m:rPr/>
                    <w:rPr>
                      <w:rFonts w:hint="default" w:ascii="Cambria Math" w:hAnsi="Cambria Math" w:cs="Times New Roman"/>
                      <w:sz w:val="24"/>
                      <w:szCs w:val="24"/>
                    </w:rPr>
                    <m:t>i</m:t>
                  </m:r>
                  <m:ctrlPr>
                    <w:rPr>
                      <w:rFonts w:hint="default" w:ascii="Cambria Math" w:hAnsi="Cambria Math" w:cs="Times New Roman"/>
                      <w:i/>
                      <w:sz w:val="24"/>
                      <w:szCs w:val="24"/>
                    </w:rPr>
                  </m:ctrlPr>
                </m:sub>
              </m:sSub>
              <m:ctrlPr>
                <w:rPr>
                  <w:rFonts w:hint="default" w:ascii="Cambria Math" w:hAnsi="Cambria Math" w:cs="Times New Roman"/>
                  <w:sz w:val="24"/>
                  <w:szCs w:val="24"/>
                </w:rPr>
              </m:ctrlPr>
            </m:num>
            <m:den>
              <m:sSub>
                <m:sSubPr>
                  <m:ctrlPr>
                    <w:rPr>
                      <w:rFonts w:hint="default" w:ascii="Cambria Math" w:hAnsi="Cambria Math" w:cs="Times New Roman"/>
                      <w:i/>
                      <w:sz w:val="24"/>
                      <w:szCs w:val="24"/>
                    </w:rPr>
                  </m:ctrlPr>
                </m:sSubPr>
                <m:e>
                  <m:r>
                    <m:rPr/>
                    <w:rPr>
                      <w:rFonts w:hint="default" w:ascii="Cambria Math" w:hAnsi="Cambria Math" w:cs="Times New Roman"/>
                      <w:sz w:val="24"/>
                      <w:szCs w:val="24"/>
                    </w:rPr>
                    <m:t>C</m:t>
                  </m:r>
                  <m:ctrlPr>
                    <w:rPr>
                      <w:rFonts w:hint="default" w:ascii="Cambria Math" w:hAnsi="Cambria Math" w:cs="Times New Roman"/>
                      <w:i/>
                      <w:sz w:val="24"/>
                      <w:szCs w:val="24"/>
                    </w:rPr>
                  </m:ctrlPr>
                </m:e>
                <m:sub>
                  <m:r>
                    <m:rPr/>
                    <w:rPr>
                      <w:rFonts w:hint="default" w:ascii="Cambria Math" w:hAnsi="Cambria Math" w:cs="Times New Roman"/>
                      <w:sz w:val="24"/>
                      <w:szCs w:val="24"/>
                    </w:rPr>
                    <m:t>0i</m:t>
                  </m:r>
                  <m:ctrlPr>
                    <w:rPr>
                      <w:rFonts w:hint="default" w:ascii="Cambria Math" w:hAnsi="Cambria Math" w:cs="Times New Roman"/>
                      <w:i/>
                      <w:sz w:val="24"/>
                      <w:szCs w:val="24"/>
                    </w:rPr>
                  </m:ctrlPr>
                </m:sub>
              </m:sSub>
              <m:ctrlPr>
                <w:rPr>
                  <w:rFonts w:hint="default" w:ascii="Cambria Math" w:hAnsi="Cambria Math" w:cs="Times New Roman"/>
                  <w:sz w:val="24"/>
                  <w:szCs w:val="24"/>
                </w:rPr>
              </m:ctrlPr>
            </m:den>
          </m:f>
          <m:r>
            <m:rPr/>
            <w:rPr>
              <w:rFonts w:hint="default" w:ascii="Cambria Math" w:hAnsi="Cambria Math" w:cs="Times New Roman"/>
              <w:sz w:val="24"/>
              <w:szCs w:val="24"/>
            </w:rPr>
            <m:t>×100%</m:t>
          </m:r>
        </m:oMath>
      </m:oMathPara>
    </w:p>
    <w:p w14:paraId="3CC9A8E6">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jc w:val="left"/>
        <w:textAlignment w:val="auto"/>
        <w:rPr>
          <w:rFonts w:hint="default" w:ascii="Times New Roman" w:hAnsi="Times New Roman" w:cs="Times New Roman"/>
          <w:color w:val="auto"/>
          <w:sz w:val="24"/>
          <w:szCs w:val="24"/>
        </w:rPr>
      </w:pPr>
      <m:oMath>
        <m:sSub>
          <m:sSubPr>
            <m:ctrlPr>
              <w:rPr>
                <w:rFonts w:hint="default" w:ascii="Cambria Math" w:hAnsi="Cambria Math" w:cs="Times New Roman"/>
                <w:sz w:val="24"/>
                <w:szCs w:val="24"/>
              </w:rPr>
            </m:ctrlPr>
          </m:sSubPr>
          <m:e>
            <m:r>
              <m:rPr/>
              <w:rPr>
                <w:rFonts w:hint="default" w:ascii="Cambria Math" w:hAnsi="Cambria Math" w:cs="Times New Roman"/>
                <w:sz w:val="24"/>
                <w:szCs w:val="24"/>
              </w:rPr>
              <m:t>P</m:t>
            </m:r>
            <m:ctrlPr>
              <w:rPr>
                <w:rFonts w:hint="default" w:ascii="Cambria Math" w:hAnsi="Cambria Math" w:cs="Times New Roman"/>
                <w:sz w:val="24"/>
                <w:szCs w:val="24"/>
              </w:rPr>
            </m:ctrlPr>
          </m:e>
          <m:sub>
            <m:r>
              <m:rPr/>
              <w:rPr>
                <w:rFonts w:hint="default" w:ascii="Cambria Math" w:hAnsi="Cambria Math" w:cs="Times New Roman"/>
                <w:sz w:val="24"/>
                <w:szCs w:val="24"/>
              </w:rPr>
              <m:t>i</m:t>
            </m:r>
            <m:ctrlPr>
              <w:rPr>
                <w:rFonts w:hint="default" w:ascii="Cambria Math" w:hAnsi="Cambria Math" w:cs="Times New Roman"/>
                <w:sz w:val="24"/>
                <w:szCs w:val="24"/>
              </w:rPr>
            </m:ctrlPr>
          </m:sub>
        </m:sSub>
      </m:oMath>
      <w:r>
        <w:rPr>
          <w:rFonts w:hint="default" w:ascii="Times New Roman" w:hAnsi="Times New Roman" w:cs="Times New Roman"/>
          <w:color w:val="auto"/>
          <w:sz w:val="24"/>
          <w:szCs w:val="24"/>
        </w:rPr>
        <w:t>——第i个污染物的最大地面空气质量浓度占标率，%；</w:t>
      </w:r>
    </w:p>
    <w:p w14:paraId="2824700C">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jc w:val="left"/>
        <w:textAlignment w:val="auto"/>
        <w:rPr>
          <w:rFonts w:hint="default" w:ascii="Times New Roman" w:hAnsi="Times New Roman" w:cs="Times New Roman"/>
          <w:color w:val="auto"/>
          <w:sz w:val="24"/>
          <w:szCs w:val="24"/>
        </w:rPr>
      </w:pPr>
      <m:oMath>
        <m:sSub>
          <m:sSubPr>
            <m:ctrlPr>
              <w:rPr>
                <w:rFonts w:hint="default" w:ascii="Cambria Math" w:hAnsi="Cambria Math" w:cs="Times New Roman"/>
                <w:i/>
                <w:sz w:val="24"/>
                <w:szCs w:val="24"/>
              </w:rPr>
            </m:ctrlPr>
          </m:sSubPr>
          <m:e>
            <m:r>
              <m:rPr/>
              <w:rPr>
                <w:rFonts w:hint="default" w:ascii="Cambria Math" w:hAnsi="Cambria Math" w:cs="Times New Roman"/>
                <w:sz w:val="24"/>
                <w:szCs w:val="24"/>
              </w:rPr>
              <m:t>C</m:t>
            </m:r>
            <m:ctrlPr>
              <w:rPr>
                <w:rFonts w:hint="default" w:ascii="Cambria Math" w:hAnsi="Cambria Math" w:cs="Times New Roman"/>
                <w:i/>
                <w:sz w:val="24"/>
                <w:szCs w:val="24"/>
              </w:rPr>
            </m:ctrlPr>
          </m:e>
          <m:sub>
            <m:r>
              <m:rPr/>
              <w:rPr>
                <w:rFonts w:hint="default" w:ascii="Cambria Math" w:hAnsi="Cambria Math" w:cs="Times New Roman"/>
                <w:sz w:val="24"/>
                <w:szCs w:val="24"/>
              </w:rPr>
              <m:t>i</m:t>
            </m:r>
            <m:ctrlPr>
              <w:rPr>
                <w:rFonts w:hint="default" w:ascii="Cambria Math" w:hAnsi="Cambria Math" w:cs="Times New Roman"/>
                <w:i/>
                <w:sz w:val="24"/>
                <w:szCs w:val="24"/>
              </w:rPr>
            </m:ctrlPr>
          </m:sub>
        </m:sSub>
      </m:oMath>
      <w:r>
        <w:rPr>
          <w:rFonts w:hint="default" w:ascii="Times New Roman" w:hAnsi="Times New Roman" w:cs="Times New Roman"/>
          <w:color w:val="auto"/>
          <w:sz w:val="24"/>
          <w:szCs w:val="24"/>
        </w:rPr>
        <w:t>——采用估算模型计算出的第i个污染物的最大1h地面空气质量浓度，μg/m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2C68C6D3">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176"/>
        <w:jc w:val="left"/>
        <w:textAlignment w:val="auto"/>
        <w:rPr>
          <w:rFonts w:hint="default" w:ascii="Times New Roman" w:hAnsi="Times New Roman" w:cs="Times New Roman"/>
          <w:color w:val="auto"/>
          <w:sz w:val="24"/>
          <w:szCs w:val="24"/>
        </w:rPr>
      </w:pPr>
      <m:oMath>
        <m:sSub>
          <m:sSubPr>
            <m:ctrlPr>
              <w:rPr>
                <w:rFonts w:hint="default" w:ascii="Cambria Math" w:hAnsi="Cambria Math" w:cs="Times New Roman"/>
                <w:i/>
                <w:sz w:val="24"/>
                <w:szCs w:val="24"/>
              </w:rPr>
            </m:ctrlPr>
          </m:sSubPr>
          <m:e>
            <m:r>
              <m:rPr/>
              <w:rPr>
                <w:rFonts w:hint="default" w:ascii="Cambria Math" w:hAnsi="Cambria Math" w:cs="Times New Roman"/>
                <w:sz w:val="24"/>
                <w:szCs w:val="24"/>
              </w:rPr>
              <m:t>C</m:t>
            </m:r>
            <m:ctrlPr>
              <w:rPr>
                <w:rFonts w:hint="default" w:ascii="Cambria Math" w:hAnsi="Cambria Math" w:cs="Times New Roman"/>
                <w:i/>
                <w:sz w:val="24"/>
                <w:szCs w:val="24"/>
              </w:rPr>
            </m:ctrlPr>
          </m:e>
          <m:sub>
            <m:r>
              <m:rPr/>
              <w:rPr>
                <w:rFonts w:hint="default" w:ascii="Cambria Math" w:hAnsi="Cambria Math" w:cs="Times New Roman"/>
                <w:sz w:val="24"/>
                <w:szCs w:val="24"/>
              </w:rPr>
              <m:t>0i</m:t>
            </m:r>
            <m:ctrlPr>
              <w:rPr>
                <w:rFonts w:hint="default" w:ascii="Cambria Math" w:hAnsi="Cambria Math" w:cs="Times New Roman"/>
                <w:i/>
                <w:sz w:val="24"/>
                <w:szCs w:val="24"/>
              </w:rPr>
            </m:ctrlPr>
          </m:sub>
        </m:sSub>
      </m:oMath>
      <w:r>
        <w:rPr>
          <w:rFonts w:hint="default" w:ascii="Times New Roman" w:hAnsi="Times New Roman" w:cs="Times New Roman"/>
          <w:color w:val="auto"/>
          <w:sz w:val="24"/>
          <w:szCs w:val="24"/>
        </w:rPr>
        <w:t>——第i个污染物的环境空气质量浓度标准，μg/m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1458DBEA">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176"/>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（2）评价等级判别表</w:t>
      </w:r>
    </w:p>
    <w:p w14:paraId="2472FFC5">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176"/>
        <w:jc w:val="left"/>
        <w:textAlignment w:val="auto"/>
        <w:rPr>
          <w:rFonts w:hint="default" w:ascii="Times New Roman" w:hAnsi="Times New Roman" w:eastAsia="宋体" w:cs="Times New Roman"/>
          <w:color w:val="auto"/>
          <w:sz w:val="24"/>
          <w:szCs w:val="24"/>
          <w:highlight w:val="yellow"/>
          <w:lang w:eastAsia="zh-CN"/>
        </w:rPr>
      </w:pPr>
      <w:r>
        <w:rPr>
          <w:rFonts w:hint="default" w:ascii="Times New Roman" w:hAnsi="Times New Roman" w:cs="Times New Roman"/>
          <w:color w:val="auto"/>
          <w:sz w:val="24"/>
          <w:szCs w:val="24"/>
        </w:rPr>
        <w:t>评价等级按下表的分级判据进行划分</w:t>
      </w:r>
      <w:r>
        <w:rPr>
          <w:rFonts w:hint="default" w:ascii="Times New Roman" w:hAnsi="Times New Roman" w:cs="Times New Roman"/>
          <w:color w:val="auto"/>
          <w:sz w:val="24"/>
          <w:szCs w:val="24"/>
          <w:highlight w:val="none"/>
          <w:lang w:eastAsia="zh-CN"/>
        </w:rPr>
        <w:t>。</w:t>
      </w:r>
    </w:p>
    <w:p w14:paraId="7624922F">
      <w:pPr>
        <w:pStyle w:val="14"/>
        <w:spacing w:line="480" w:lineRule="exact"/>
        <w:ind w:firstLine="371" w:firstLineChars="176"/>
        <w:jc w:val="center"/>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STYLEREF 2 \s </w:instrText>
      </w:r>
      <w:r>
        <w:rPr>
          <w:rFonts w:hint="default" w:ascii="Times New Roman" w:hAnsi="Times New Roman" w:eastAsia="宋体" w:cs="Times New Roman"/>
        </w:rPr>
        <w:fldChar w:fldCharType="separate"/>
      </w:r>
      <w:r>
        <w:rPr>
          <w:rFonts w:hint="default" w:ascii="Times New Roman" w:hAnsi="Times New Roman" w:eastAsia="宋体" w:cs="Times New Roman"/>
        </w:rPr>
        <w:t>5.2</w:t>
      </w:r>
      <w:r>
        <w:rPr>
          <w:rFonts w:hint="default" w:ascii="Times New Roman" w:hAnsi="Times New Roman" w:eastAsia="宋体" w:cs="Times New Roman"/>
        </w:rPr>
        <w:fldChar w:fldCharType="end"/>
      </w:r>
      <w:r>
        <w:rPr>
          <w:rFonts w:hint="default" w:ascii="Times New Roman" w:hAnsi="Times New Roman" w:eastAsia="宋体" w:cs="Times New Roman"/>
          <w:lang w:eastAsia="zh-C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SEQ 表 \* ARABIC \s 2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rPr>
        <w:t>评价等级判别表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5"/>
        <w:gridCol w:w="4327"/>
      </w:tblGrid>
      <w:tr w14:paraId="2909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643" w:type="dxa"/>
            <w:noWrap w:val="0"/>
            <w:vAlign w:val="center"/>
          </w:tcPr>
          <w:p w14:paraId="2066EA6D">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评价工作等级</w:t>
            </w:r>
          </w:p>
        </w:tc>
        <w:tc>
          <w:tcPr>
            <w:tcW w:w="4643" w:type="dxa"/>
            <w:noWrap w:val="0"/>
            <w:vAlign w:val="center"/>
          </w:tcPr>
          <w:p w14:paraId="1B85CD99">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评价工作分级判据</w:t>
            </w:r>
          </w:p>
        </w:tc>
      </w:tr>
      <w:tr w14:paraId="5833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643" w:type="dxa"/>
            <w:noWrap w:val="0"/>
            <w:vAlign w:val="center"/>
          </w:tcPr>
          <w:p w14:paraId="31DA745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一级评价</w:t>
            </w:r>
          </w:p>
        </w:tc>
        <w:tc>
          <w:tcPr>
            <w:tcW w:w="4643" w:type="dxa"/>
            <w:noWrap w:val="0"/>
            <w:vAlign w:val="center"/>
          </w:tcPr>
          <w:p w14:paraId="5FA6735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Pmax</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10%</w:t>
            </w:r>
          </w:p>
        </w:tc>
      </w:tr>
      <w:tr w14:paraId="389E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643" w:type="dxa"/>
            <w:noWrap w:val="0"/>
            <w:vAlign w:val="center"/>
          </w:tcPr>
          <w:p w14:paraId="637D4E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二级评价</w:t>
            </w:r>
          </w:p>
        </w:tc>
        <w:tc>
          <w:tcPr>
            <w:tcW w:w="4643" w:type="dxa"/>
            <w:noWrap w:val="0"/>
            <w:vAlign w:val="center"/>
          </w:tcPr>
          <w:p w14:paraId="43A332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Pmax&lt;10%</w:t>
            </w:r>
          </w:p>
        </w:tc>
      </w:tr>
      <w:tr w14:paraId="44C6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643" w:type="dxa"/>
            <w:noWrap w:val="0"/>
            <w:vAlign w:val="center"/>
          </w:tcPr>
          <w:p w14:paraId="47A29ED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三级评价</w:t>
            </w:r>
          </w:p>
        </w:tc>
        <w:tc>
          <w:tcPr>
            <w:tcW w:w="4643" w:type="dxa"/>
            <w:noWrap w:val="0"/>
            <w:vAlign w:val="center"/>
          </w:tcPr>
          <w:p w14:paraId="32194BF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Pmax&lt;1%</w:t>
            </w:r>
          </w:p>
        </w:tc>
      </w:tr>
    </w:tbl>
    <w:p w14:paraId="5EB4BB2A">
      <w:pPr>
        <w:pStyle w:val="5"/>
        <w:numPr>
          <w:ilvl w:val="0"/>
          <w:numId w:val="0"/>
        </w:numPr>
        <w:bidi w:val="0"/>
        <w:ind w:leftChars="0"/>
        <w:rPr>
          <w:rFonts w:hint="default" w:ascii="Times New Roman" w:hAnsi="Times New Roman" w:cs="Times New Roman"/>
          <w:color w:val="auto"/>
        </w:rPr>
      </w:pPr>
      <w:r>
        <w:rPr>
          <w:rFonts w:hint="default" w:ascii="Times New Roman" w:hAnsi="Times New Roman" w:cs="Times New Roman"/>
          <w:color w:val="auto"/>
          <w:lang w:val="en-US" w:eastAsia="zh-CN"/>
        </w:rPr>
        <w:t>5.2.1.2</w:t>
      </w:r>
      <w:r>
        <w:rPr>
          <w:rFonts w:hint="default" w:ascii="Times New Roman" w:hAnsi="Times New Roman" w:cs="Times New Roman"/>
          <w:color w:val="auto"/>
        </w:rPr>
        <w:t>污染源参数</w:t>
      </w:r>
    </w:p>
    <w:p w14:paraId="1375181D">
      <w:pPr>
        <w:pStyle w:val="14"/>
        <w:jc w:val="center"/>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b/>
          <w:sz w:val="21"/>
        </w:rPr>
        <w:t>主要废气污染源参数一览表</w:t>
      </w:r>
      <w:r>
        <w:rPr>
          <w:rFonts w:hint="eastAsia" w:ascii="Times New Roman" w:hAnsi="Times New Roman" w:cs="Times New Roman"/>
          <w:b/>
          <w:sz w:val="21"/>
          <w:lang w:eastAsia="zh-CN"/>
        </w:rPr>
        <w:t>（</w:t>
      </w:r>
      <w:r>
        <w:rPr>
          <w:rFonts w:hint="default" w:ascii="Times New Roman" w:hAnsi="Times New Roman" w:eastAsia="宋体" w:cs="Times New Roman"/>
          <w:b/>
          <w:sz w:val="21"/>
        </w:rPr>
        <w:t>点源)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862"/>
        <w:gridCol w:w="780"/>
        <w:gridCol w:w="849"/>
        <w:gridCol w:w="694"/>
        <w:gridCol w:w="643"/>
        <w:gridCol w:w="677"/>
        <w:gridCol w:w="686"/>
        <w:gridCol w:w="685"/>
        <w:gridCol w:w="455"/>
        <w:gridCol w:w="651"/>
        <w:gridCol w:w="713"/>
      </w:tblGrid>
      <w:tr w14:paraId="3612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vMerge w:val="restart"/>
            <w:tcBorders>
              <w:top w:val="single" w:color="auto" w:sz="2" w:space="0"/>
              <w:left w:val="single" w:color="auto" w:sz="2" w:space="0"/>
              <w:bottom w:val="single" w:color="auto" w:sz="2" w:space="0"/>
              <w:right w:val="single" w:color="auto" w:sz="2" w:space="0"/>
            </w:tcBorders>
            <w:noWrap w:val="0"/>
            <w:vAlign w:val="center"/>
          </w:tcPr>
          <w:p w14:paraId="623E0F50">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污染源名称</w:t>
            </w:r>
          </w:p>
        </w:tc>
        <w:tc>
          <w:tcPr>
            <w:tcW w:w="1642" w:type="dxa"/>
            <w:gridSpan w:val="2"/>
            <w:tcBorders>
              <w:top w:val="single" w:color="auto" w:sz="2" w:space="0"/>
              <w:left w:val="single" w:color="auto" w:sz="2" w:space="0"/>
              <w:bottom w:val="single" w:color="auto" w:sz="2" w:space="0"/>
              <w:right w:val="single" w:color="auto" w:sz="2" w:space="0"/>
            </w:tcBorders>
            <w:noWrap w:val="0"/>
            <w:vAlign w:val="center"/>
          </w:tcPr>
          <w:p w14:paraId="256E7BC3">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排气筒底部中心坐标/°</w:t>
            </w:r>
          </w:p>
        </w:tc>
        <w:tc>
          <w:tcPr>
            <w:tcW w:w="849" w:type="dxa"/>
            <w:vMerge w:val="restart"/>
            <w:tcBorders>
              <w:top w:val="single" w:color="auto" w:sz="2" w:space="0"/>
              <w:left w:val="single" w:color="auto" w:sz="2" w:space="0"/>
              <w:bottom w:val="single" w:color="auto" w:sz="2" w:space="0"/>
              <w:right w:val="single" w:color="auto" w:sz="2" w:space="0"/>
            </w:tcBorders>
            <w:noWrap w:val="0"/>
            <w:vAlign w:val="center"/>
          </w:tcPr>
          <w:p w14:paraId="3EE8BF71">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排气筒底部</w:t>
            </w:r>
            <w:r>
              <w:rPr>
                <w:rFonts w:hint="default" w:ascii="Times New Roman" w:hAnsi="Times New Roman" w:eastAsia="宋体" w:cs="Times New Roman"/>
                <w:b w:val="0"/>
                <w:bCs w:val="0"/>
                <w:sz w:val="21"/>
                <w:szCs w:val="21"/>
                <w:lang w:eastAsia="zh-CN"/>
              </w:rPr>
              <w:t>海拔</w:t>
            </w:r>
            <w:r>
              <w:rPr>
                <w:rFonts w:hint="default" w:ascii="Times New Roman" w:hAnsi="Times New Roman" w:eastAsia="宋体" w:cs="Times New Roman"/>
                <w:b w:val="0"/>
                <w:bCs w:val="0"/>
                <w:sz w:val="21"/>
                <w:szCs w:val="21"/>
              </w:rPr>
              <w:t>/m</w:t>
            </w:r>
          </w:p>
        </w:tc>
        <w:tc>
          <w:tcPr>
            <w:tcW w:w="694" w:type="dxa"/>
            <w:vMerge w:val="restart"/>
            <w:tcBorders>
              <w:top w:val="single" w:color="auto" w:sz="2" w:space="0"/>
              <w:left w:val="single" w:color="auto" w:sz="2" w:space="0"/>
              <w:bottom w:val="single" w:color="auto" w:sz="2" w:space="0"/>
              <w:right w:val="single" w:color="auto" w:sz="2" w:space="0"/>
            </w:tcBorders>
            <w:noWrap w:val="0"/>
            <w:vAlign w:val="center"/>
          </w:tcPr>
          <w:p w14:paraId="7A1F4E61">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排气筒高度/m</w:t>
            </w:r>
          </w:p>
        </w:tc>
        <w:tc>
          <w:tcPr>
            <w:tcW w:w="643" w:type="dxa"/>
            <w:vMerge w:val="restart"/>
            <w:tcBorders>
              <w:top w:val="single" w:color="auto" w:sz="2" w:space="0"/>
              <w:left w:val="single" w:color="auto" w:sz="2" w:space="0"/>
              <w:bottom w:val="single" w:color="auto" w:sz="2" w:space="0"/>
              <w:right w:val="single" w:color="auto" w:sz="2" w:space="0"/>
            </w:tcBorders>
            <w:noWrap w:val="0"/>
            <w:vAlign w:val="center"/>
          </w:tcPr>
          <w:p w14:paraId="624EFFBF">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排气筒内径/m</w:t>
            </w:r>
          </w:p>
        </w:tc>
        <w:tc>
          <w:tcPr>
            <w:tcW w:w="677" w:type="dxa"/>
            <w:vMerge w:val="restart"/>
            <w:tcBorders>
              <w:top w:val="single" w:color="auto" w:sz="2" w:space="0"/>
              <w:left w:val="single" w:color="auto" w:sz="2" w:space="0"/>
              <w:bottom w:val="single" w:color="auto" w:sz="2" w:space="0"/>
              <w:right w:val="single" w:color="auto" w:sz="2" w:space="0"/>
            </w:tcBorders>
            <w:noWrap w:val="0"/>
            <w:vAlign w:val="center"/>
          </w:tcPr>
          <w:p w14:paraId="1610B9AB">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烟气温度/℃</w:t>
            </w:r>
          </w:p>
        </w:tc>
        <w:tc>
          <w:tcPr>
            <w:tcW w:w="686" w:type="dxa"/>
            <w:vMerge w:val="restart"/>
            <w:tcBorders>
              <w:top w:val="single" w:color="auto" w:sz="2" w:space="0"/>
              <w:left w:val="single" w:color="auto" w:sz="2" w:space="0"/>
              <w:bottom w:val="single" w:color="auto" w:sz="2" w:space="0"/>
              <w:right w:val="single" w:color="auto" w:sz="2" w:space="0"/>
            </w:tcBorders>
            <w:noWrap w:val="0"/>
            <w:vAlign w:val="center"/>
          </w:tcPr>
          <w:p w14:paraId="4DD5E998">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烟气流速/</w:t>
            </w:r>
            <w:r>
              <w:rPr>
                <w:rFonts w:hint="eastAsia"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m/s)</w:t>
            </w:r>
          </w:p>
        </w:tc>
        <w:tc>
          <w:tcPr>
            <w:tcW w:w="685" w:type="dxa"/>
            <w:vMerge w:val="restart"/>
            <w:tcBorders>
              <w:top w:val="single" w:color="auto" w:sz="2" w:space="0"/>
              <w:left w:val="single" w:color="auto" w:sz="2" w:space="0"/>
              <w:bottom w:val="single" w:color="auto" w:sz="2" w:space="0"/>
              <w:right w:val="single" w:color="auto" w:sz="2" w:space="0"/>
            </w:tcBorders>
            <w:noWrap w:val="0"/>
            <w:vAlign w:val="center"/>
          </w:tcPr>
          <w:p w14:paraId="5EA94727">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年排放小时数/h</w:t>
            </w:r>
          </w:p>
        </w:tc>
        <w:tc>
          <w:tcPr>
            <w:tcW w:w="455" w:type="dxa"/>
            <w:vMerge w:val="restart"/>
            <w:tcBorders>
              <w:top w:val="single" w:color="auto" w:sz="2" w:space="0"/>
              <w:left w:val="single" w:color="auto" w:sz="2" w:space="0"/>
              <w:bottom w:val="single" w:color="auto" w:sz="2" w:space="0"/>
              <w:right w:val="single" w:color="auto" w:sz="2" w:space="0"/>
            </w:tcBorders>
            <w:noWrap w:val="0"/>
            <w:vAlign w:val="center"/>
          </w:tcPr>
          <w:p w14:paraId="186FCEA9">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排放工况</w:t>
            </w:r>
          </w:p>
        </w:tc>
        <w:tc>
          <w:tcPr>
            <w:tcW w:w="651" w:type="dxa"/>
            <w:vMerge w:val="restart"/>
            <w:tcBorders>
              <w:top w:val="single" w:color="auto" w:sz="2" w:space="0"/>
              <w:left w:val="single" w:color="auto" w:sz="2" w:space="0"/>
              <w:bottom w:val="single" w:color="auto" w:sz="2" w:space="0"/>
              <w:right w:val="single" w:color="auto" w:sz="2" w:space="0"/>
            </w:tcBorders>
            <w:noWrap w:val="0"/>
            <w:vAlign w:val="center"/>
          </w:tcPr>
          <w:p w14:paraId="095689A4">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污染物名称</w:t>
            </w:r>
          </w:p>
        </w:tc>
        <w:tc>
          <w:tcPr>
            <w:tcW w:w="713" w:type="dxa"/>
            <w:vMerge w:val="restart"/>
            <w:tcBorders>
              <w:top w:val="single" w:color="auto" w:sz="2" w:space="0"/>
              <w:left w:val="single" w:color="auto" w:sz="2" w:space="0"/>
              <w:bottom w:val="single" w:color="auto" w:sz="2" w:space="0"/>
              <w:right w:val="single" w:color="auto" w:sz="2" w:space="0"/>
            </w:tcBorders>
            <w:noWrap w:val="0"/>
            <w:vAlign w:val="center"/>
          </w:tcPr>
          <w:p w14:paraId="193E2ADC">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排放速率/</w:t>
            </w:r>
            <w:r>
              <w:rPr>
                <w:rFonts w:hint="eastAsia"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kg/h)</w:t>
            </w:r>
          </w:p>
        </w:tc>
      </w:tr>
      <w:tr w14:paraId="5EC9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vMerge w:val="continue"/>
            <w:tcBorders>
              <w:top w:val="single" w:color="auto" w:sz="2" w:space="0"/>
              <w:left w:val="single" w:color="auto" w:sz="2" w:space="0"/>
              <w:bottom w:val="single" w:color="auto" w:sz="2" w:space="0"/>
              <w:right w:val="single" w:color="auto" w:sz="2" w:space="0"/>
            </w:tcBorders>
            <w:noWrap w:val="0"/>
            <w:vAlign w:val="center"/>
          </w:tcPr>
          <w:p w14:paraId="3551A89E">
            <w:pPr>
              <w:jc w:val="center"/>
              <w:rPr>
                <w:rFonts w:hint="default" w:ascii="Times New Roman" w:hAnsi="Times New Roman" w:eastAsia="宋体" w:cs="Times New Roman"/>
                <w:b w:val="0"/>
                <w:sz w:val="21"/>
                <w:szCs w:val="21"/>
              </w:rPr>
            </w:pPr>
          </w:p>
        </w:tc>
        <w:tc>
          <w:tcPr>
            <w:tcW w:w="862" w:type="dxa"/>
            <w:tcBorders>
              <w:top w:val="single" w:color="auto" w:sz="2" w:space="0"/>
              <w:left w:val="single" w:color="auto" w:sz="2" w:space="0"/>
              <w:bottom w:val="single" w:color="auto" w:sz="2" w:space="0"/>
              <w:right w:val="single" w:color="auto" w:sz="2" w:space="0"/>
            </w:tcBorders>
            <w:noWrap w:val="0"/>
            <w:vAlign w:val="center"/>
          </w:tcPr>
          <w:p w14:paraId="7ED44BEC">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经度</w:t>
            </w:r>
          </w:p>
        </w:tc>
        <w:tc>
          <w:tcPr>
            <w:tcW w:w="780" w:type="dxa"/>
            <w:tcBorders>
              <w:top w:val="single" w:color="auto" w:sz="2" w:space="0"/>
              <w:left w:val="single" w:color="auto" w:sz="2" w:space="0"/>
              <w:bottom w:val="single" w:color="auto" w:sz="2" w:space="0"/>
              <w:right w:val="single" w:color="auto" w:sz="2" w:space="0"/>
            </w:tcBorders>
            <w:noWrap w:val="0"/>
            <w:vAlign w:val="center"/>
          </w:tcPr>
          <w:p w14:paraId="36F0D786">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纬度</w:t>
            </w:r>
          </w:p>
        </w:tc>
        <w:tc>
          <w:tcPr>
            <w:tcW w:w="849" w:type="dxa"/>
            <w:vMerge w:val="continue"/>
            <w:tcBorders>
              <w:top w:val="single" w:color="auto" w:sz="2" w:space="0"/>
              <w:left w:val="single" w:color="auto" w:sz="2" w:space="0"/>
              <w:bottom w:val="single" w:color="auto" w:sz="2" w:space="0"/>
              <w:right w:val="single" w:color="auto" w:sz="2" w:space="0"/>
            </w:tcBorders>
            <w:noWrap w:val="0"/>
            <w:vAlign w:val="center"/>
          </w:tcPr>
          <w:p w14:paraId="31E85F8F">
            <w:pPr>
              <w:jc w:val="center"/>
              <w:rPr>
                <w:rFonts w:hint="default" w:ascii="Times New Roman" w:hAnsi="Times New Roman" w:eastAsia="宋体" w:cs="Times New Roman"/>
                <w:b w:val="0"/>
                <w:sz w:val="21"/>
                <w:szCs w:val="21"/>
              </w:rPr>
            </w:pPr>
          </w:p>
        </w:tc>
        <w:tc>
          <w:tcPr>
            <w:tcW w:w="694" w:type="dxa"/>
            <w:vMerge w:val="continue"/>
            <w:tcBorders>
              <w:top w:val="single" w:color="auto" w:sz="2" w:space="0"/>
              <w:left w:val="single" w:color="auto" w:sz="2" w:space="0"/>
              <w:bottom w:val="single" w:color="auto" w:sz="2" w:space="0"/>
              <w:right w:val="single" w:color="auto" w:sz="2" w:space="0"/>
            </w:tcBorders>
            <w:noWrap w:val="0"/>
            <w:vAlign w:val="center"/>
          </w:tcPr>
          <w:p w14:paraId="5F72EDE8">
            <w:pPr>
              <w:jc w:val="center"/>
              <w:rPr>
                <w:rFonts w:hint="default" w:ascii="Times New Roman" w:hAnsi="Times New Roman" w:eastAsia="宋体" w:cs="Times New Roman"/>
                <w:b w:val="0"/>
                <w:sz w:val="21"/>
                <w:szCs w:val="21"/>
              </w:rPr>
            </w:pPr>
          </w:p>
        </w:tc>
        <w:tc>
          <w:tcPr>
            <w:tcW w:w="643" w:type="dxa"/>
            <w:vMerge w:val="continue"/>
            <w:tcBorders>
              <w:top w:val="single" w:color="auto" w:sz="2" w:space="0"/>
              <w:left w:val="single" w:color="auto" w:sz="2" w:space="0"/>
              <w:bottom w:val="single" w:color="auto" w:sz="2" w:space="0"/>
              <w:right w:val="single" w:color="auto" w:sz="2" w:space="0"/>
            </w:tcBorders>
            <w:noWrap w:val="0"/>
            <w:vAlign w:val="center"/>
          </w:tcPr>
          <w:p w14:paraId="388A487A">
            <w:pPr>
              <w:jc w:val="center"/>
              <w:rPr>
                <w:rFonts w:hint="default" w:ascii="Times New Roman" w:hAnsi="Times New Roman" w:eastAsia="宋体" w:cs="Times New Roman"/>
                <w:b w:val="0"/>
                <w:sz w:val="21"/>
                <w:szCs w:val="21"/>
              </w:rPr>
            </w:pPr>
          </w:p>
        </w:tc>
        <w:tc>
          <w:tcPr>
            <w:tcW w:w="677" w:type="dxa"/>
            <w:vMerge w:val="continue"/>
            <w:tcBorders>
              <w:top w:val="single" w:color="auto" w:sz="2" w:space="0"/>
              <w:left w:val="single" w:color="auto" w:sz="2" w:space="0"/>
              <w:bottom w:val="single" w:color="auto" w:sz="2" w:space="0"/>
              <w:right w:val="single" w:color="auto" w:sz="2" w:space="0"/>
            </w:tcBorders>
            <w:noWrap w:val="0"/>
            <w:vAlign w:val="center"/>
          </w:tcPr>
          <w:p w14:paraId="501B8249">
            <w:pPr>
              <w:jc w:val="center"/>
              <w:rPr>
                <w:rFonts w:hint="default" w:ascii="Times New Roman" w:hAnsi="Times New Roman" w:eastAsia="宋体" w:cs="Times New Roman"/>
                <w:b w:val="0"/>
                <w:sz w:val="21"/>
                <w:szCs w:val="21"/>
              </w:rPr>
            </w:pPr>
          </w:p>
        </w:tc>
        <w:tc>
          <w:tcPr>
            <w:tcW w:w="686" w:type="dxa"/>
            <w:vMerge w:val="continue"/>
            <w:tcBorders>
              <w:top w:val="single" w:color="auto" w:sz="2" w:space="0"/>
              <w:left w:val="single" w:color="auto" w:sz="2" w:space="0"/>
              <w:bottom w:val="single" w:color="auto" w:sz="2" w:space="0"/>
              <w:right w:val="single" w:color="auto" w:sz="2" w:space="0"/>
            </w:tcBorders>
            <w:noWrap w:val="0"/>
            <w:vAlign w:val="center"/>
          </w:tcPr>
          <w:p w14:paraId="5B987E29">
            <w:pPr>
              <w:jc w:val="center"/>
              <w:rPr>
                <w:rFonts w:hint="default" w:ascii="Times New Roman" w:hAnsi="Times New Roman" w:eastAsia="宋体" w:cs="Times New Roman"/>
                <w:b w:val="0"/>
                <w:sz w:val="21"/>
                <w:szCs w:val="21"/>
              </w:rPr>
            </w:pPr>
          </w:p>
        </w:tc>
        <w:tc>
          <w:tcPr>
            <w:tcW w:w="685" w:type="dxa"/>
            <w:vMerge w:val="continue"/>
            <w:tcBorders>
              <w:top w:val="single" w:color="auto" w:sz="2" w:space="0"/>
              <w:left w:val="single" w:color="auto" w:sz="2" w:space="0"/>
              <w:bottom w:val="single" w:color="auto" w:sz="2" w:space="0"/>
              <w:right w:val="single" w:color="auto" w:sz="2" w:space="0"/>
            </w:tcBorders>
            <w:noWrap w:val="0"/>
            <w:vAlign w:val="center"/>
          </w:tcPr>
          <w:p w14:paraId="434CA5A9">
            <w:pPr>
              <w:jc w:val="center"/>
              <w:rPr>
                <w:rFonts w:hint="default" w:ascii="Times New Roman" w:hAnsi="Times New Roman" w:eastAsia="宋体" w:cs="Times New Roman"/>
                <w:b w:val="0"/>
                <w:sz w:val="21"/>
                <w:szCs w:val="21"/>
              </w:rPr>
            </w:pPr>
          </w:p>
        </w:tc>
        <w:tc>
          <w:tcPr>
            <w:tcW w:w="455" w:type="dxa"/>
            <w:vMerge w:val="continue"/>
            <w:tcBorders>
              <w:top w:val="single" w:color="auto" w:sz="2" w:space="0"/>
              <w:left w:val="single" w:color="auto" w:sz="2" w:space="0"/>
              <w:bottom w:val="single" w:color="auto" w:sz="2" w:space="0"/>
              <w:right w:val="single" w:color="auto" w:sz="2" w:space="0"/>
            </w:tcBorders>
            <w:noWrap w:val="0"/>
            <w:vAlign w:val="center"/>
          </w:tcPr>
          <w:p w14:paraId="4D49BFCA">
            <w:pPr>
              <w:jc w:val="center"/>
              <w:rPr>
                <w:rFonts w:hint="default" w:ascii="Times New Roman" w:hAnsi="Times New Roman" w:eastAsia="宋体" w:cs="Times New Roman"/>
                <w:b w:val="0"/>
                <w:sz w:val="21"/>
                <w:szCs w:val="21"/>
              </w:rPr>
            </w:pPr>
          </w:p>
        </w:tc>
        <w:tc>
          <w:tcPr>
            <w:tcW w:w="651" w:type="dxa"/>
            <w:vMerge w:val="continue"/>
            <w:tcBorders>
              <w:top w:val="single" w:color="auto" w:sz="2" w:space="0"/>
              <w:left w:val="single" w:color="auto" w:sz="2" w:space="0"/>
              <w:bottom w:val="single" w:color="auto" w:sz="2" w:space="0"/>
              <w:right w:val="single" w:color="auto" w:sz="2" w:space="0"/>
            </w:tcBorders>
            <w:noWrap w:val="0"/>
            <w:vAlign w:val="center"/>
          </w:tcPr>
          <w:p w14:paraId="15F3099B">
            <w:pPr>
              <w:jc w:val="center"/>
              <w:rPr>
                <w:rFonts w:hint="default" w:ascii="Times New Roman" w:hAnsi="Times New Roman" w:eastAsia="宋体" w:cs="Times New Roman"/>
                <w:b w:val="0"/>
                <w:sz w:val="21"/>
                <w:szCs w:val="21"/>
              </w:rPr>
            </w:pPr>
          </w:p>
        </w:tc>
        <w:tc>
          <w:tcPr>
            <w:tcW w:w="713" w:type="dxa"/>
            <w:vMerge w:val="continue"/>
            <w:tcBorders>
              <w:top w:val="single" w:color="auto" w:sz="2" w:space="0"/>
              <w:left w:val="single" w:color="auto" w:sz="2" w:space="0"/>
              <w:bottom w:val="single" w:color="auto" w:sz="2" w:space="0"/>
              <w:right w:val="single" w:color="auto" w:sz="2" w:space="0"/>
            </w:tcBorders>
            <w:noWrap w:val="0"/>
            <w:vAlign w:val="center"/>
          </w:tcPr>
          <w:p w14:paraId="127527E2">
            <w:pPr>
              <w:jc w:val="center"/>
              <w:rPr>
                <w:rFonts w:hint="default" w:ascii="Times New Roman" w:hAnsi="Times New Roman" w:eastAsia="宋体" w:cs="Times New Roman"/>
                <w:b w:val="0"/>
                <w:sz w:val="21"/>
                <w:szCs w:val="21"/>
              </w:rPr>
            </w:pPr>
          </w:p>
        </w:tc>
      </w:tr>
      <w:tr w14:paraId="2A7A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tcBorders>
              <w:top w:val="single" w:color="auto" w:sz="2" w:space="0"/>
              <w:left w:val="single" w:color="auto" w:sz="2" w:space="0"/>
              <w:bottom w:val="single" w:color="auto" w:sz="2" w:space="0"/>
              <w:right w:val="single" w:color="auto" w:sz="2" w:space="0"/>
            </w:tcBorders>
            <w:noWrap w:val="0"/>
            <w:vAlign w:val="center"/>
          </w:tcPr>
          <w:p w14:paraId="61599FEC">
            <w:pPr>
              <w:keepNext w:val="0"/>
              <w:keepLines w:val="0"/>
              <w:widowControl/>
              <w:suppressLineNumbers w:val="0"/>
              <w:jc w:val="center"/>
              <w:textAlignment w:val="center"/>
              <w:rPr>
                <w:rFonts w:hint="default" w:ascii="Times New Roman" w:hAnsi="Times New Roman" w:eastAsia="宋体" w:cs="Times New Roman"/>
                <w:b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DA001饲料加工</w:t>
            </w:r>
          </w:p>
        </w:tc>
        <w:tc>
          <w:tcPr>
            <w:tcW w:w="862" w:type="dxa"/>
            <w:tcBorders>
              <w:top w:val="single" w:color="auto" w:sz="2" w:space="0"/>
              <w:left w:val="single" w:color="auto" w:sz="2" w:space="0"/>
              <w:bottom w:val="single" w:color="auto" w:sz="2" w:space="0"/>
              <w:right w:val="single" w:color="auto" w:sz="2" w:space="0"/>
            </w:tcBorders>
            <w:noWrap w:val="0"/>
            <w:vAlign w:val="center"/>
          </w:tcPr>
          <w:p w14:paraId="2658601C">
            <w:pPr>
              <w:keepNext w:val="0"/>
              <w:keepLines w:val="0"/>
              <w:widowControl/>
              <w:suppressLineNumbers w:val="0"/>
              <w:jc w:val="right"/>
              <w:textAlignment w:val="center"/>
              <w:rPr>
                <w:rFonts w:hint="default" w:ascii="Times New Roman" w:hAnsi="Times New Roman" w:eastAsia="宋体" w:cs="Times New Roman"/>
                <w:b w:val="0"/>
                <w:sz w:val="21"/>
                <w:szCs w:val="21"/>
              </w:rPr>
            </w:pPr>
            <w:r>
              <w:rPr>
                <w:rFonts w:hint="default" w:ascii="Times New Roman" w:hAnsi="Times New Roman" w:eastAsia="宋体" w:cs="Times New Roman"/>
                <w:i w:val="0"/>
                <w:iCs w:val="0"/>
                <w:color w:val="000000"/>
                <w:kern w:val="0"/>
                <w:sz w:val="20"/>
                <w:szCs w:val="20"/>
                <w:u w:val="none"/>
                <w:lang w:val="en-US" w:eastAsia="zh-CN" w:bidi="ar"/>
              </w:rPr>
              <w:t>87.672332</w:t>
            </w:r>
          </w:p>
        </w:tc>
        <w:tc>
          <w:tcPr>
            <w:tcW w:w="780" w:type="dxa"/>
            <w:tcBorders>
              <w:top w:val="single" w:color="auto" w:sz="2" w:space="0"/>
              <w:left w:val="single" w:color="auto" w:sz="2" w:space="0"/>
              <w:bottom w:val="single" w:color="auto" w:sz="2" w:space="0"/>
              <w:right w:val="single" w:color="auto" w:sz="2" w:space="0"/>
            </w:tcBorders>
            <w:noWrap w:val="0"/>
            <w:vAlign w:val="center"/>
          </w:tcPr>
          <w:p w14:paraId="7D2299F0">
            <w:pPr>
              <w:keepNext w:val="0"/>
              <w:keepLines w:val="0"/>
              <w:widowControl/>
              <w:suppressLineNumbers w:val="0"/>
              <w:jc w:val="right"/>
              <w:textAlignment w:val="center"/>
              <w:rPr>
                <w:rFonts w:hint="default" w:ascii="Times New Roman" w:hAnsi="Times New Roman" w:eastAsia="宋体" w:cs="Times New Roman"/>
                <w:b w:val="0"/>
                <w:sz w:val="21"/>
                <w:szCs w:val="21"/>
              </w:rPr>
            </w:pPr>
            <w:r>
              <w:rPr>
                <w:rFonts w:hint="default" w:ascii="Times New Roman" w:hAnsi="Times New Roman" w:eastAsia="宋体" w:cs="Times New Roman"/>
                <w:i w:val="0"/>
                <w:iCs w:val="0"/>
                <w:color w:val="000000"/>
                <w:kern w:val="0"/>
                <w:sz w:val="20"/>
                <w:szCs w:val="20"/>
                <w:u w:val="none"/>
                <w:lang w:val="en-US" w:eastAsia="zh-CN" w:bidi="ar"/>
              </w:rPr>
              <w:t>47.333057</w:t>
            </w:r>
          </w:p>
        </w:tc>
        <w:tc>
          <w:tcPr>
            <w:tcW w:w="849" w:type="dxa"/>
            <w:tcBorders>
              <w:top w:val="single" w:color="auto" w:sz="2" w:space="0"/>
              <w:left w:val="single" w:color="auto" w:sz="2" w:space="0"/>
              <w:bottom w:val="single" w:color="auto" w:sz="2" w:space="0"/>
              <w:right w:val="single" w:color="auto" w:sz="2" w:space="0"/>
            </w:tcBorders>
            <w:noWrap w:val="0"/>
            <w:vAlign w:val="center"/>
          </w:tcPr>
          <w:p w14:paraId="56A9FC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513.36</w:t>
            </w:r>
          </w:p>
        </w:tc>
        <w:tc>
          <w:tcPr>
            <w:tcW w:w="694" w:type="dxa"/>
            <w:tcBorders>
              <w:top w:val="single" w:color="auto" w:sz="2" w:space="0"/>
              <w:left w:val="single" w:color="auto" w:sz="2" w:space="0"/>
              <w:bottom w:val="single" w:color="auto" w:sz="2" w:space="0"/>
              <w:right w:val="single" w:color="auto" w:sz="2" w:space="0"/>
            </w:tcBorders>
            <w:noWrap w:val="0"/>
            <w:vAlign w:val="center"/>
          </w:tcPr>
          <w:p w14:paraId="159856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43" w:type="dxa"/>
            <w:tcBorders>
              <w:top w:val="single" w:color="auto" w:sz="2" w:space="0"/>
              <w:left w:val="single" w:color="auto" w:sz="2" w:space="0"/>
              <w:bottom w:val="single" w:color="auto" w:sz="2" w:space="0"/>
              <w:right w:val="single" w:color="auto" w:sz="2" w:space="0"/>
            </w:tcBorders>
            <w:noWrap w:val="0"/>
            <w:vAlign w:val="center"/>
          </w:tcPr>
          <w:p w14:paraId="173880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7"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7CF1A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zh-CN" w:eastAsia="zh-CN" w:bidi="ar"/>
              </w:rPr>
            </w:pPr>
            <w:r>
              <w:rPr>
                <w:rFonts w:hint="default" w:ascii="Times New Roman" w:hAnsi="Times New Roman" w:eastAsia="宋体" w:cs="Times New Roman"/>
                <w:i w:val="0"/>
                <w:iCs w:val="0"/>
                <w:color w:val="000000"/>
                <w:kern w:val="0"/>
                <w:sz w:val="21"/>
                <w:szCs w:val="21"/>
                <w:u w:val="none"/>
                <w:lang w:val="en-US" w:eastAsia="zh-CN" w:bidi="ar"/>
              </w:rPr>
              <w:t>298</w:t>
            </w:r>
          </w:p>
        </w:tc>
        <w:tc>
          <w:tcPr>
            <w:tcW w:w="686" w:type="dxa"/>
            <w:tcBorders>
              <w:top w:val="single" w:color="auto" w:sz="2" w:space="0"/>
              <w:left w:val="single" w:color="auto" w:sz="2" w:space="0"/>
              <w:bottom w:val="single" w:color="auto" w:sz="2" w:space="0"/>
              <w:right w:val="single" w:color="auto" w:sz="2" w:space="0"/>
            </w:tcBorders>
            <w:noWrap w:val="0"/>
            <w:vAlign w:val="center"/>
          </w:tcPr>
          <w:p w14:paraId="71A8A1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0.71</w:t>
            </w:r>
          </w:p>
        </w:tc>
        <w:tc>
          <w:tcPr>
            <w:tcW w:w="685" w:type="dxa"/>
            <w:tcBorders>
              <w:top w:val="single" w:color="auto" w:sz="2" w:space="0"/>
              <w:left w:val="single" w:color="auto" w:sz="2" w:space="0"/>
              <w:bottom w:val="single" w:color="auto" w:sz="2" w:space="0"/>
              <w:right w:val="single" w:color="auto" w:sz="2" w:space="0"/>
            </w:tcBorders>
            <w:noWrap w:val="0"/>
            <w:vAlign w:val="center"/>
          </w:tcPr>
          <w:p w14:paraId="3C8FE9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1460</w:t>
            </w:r>
          </w:p>
        </w:tc>
        <w:tc>
          <w:tcPr>
            <w:tcW w:w="455" w:type="dxa"/>
            <w:tcBorders>
              <w:top w:val="single" w:color="auto" w:sz="2" w:space="0"/>
              <w:left w:val="single" w:color="auto" w:sz="2" w:space="0"/>
              <w:bottom w:val="single" w:color="auto" w:sz="2" w:space="0"/>
              <w:right w:val="single" w:color="auto" w:sz="2" w:space="0"/>
            </w:tcBorders>
            <w:noWrap w:val="0"/>
            <w:vAlign w:val="center"/>
          </w:tcPr>
          <w:p w14:paraId="2CB82A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正常</w:t>
            </w:r>
          </w:p>
        </w:tc>
        <w:tc>
          <w:tcPr>
            <w:tcW w:w="651" w:type="dxa"/>
            <w:tcBorders>
              <w:top w:val="single" w:color="auto" w:sz="2" w:space="0"/>
              <w:left w:val="single" w:color="auto" w:sz="2" w:space="0"/>
              <w:bottom w:val="single" w:color="auto" w:sz="2" w:space="0"/>
              <w:right w:val="single" w:color="auto" w:sz="2" w:space="0"/>
            </w:tcBorders>
            <w:noWrap w:val="0"/>
            <w:vAlign w:val="center"/>
          </w:tcPr>
          <w:p w14:paraId="228544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713" w:type="dxa"/>
            <w:tcBorders>
              <w:top w:val="single" w:color="auto" w:sz="2" w:space="0"/>
              <w:left w:val="single" w:color="auto" w:sz="2" w:space="0"/>
              <w:bottom w:val="single" w:color="auto" w:sz="2" w:space="0"/>
              <w:right w:val="single" w:color="auto" w:sz="2" w:space="0"/>
            </w:tcBorders>
            <w:noWrap w:val="0"/>
            <w:vAlign w:val="center"/>
          </w:tcPr>
          <w:p w14:paraId="5E1DEF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w:t>
            </w:r>
          </w:p>
        </w:tc>
      </w:tr>
      <w:tr w14:paraId="02F2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vMerge w:val="restart"/>
            <w:tcBorders>
              <w:top w:val="single" w:color="auto" w:sz="2" w:space="0"/>
              <w:left w:val="single" w:color="auto" w:sz="2" w:space="0"/>
              <w:right w:val="single" w:color="auto" w:sz="2" w:space="0"/>
            </w:tcBorders>
            <w:noWrap w:val="0"/>
            <w:vAlign w:val="center"/>
          </w:tcPr>
          <w:p w14:paraId="7780B82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DA002封闭堆粪场</w:t>
            </w:r>
          </w:p>
        </w:tc>
        <w:tc>
          <w:tcPr>
            <w:tcW w:w="862" w:type="dxa"/>
            <w:vMerge w:val="restart"/>
            <w:tcBorders>
              <w:top w:val="single" w:color="auto" w:sz="2" w:space="0"/>
              <w:left w:val="single" w:color="auto" w:sz="2" w:space="0"/>
              <w:right w:val="single" w:color="auto" w:sz="2" w:space="0"/>
            </w:tcBorders>
            <w:noWrap w:val="0"/>
            <w:vAlign w:val="center"/>
          </w:tcPr>
          <w:p w14:paraId="5CAC167E">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87.670731</w:t>
            </w:r>
          </w:p>
        </w:tc>
        <w:tc>
          <w:tcPr>
            <w:tcW w:w="780" w:type="dxa"/>
            <w:vMerge w:val="restart"/>
            <w:tcBorders>
              <w:top w:val="single" w:color="auto" w:sz="2" w:space="0"/>
              <w:left w:val="single" w:color="auto" w:sz="2" w:space="0"/>
              <w:right w:val="single" w:color="auto" w:sz="2" w:space="0"/>
            </w:tcBorders>
            <w:noWrap w:val="0"/>
            <w:vAlign w:val="center"/>
          </w:tcPr>
          <w:p w14:paraId="07936394">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47.333052</w:t>
            </w:r>
          </w:p>
        </w:tc>
        <w:tc>
          <w:tcPr>
            <w:tcW w:w="849" w:type="dxa"/>
            <w:vMerge w:val="restart"/>
            <w:tcBorders>
              <w:top w:val="single" w:color="auto" w:sz="2" w:space="0"/>
              <w:left w:val="single" w:color="auto" w:sz="2" w:space="0"/>
              <w:right w:val="single" w:color="auto" w:sz="2" w:space="0"/>
            </w:tcBorders>
            <w:noWrap w:val="0"/>
            <w:vAlign w:val="center"/>
          </w:tcPr>
          <w:p w14:paraId="36BAA1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513.31</w:t>
            </w:r>
          </w:p>
        </w:tc>
        <w:tc>
          <w:tcPr>
            <w:tcW w:w="694" w:type="dxa"/>
            <w:vMerge w:val="restart"/>
            <w:tcBorders>
              <w:top w:val="single" w:color="auto" w:sz="2" w:space="0"/>
              <w:left w:val="single" w:color="auto" w:sz="2" w:space="0"/>
              <w:right w:val="single" w:color="auto" w:sz="2" w:space="0"/>
            </w:tcBorders>
            <w:noWrap w:val="0"/>
            <w:vAlign w:val="center"/>
          </w:tcPr>
          <w:p w14:paraId="66B513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43" w:type="dxa"/>
            <w:vMerge w:val="restart"/>
            <w:tcBorders>
              <w:top w:val="single" w:color="auto" w:sz="2" w:space="0"/>
              <w:left w:val="single" w:color="auto" w:sz="2" w:space="0"/>
              <w:right w:val="single" w:color="auto" w:sz="2" w:space="0"/>
            </w:tcBorders>
            <w:noWrap w:val="0"/>
            <w:vAlign w:val="center"/>
          </w:tcPr>
          <w:p w14:paraId="60FFCC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7" w:type="dxa"/>
            <w:vMerge w:val="restart"/>
            <w:tcBorders>
              <w:top w:val="single" w:color="auto" w:sz="2" w:space="0"/>
              <w:left w:val="single" w:color="auto" w:sz="2" w:space="0"/>
              <w:right w:val="single" w:color="auto" w:sz="2" w:space="0"/>
            </w:tcBorders>
            <w:shd w:val="clear" w:color="auto" w:fill="auto"/>
            <w:noWrap w:val="0"/>
            <w:vAlign w:val="center"/>
          </w:tcPr>
          <w:p w14:paraId="3CE818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298</w:t>
            </w:r>
          </w:p>
        </w:tc>
        <w:tc>
          <w:tcPr>
            <w:tcW w:w="686" w:type="dxa"/>
            <w:vMerge w:val="restart"/>
            <w:tcBorders>
              <w:top w:val="single" w:color="auto" w:sz="2" w:space="0"/>
              <w:left w:val="single" w:color="auto" w:sz="2" w:space="0"/>
              <w:right w:val="single" w:color="auto" w:sz="2" w:space="0"/>
            </w:tcBorders>
            <w:noWrap w:val="0"/>
            <w:vAlign w:val="center"/>
          </w:tcPr>
          <w:p w14:paraId="0E90DD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0.71</w:t>
            </w:r>
          </w:p>
        </w:tc>
        <w:tc>
          <w:tcPr>
            <w:tcW w:w="685" w:type="dxa"/>
            <w:vMerge w:val="restart"/>
            <w:tcBorders>
              <w:top w:val="single" w:color="auto" w:sz="2" w:space="0"/>
              <w:left w:val="single" w:color="auto" w:sz="2" w:space="0"/>
              <w:right w:val="single" w:color="auto" w:sz="2" w:space="0"/>
            </w:tcBorders>
            <w:noWrap w:val="0"/>
            <w:vAlign w:val="center"/>
          </w:tcPr>
          <w:p w14:paraId="1F129B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8760</w:t>
            </w:r>
          </w:p>
        </w:tc>
        <w:tc>
          <w:tcPr>
            <w:tcW w:w="455" w:type="dxa"/>
            <w:vMerge w:val="restart"/>
            <w:tcBorders>
              <w:top w:val="single" w:color="auto" w:sz="2" w:space="0"/>
              <w:left w:val="single" w:color="auto" w:sz="2" w:space="0"/>
              <w:right w:val="single" w:color="auto" w:sz="2" w:space="0"/>
            </w:tcBorders>
            <w:noWrap w:val="0"/>
            <w:vAlign w:val="center"/>
          </w:tcPr>
          <w:p w14:paraId="14E8CA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正常</w:t>
            </w:r>
          </w:p>
        </w:tc>
        <w:tc>
          <w:tcPr>
            <w:tcW w:w="651" w:type="dxa"/>
            <w:tcBorders>
              <w:top w:val="single" w:color="auto" w:sz="2" w:space="0"/>
              <w:left w:val="single" w:color="auto" w:sz="2" w:space="0"/>
              <w:bottom w:val="single" w:color="auto" w:sz="2" w:space="0"/>
              <w:right w:val="single" w:color="auto" w:sz="2" w:space="0"/>
            </w:tcBorders>
            <w:noWrap w:val="0"/>
            <w:vAlign w:val="center"/>
          </w:tcPr>
          <w:p w14:paraId="02F9C5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p>
        </w:tc>
        <w:tc>
          <w:tcPr>
            <w:tcW w:w="713" w:type="dxa"/>
            <w:tcBorders>
              <w:top w:val="single" w:color="auto" w:sz="2" w:space="0"/>
              <w:left w:val="single" w:color="auto" w:sz="2" w:space="0"/>
              <w:bottom w:val="single" w:color="auto" w:sz="2" w:space="0"/>
              <w:right w:val="single" w:color="auto" w:sz="2" w:space="0"/>
            </w:tcBorders>
            <w:noWrap w:val="0"/>
            <w:vAlign w:val="center"/>
          </w:tcPr>
          <w:p w14:paraId="655503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0.002</w:t>
            </w:r>
          </w:p>
        </w:tc>
      </w:tr>
      <w:tr w14:paraId="575D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7" w:type="dxa"/>
            <w:vMerge w:val="continue"/>
            <w:tcBorders>
              <w:left w:val="single" w:color="auto" w:sz="2" w:space="0"/>
              <w:bottom w:val="single" w:color="auto" w:sz="2" w:space="0"/>
              <w:right w:val="single" w:color="auto" w:sz="2" w:space="0"/>
            </w:tcBorders>
            <w:noWrap w:val="0"/>
            <w:vAlign w:val="center"/>
          </w:tcPr>
          <w:p w14:paraId="19A825A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62" w:type="dxa"/>
            <w:vMerge w:val="continue"/>
            <w:tcBorders>
              <w:left w:val="single" w:color="auto" w:sz="2" w:space="0"/>
              <w:bottom w:val="single" w:color="auto" w:sz="2" w:space="0"/>
              <w:right w:val="single" w:color="auto" w:sz="2" w:space="0"/>
            </w:tcBorders>
            <w:noWrap w:val="0"/>
            <w:vAlign w:val="center"/>
          </w:tcPr>
          <w:p w14:paraId="2D45BB6B">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780" w:type="dxa"/>
            <w:vMerge w:val="continue"/>
            <w:tcBorders>
              <w:left w:val="single" w:color="auto" w:sz="2" w:space="0"/>
              <w:bottom w:val="single" w:color="auto" w:sz="2" w:space="0"/>
              <w:right w:val="single" w:color="auto" w:sz="2" w:space="0"/>
            </w:tcBorders>
            <w:noWrap w:val="0"/>
            <w:vAlign w:val="center"/>
          </w:tcPr>
          <w:p w14:paraId="35CFFD9F">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849" w:type="dxa"/>
            <w:vMerge w:val="continue"/>
            <w:tcBorders>
              <w:left w:val="single" w:color="auto" w:sz="2" w:space="0"/>
              <w:bottom w:val="single" w:color="auto" w:sz="2" w:space="0"/>
              <w:right w:val="single" w:color="auto" w:sz="2" w:space="0"/>
            </w:tcBorders>
            <w:noWrap w:val="0"/>
            <w:vAlign w:val="center"/>
          </w:tcPr>
          <w:p w14:paraId="592E32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4" w:type="dxa"/>
            <w:vMerge w:val="continue"/>
            <w:tcBorders>
              <w:left w:val="single" w:color="auto" w:sz="2" w:space="0"/>
              <w:bottom w:val="single" w:color="auto" w:sz="2" w:space="0"/>
              <w:right w:val="single" w:color="auto" w:sz="2" w:space="0"/>
            </w:tcBorders>
            <w:noWrap w:val="0"/>
            <w:vAlign w:val="center"/>
          </w:tcPr>
          <w:p w14:paraId="6BD41B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43" w:type="dxa"/>
            <w:vMerge w:val="continue"/>
            <w:tcBorders>
              <w:left w:val="single" w:color="auto" w:sz="2" w:space="0"/>
              <w:bottom w:val="single" w:color="auto" w:sz="2" w:space="0"/>
              <w:right w:val="single" w:color="auto" w:sz="2" w:space="0"/>
            </w:tcBorders>
            <w:noWrap w:val="0"/>
            <w:vAlign w:val="center"/>
          </w:tcPr>
          <w:p w14:paraId="67C99C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77" w:type="dxa"/>
            <w:vMerge w:val="continue"/>
            <w:tcBorders>
              <w:left w:val="single" w:color="auto" w:sz="2" w:space="0"/>
              <w:bottom w:val="single" w:color="auto" w:sz="2" w:space="0"/>
              <w:right w:val="single" w:color="auto" w:sz="2" w:space="0"/>
            </w:tcBorders>
            <w:shd w:val="clear" w:color="auto" w:fill="auto"/>
            <w:noWrap w:val="0"/>
            <w:vAlign w:val="center"/>
          </w:tcPr>
          <w:p w14:paraId="5757A1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6" w:type="dxa"/>
            <w:vMerge w:val="continue"/>
            <w:tcBorders>
              <w:left w:val="single" w:color="auto" w:sz="2" w:space="0"/>
              <w:bottom w:val="single" w:color="auto" w:sz="2" w:space="0"/>
              <w:right w:val="single" w:color="auto" w:sz="2" w:space="0"/>
            </w:tcBorders>
            <w:noWrap w:val="0"/>
            <w:vAlign w:val="center"/>
          </w:tcPr>
          <w:p w14:paraId="5A02A1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5" w:type="dxa"/>
            <w:vMerge w:val="continue"/>
            <w:tcBorders>
              <w:left w:val="single" w:color="auto" w:sz="2" w:space="0"/>
              <w:bottom w:val="single" w:color="auto" w:sz="2" w:space="0"/>
              <w:right w:val="single" w:color="auto" w:sz="2" w:space="0"/>
            </w:tcBorders>
            <w:noWrap w:val="0"/>
            <w:vAlign w:val="center"/>
          </w:tcPr>
          <w:p w14:paraId="54D55A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vMerge w:val="continue"/>
            <w:tcBorders>
              <w:left w:val="single" w:color="auto" w:sz="2" w:space="0"/>
              <w:bottom w:val="single" w:color="auto" w:sz="2" w:space="0"/>
              <w:right w:val="single" w:color="auto" w:sz="2" w:space="0"/>
            </w:tcBorders>
            <w:noWrap w:val="0"/>
            <w:vAlign w:val="center"/>
          </w:tcPr>
          <w:p w14:paraId="79FB2F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51" w:type="dxa"/>
            <w:tcBorders>
              <w:top w:val="single" w:color="auto" w:sz="2" w:space="0"/>
              <w:left w:val="single" w:color="auto" w:sz="2" w:space="0"/>
              <w:bottom w:val="single" w:color="auto" w:sz="2" w:space="0"/>
              <w:right w:val="single" w:color="auto" w:sz="2" w:space="0"/>
            </w:tcBorders>
            <w:noWrap w:val="0"/>
            <w:vAlign w:val="center"/>
          </w:tcPr>
          <w:p w14:paraId="087F18F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S</w:t>
            </w:r>
          </w:p>
        </w:tc>
        <w:tc>
          <w:tcPr>
            <w:tcW w:w="713" w:type="dxa"/>
            <w:tcBorders>
              <w:top w:val="single" w:color="auto" w:sz="2" w:space="0"/>
              <w:left w:val="single" w:color="auto" w:sz="2" w:space="0"/>
              <w:bottom w:val="single" w:color="auto" w:sz="2" w:space="0"/>
              <w:right w:val="single" w:color="auto" w:sz="2" w:space="0"/>
            </w:tcBorders>
            <w:noWrap w:val="0"/>
            <w:vAlign w:val="center"/>
          </w:tcPr>
          <w:p w14:paraId="651ADB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0.0002</w:t>
            </w:r>
          </w:p>
        </w:tc>
      </w:tr>
    </w:tbl>
    <w:p w14:paraId="36AD57C4">
      <w:pPr>
        <w:pStyle w:val="14"/>
        <w:spacing w:line="480" w:lineRule="exact"/>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宋体" w:cs="Times New Roman"/>
          <w:b/>
          <w:bCs/>
          <w:color w:val="auto"/>
          <w:sz w:val="21"/>
          <w:szCs w:val="21"/>
        </w:rPr>
        <w:t>主要废气污染源参数一览表</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矩形面源</w:t>
      </w:r>
      <w:r>
        <w:rPr>
          <w:rFonts w:hint="default" w:ascii="Times New Roman" w:hAnsi="Times New Roman" w:eastAsia="宋体" w:cs="Times New Roman"/>
          <w:b/>
          <w:bCs/>
          <w:color w:val="auto"/>
          <w:sz w:val="21"/>
          <w:szCs w:val="21"/>
          <w:lang w:eastAsia="zh-CN"/>
        </w:rPr>
        <w:t>）</w:t>
      </w:r>
    </w:p>
    <w:tbl>
      <w:tblPr>
        <w:tblStyle w:val="33"/>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23"/>
        <w:gridCol w:w="1109"/>
        <w:gridCol w:w="1109"/>
        <w:gridCol w:w="800"/>
        <w:gridCol w:w="800"/>
        <w:gridCol w:w="800"/>
        <w:gridCol w:w="800"/>
        <w:gridCol w:w="794"/>
        <w:gridCol w:w="794"/>
        <w:gridCol w:w="698"/>
      </w:tblGrid>
      <w:tr w14:paraId="4CF5A4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80" w:hRule="atLeast"/>
        </w:trPr>
        <w:tc>
          <w:tcPr>
            <w:tcW w:w="503" w:type="pct"/>
            <w:vMerge w:val="restart"/>
            <w:noWrap w:val="0"/>
            <w:vAlign w:val="center"/>
          </w:tcPr>
          <w:p w14:paraId="02B55592">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污染源名称</w:t>
            </w:r>
          </w:p>
        </w:tc>
        <w:tc>
          <w:tcPr>
            <w:tcW w:w="1300" w:type="pct"/>
            <w:gridSpan w:val="2"/>
            <w:noWrap w:val="0"/>
            <w:vAlign w:val="center"/>
          </w:tcPr>
          <w:p w14:paraId="750EC65E">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坐标</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w:t>
            </w:r>
            <w:r>
              <w:rPr>
                <w:rFonts w:hint="default" w:ascii="Times New Roman" w:hAnsi="Times New Roman" w:eastAsia="宋体" w:cs="Times New Roman"/>
                <w:b w:val="0"/>
                <w:color w:val="auto"/>
                <w:sz w:val="21"/>
                <w:szCs w:val="21"/>
                <w:lang w:eastAsia="zh-CN"/>
              </w:rPr>
              <w:t>）</w:t>
            </w:r>
          </w:p>
        </w:tc>
        <w:tc>
          <w:tcPr>
            <w:tcW w:w="469" w:type="pct"/>
            <w:vMerge w:val="restart"/>
            <w:noWrap w:val="0"/>
            <w:vAlign w:val="center"/>
          </w:tcPr>
          <w:p w14:paraId="0F212266">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lang w:eastAsia="zh-CN"/>
              </w:rPr>
              <w:t>海拔（</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val="0"/>
                <w:color w:val="auto"/>
                <w:sz w:val="21"/>
                <w:szCs w:val="21"/>
                <w:lang w:eastAsia="zh-CN"/>
              </w:rPr>
              <w:t>）</w:t>
            </w:r>
          </w:p>
        </w:tc>
        <w:tc>
          <w:tcPr>
            <w:tcW w:w="1407" w:type="pct"/>
            <w:gridSpan w:val="3"/>
            <w:noWrap w:val="0"/>
            <w:vAlign w:val="center"/>
          </w:tcPr>
          <w:p w14:paraId="7B809056">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矩形面源</w:t>
            </w:r>
          </w:p>
        </w:tc>
        <w:tc>
          <w:tcPr>
            <w:tcW w:w="1319" w:type="pct"/>
            <w:gridSpan w:val="3"/>
            <w:noWrap w:val="0"/>
            <w:vAlign w:val="center"/>
          </w:tcPr>
          <w:p w14:paraId="728807EB">
            <w:pPr>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污染物排放速率</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kg/h</w:t>
            </w:r>
            <w:r>
              <w:rPr>
                <w:rFonts w:hint="default" w:ascii="Times New Roman" w:hAnsi="Times New Roman" w:eastAsia="宋体" w:cs="Times New Roman"/>
                <w:b w:val="0"/>
                <w:color w:val="auto"/>
                <w:sz w:val="21"/>
                <w:szCs w:val="21"/>
                <w:lang w:eastAsia="zh-CN"/>
              </w:rPr>
              <w:t>）</w:t>
            </w:r>
          </w:p>
        </w:tc>
      </w:tr>
      <w:tr w14:paraId="33CC4F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22" w:hRule="atLeast"/>
        </w:trPr>
        <w:tc>
          <w:tcPr>
            <w:tcW w:w="503" w:type="pct"/>
            <w:vMerge w:val="continue"/>
            <w:noWrap w:val="0"/>
            <w:vAlign w:val="center"/>
          </w:tcPr>
          <w:p w14:paraId="74A2EAB3">
            <w:pPr>
              <w:jc w:val="center"/>
              <w:rPr>
                <w:rFonts w:hint="default" w:ascii="Times New Roman" w:hAnsi="Times New Roman" w:cs="Times New Roman"/>
                <w:color w:val="auto"/>
                <w:sz w:val="21"/>
                <w:szCs w:val="21"/>
              </w:rPr>
            </w:pPr>
          </w:p>
        </w:tc>
        <w:tc>
          <w:tcPr>
            <w:tcW w:w="650" w:type="pct"/>
            <w:noWrap w:val="0"/>
            <w:vAlign w:val="center"/>
          </w:tcPr>
          <w:p w14:paraId="06CE79E2">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经度</w:t>
            </w:r>
          </w:p>
        </w:tc>
        <w:tc>
          <w:tcPr>
            <w:tcW w:w="650" w:type="pct"/>
            <w:noWrap w:val="0"/>
            <w:vAlign w:val="center"/>
          </w:tcPr>
          <w:p w14:paraId="12345185">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纬度</w:t>
            </w:r>
          </w:p>
        </w:tc>
        <w:tc>
          <w:tcPr>
            <w:tcW w:w="469" w:type="pct"/>
            <w:vMerge w:val="continue"/>
            <w:noWrap w:val="0"/>
            <w:vAlign w:val="center"/>
          </w:tcPr>
          <w:p w14:paraId="4686DCB0">
            <w:pPr>
              <w:jc w:val="center"/>
              <w:rPr>
                <w:rFonts w:hint="default" w:ascii="Times New Roman" w:hAnsi="Times New Roman" w:cs="Times New Roman"/>
                <w:color w:val="auto"/>
                <w:sz w:val="21"/>
                <w:szCs w:val="21"/>
              </w:rPr>
            </w:pPr>
          </w:p>
        </w:tc>
        <w:tc>
          <w:tcPr>
            <w:tcW w:w="469" w:type="pct"/>
            <w:noWrap w:val="0"/>
            <w:vAlign w:val="center"/>
          </w:tcPr>
          <w:p w14:paraId="37556D7B">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长度</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val="0"/>
                <w:color w:val="auto"/>
                <w:sz w:val="21"/>
                <w:szCs w:val="21"/>
                <w:lang w:eastAsia="zh-CN"/>
              </w:rPr>
              <w:t>）</w:t>
            </w:r>
          </w:p>
        </w:tc>
        <w:tc>
          <w:tcPr>
            <w:tcW w:w="469" w:type="pct"/>
            <w:noWrap w:val="0"/>
            <w:vAlign w:val="center"/>
          </w:tcPr>
          <w:p w14:paraId="5711BA73">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宽度</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val="0"/>
                <w:color w:val="auto"/>
                <w:sz w:val="21"/>
                <w:szCs w:val="21"/>
                <w:lang w:eastAsia="zh-CN"/>
              </w:rPr>
              <w:t>）</w:t>
            </w:r>
          </w:p>
        </w:tc>
        <w:tc>
          <w:tcPr>
            <w:tcW w:w="469" w:type="pct"/>
            <w:noWrap w:val="0"/>
            <w:vAlign w:val="center"/>
          </w:tcPr>
          <w:p w14:paraId="29672983">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有效高度</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val="0"/>
                <w:color w:val="auto"/>
                <w:sz w:val="21"/>
                <w:szCs w:val="21"/>
                <w:lang w:eastAsia="zh-CN"/>
              </w:rPr>
              <w:t>）</w:t>
            </w:r>
          </w:p>
        </w:tc>
        <w:tc>
          <w:tcPr>
            <w:tcW w:w="404" w:type="pct"/>
            <w:noWrap w:val="0"/>
            <w:vAlign w:val="center"/>
          </w:tcPr>
          <w:p w14:paraId="55F2E613">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H</w:t>
            </w:r>
            <w:r>
              <w:rPr>
                <w:rFonts w:hint="default" w:ascii="Times New Roman" w:hAnsi="Times New Roman" w:eastAsia="宋体" w:cs="Times New Roman"/>
                <w:b w:val="0"/>
                <w:color w:val="auto"/>
                <w:sz w:val="21"/>
                <w:szCs w:val="21"/>
                <w:vertAlign w:val="subscript"/>
              </w:rPr>
              <w:t>2</w:t>
            </w:r>
            <w:r>
              <w:rPr>
                <w:rFonts w:hint="default" w:ascii="Times New Roman" w:hAnsi="Times New Roman" w:eastAsia="宋体" w:cs="Times New Roman"/>
                <w:b w:val="0"/>
                <w:color w:val="auto"/>
                <w:sz w:val="21"/>
                <w:szCs w:val="21"/>
              </w:rPr>
              <w:t>S</w:t>
            </w:r>
          </w:p>
        </w:tc>
        <w:tc>
          <w:tcPr>
            <w:tcW w:w="466" w:type="pct"/>
            <w:noWrap w:val="0"/>
            <w:vAlign w:val="center"/>
          </w:tcPr>
          <w:p w14:paraId="01E4DF48">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NH</w:t>
            </w:r>
            <w:r>
              <w:rPr>
                <w:rFonts w:hint="default" w:ascii="Times New Roman" w:hAnsi="Times New Roman" w:eastAsia="宋体" w:cs="Times New Roman"/>
                <w:b w:val="0"/>
                <w:color w:val="auto"/>
                <w:sz w:val="21"/>
                <w:szCs w:val="21"/>
                <w:vertAlign w:val="subscript"/>
              </w:rPr>
              <w:t>3</w:t>
            </w:r>
          </w:p>
        </w:tc>
        <w:tc>
          <w:tcPr>
            <w:tcW w:w="449" w:type="pct"/>
            <w:noWrap w:val="0"/>
            <w:vAlign w:val="center"/>
          </w:tcPr>
          <w:p w14:paraId="51584D07">
            <w:pPr>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TSP</w:t>
            </w:r>
          </w:p>
        </w:tc>
      </w:tr>
      <w:tr w14:paraId="218135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5" w:hRule="atLeast"/>
        </w:trPr>
        <w:tc>
          <w:tcPr>
            <w:tcW w:w="503" w:type="pct"/>
            <w:noWrap w:val="0"/>
            <w:vAlign w:val="center"/>
          </w:tcPr>
          <w:p w14:paraId="40FCAF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鸡舍</w:t>
            </w:r>
          </w:p>
        </w:tc>
        <w:tc>
          <w:tcPr>
            <w:tcW w:w="650" w:type="pct"/>
            <w:noWrap w:val="0"/>
            <w:vAlign w:val="center"/>
          </w:tcPr>
          <w:p w14:paraId="6A6827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87.670338</w:t>
            </w:r>
          </w:p>
        </w:tc>
        <w:tc>
          <w:tcPr>
            <w:tcW w:w="650" w:type="pct"/>
            <w:noWrap w:val="0"/>
            <w:vAlign w:val="center"/>
          </w:tcPr>
          <w:p w14:paraId="664150F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47.333871</w:t>
            </w:r>
          </w:p>
        </w:tc>
        <w:tc>
          <w:tcPr>
            <w:tcW w:w="469" w:type="pct"/>
            <w:noWrap w:val="0"/>
            <w:vAlign w:val="center"/>
          </w:tcPr>
          <w:p w14:paraId="575523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512.45</w:t>
            </w:r>
          </w:p>
        </w:tc>
        <w:tc>
          <w:tcPr>
            <w:tcW w:w="469" w:type="pct"/>
            <w:noWrap w:val="0"/>
            <w:vAlign w:val="center"/>
          </w:tcPr>
          <w:p w14:paraId="0137BF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469" w:type="pct"/>
            <w:noWrap w:val="0"/>
            <w:vAlign w:val="center"/>
          </w:tcPr>
          <w:p w14:paraId="62E314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469" w:type="pct"/>
            <w:noWrap w:val="0"/>
            <w:vAlign w:val="center"/>
          </w:tcPr>
          <w:p w14:paraId="33F2A8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04" w:type="pct"/>
            <w:noWrap w:val="0"/>
            <w:vAlign w:val="center"/>
          </w:tcPr>
          <w:p w14:paraId="4DE3BE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0.075</w:t>
            </w:r>
          </w:p>
        </w:tc>
        <w:tc>
          <w:tcPr>
            <w:tcW w:w="466" w:type="pct"/>
            <w:noWrap w:val="0"/>
            <w:vAlign w:val="center"/>
          </w:tcPr>
          <w:p w14:paraId="37C0D0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0.0075</w:t>
            </w:r>
          </w:p>
        </w:tc>
        <w:tc>
          <w:tcPr>
            <w:tcW w:w="449" w:type="pct"/>
            <w:noWrap w:val="0"/>
            <w:vAlign w:val="center"/>
          </w:tcPr>
          <w:p w14:paraId="5CB28E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7F6B7F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5" w:hRule="atLeast"/>
        </w:trPr>
        <w:tc>
          <w:tcPr>
            <w:tcW w:w="503" w:type="pct"/>
            <w:noWrap w:val="0"/>
            <w:vAlign w:val="center"/>
          </w:tcPr>
          <w:p w14:paraId="4B6A55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饲料加工</w:t>
            </w:r>
          </w:p>
        </w:tc>
        <w:tc>
          <w:tcPr>
            <w:tcW w:w="650" w:type="pct"/>
            <w:noWrap w:val="0"/>
            <w:vAlign w:val="center"/>
          </w:tcPr>
          <w:p w14:paraId="1106FE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87.672233</w:t>
            </w:r>
          </w:p>
        </w:tc>
        <w:tc>
          <w:tcPr>
            <w:tcW w:w="650" w:type="pct"/>
            <w:noWrap w:val="0"/>
            <w:vAlign w:val="center"/>
          </w:tcPr>
          <w:p w14:paraId="636044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47.333106</w:t>
            </w:r>
          </w:p>
        </w:tc>
        <w:tc>
          <w:tcPr>
            <w:tcW w:w="469" w:type="pct"/>
            <w:noWrap w:val="0"/>
            <w:vAlign w:val="center"/>
          </w:tcPr>
          <w:p w14:paraId="4B2D86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513.00</w:t>
            </w:r>
          </w:p>
        </w:tc>
        <w:tc>
          <w:tcPr>
            <w:tcW w:w="469" w:type="pct"/>
            <w:noWrap w:val="0"/>
            <w:vAlign w:val="center"/>
          </w:tcPr>
          <w:p w14:paraId="1EDBC5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469" w:type="pct"/>
            <w:noWrap w:val="0"/>
            <w:vAlign w:val="center"/>
          </w:tcPr>
          <w:p w14:paraId="4CF282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469" w:type="pct"/>
            <w:noWrap w:val="0"/>
            <w:vAlign w:val="center"/>
          </w:tcPr>
          <w:p w14:paraId="15E9E6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404" w:type="pct"/>
            <w:noWrap w:val="0"/>
            <w:vAlign w:val="center"/>
          </w:tcPr>
          <w:p w14:paraId="6DDDDE9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66" w:type="pct"/>
            <w:noWrap w:val="0"/>
            <w:vAlign w:val="center"/>
          </w:tcPr>
          <w:p w14:paraId="57BC76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noWrap w:val="0"/>
            <w:vAlign w:val="center"/>
          </w:tcPr>
          <w:p w14:paraId="2309BB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0.086</w:t>
            </w:r>
          </w:p>
        </w:tc>
      </w:tr>
      <w:tr w14:paraId="1FFBD5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5" w:hRule="atLeast"/>
        </w:trPr>
        <w:tc>
          <w:tcPr>
            <w:tcW w:w="503" w:type="pct"/>
            <w:noWrap w:val="0"/>
            <w:vAlign w:val="center"/>
          </w:tcPr>
          <w:p w14:paraId="6CC88A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封闭堆粪场</w:t>
            </w:r>
          </w:p>
        </w:tc>
        <w:tc>
          <w:tcPr>
            <w:tcW w:w="1109" w:type="dxa"/>
            <w:noWrap w:val="0"/>
            <w:vAlign w:val="center"/>
          </w:tcPr>
          <w:p w14:paraId="767554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87.670731</w:t>
            </w:r>
          </w:p>
        </w:tc>
        <w:tc>
          <w:tcPr>
            <w:tcW w:w="1109" w:type="dxa"/>
            <w:noWrap w:val="0"/>
            <w:vAlign w:val="center"/>
          </w:tcPr>
          <w:p w14:paraId="229D43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47.333052</w:t>
            </w:r>
          </w:p>
        </w:tc>
        <w:tc>
          <w:tcPr>
            <w:tcW w:w="800" w:type="dxa"/>
            <w:noWrap w:val="0"/>
            <w:vAlign w:val="center"/>
          </w:tcPr>
          <w:p w14:paraId="599A745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513.00</w:t>
            </w:r>
          </w:p>
        </w:tc>
        <w:tc>
          <w:tcPr>
            <w:tcW w:w="800" w:type="dxa"/>
            <w:noWrap w:val="0"/>
            <w:vAlign w:val="center"/>
          </w:tcPr>
          <w:p w14:paraId="3FC1F5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800" w:type="dxa"/>
            <w:noWrap w:val="0"/>
            <w:vAlign w:val="center"/>
          </w:tcPr>
          <w:p w14:paraId="710EAD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800" w:type="dxa"/>
            <w:noWrap w:val="0"/>
            <w:vAlign w:val="center"/>
          </w:tcPr>
          <w:p w14:paraId="500622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89" w:type="dxa"/>
            <w:noWrap w:val="0"/>
            <w:vAlign w:val="center"/>
          </w:tcPr>
          <w:p w14:paraId="794FE9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795" w:type="dxa"/>
            <w:noWrap w:val="0"/>
            <w:vAlign w:val="center"/>
          </w:tcPr>
          <w:p w14:paraId="5C95D2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767" w:type="dxa"/>
            <w:noWrap w:val="0"/>
            <w:vAlign w:val="center"/>
          </w:tcPr>
          <w:p w14:paraId="521EC5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bl>
    <w:p w14:paraId="599D54E5">
      <w:pPr>
        <w:pStyle w:val="5"/>
        <w:numPr>
          <w:ilvl w:val="0"/>
          <w:numId w:val="0"/>
        </w:numPr>
        <w:bidi w:val="0"/>
        <w:ind w:leftChars="0"/>
        <w:rPr>
          <w:rFonts w:hint="default" w:ascii="Times New Roman" w:hAnsi="Times New Roman" w:cs="Times New Roman"/>
          <w:color w:val="auto"/>
        </w:rPr>
      </w:pPr>
      <w:r>
        <w:rPr>
          <w:rFonts w:hint="default" w:ascii="Times New Roman" w:hAnsi="Times New Roman" w:cs="Times New Roman"/>
          <w:color w:val="auto"/>
          <w:lang w:val="en-US" w:eastAsia="zh-CN"/>
        </w:rPr>
        <w:t>5.2.1.3</w:t>
      </w:r>
      <w:r>
        <w:rPr>
          <w:rFonts w:hint="default" w:ascii="Times New Roman" w:hAnsi="Times New Roman" w:cs="Times New Roman"/>
          <w:color w:val="auto"/>
        </w:rPr>
        <w:t>项目参数</w:t>
      </w:r>
    </w:p>
    <w:p w14:paraId="35F91C7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color w:val="auto"/>
          <w:sz w:val="24"/>
        </w:rPr>
        <w:t>估算模式所用参数见表</w:t>
      </w:r>
      <w:r>
        <w:rPr>
          <w:rFonts w:hint="default" w:ascii="Times New Roman" w:hAnsi="Times New Roman" w:eastAsia="宋体" w:cs="Times New Roman"/>
          <w:b w:val="0"/>
          <w:color w:val="auto"/>
          <w:sz w:val="24"/>
          <w:lang w:val="en-US" w:eastAsia="zh-CN"/>
        </w:rPr>
        <w:t>5.2-5。</w:t>
      </w:r>
    </w:p>
    <w:p w14:paraId="263A942B">
      <w:pPr>
        <w:pStyle w:val="14"/>
        <w:spacing w:line="480" w:lineRule="exact"/>
        <w:jc w:val="center"/>
        <w:rPr>
          <w:rFonts w:hint="default" w:ascii="Times New Roman" w:hAnsi="Times New Roman" w:eastAsia="宋体" w:cs="Times New Roman"/>
          <w:b/>
          <w:bCs/>
          <w:color w:val="auto"/>
          <w:sz w:val="21"/>
          <w:szCs w:val="21"/>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宋体" w:cs="Times New Roman"/>
          <w:b/>
          <w:bCs/>
          <w:color w:val="auto"/>
          <w:sz w:val="21"/>
          <w:szCs w:val="21"/>
        </w:rPr>
        <w:t>估算模型参数表</w:t>
      </w:r>
    </w:p>
    <w:tbl>
      <w:tblPr>
        <w:tblStyle w:val="33"/>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786"/>
        <w:gridCol w:w="3354"/>
        <w:gridCol w:w="3387"/>
      </w:tblGrid>
      <w:tr w14:paraId="117E64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gridSpan w:val="2"/>
            <w:noWrap w:val="0"/>
            <w:vAlign w:val="center"/>
          </w:tcPr>
          <w:p w14:paraId="19412512">
            <w:pPr>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参数</w:t>
            </w:r>
          </w:p>
        </w:tc>
        <w:tc>
          <w:tcPr>
            <w:tcW w:w="0" w:type="dxa"/>
            <w:noWrap w:val="0"/>
            <w:vAlign w:val="center"/>
          </w:tcPr>
          <w:p w14:paraId="06E05DEB">
            <w:pPr>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取值</w:t>
            </w:r>
          </w:p>
        </w:tc>
      </w:tr>
      <w:tr w14:paraId="1D237D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restart"/>
            <w:noWrap w:val="0"/>
            <w:vAlign w:val="center"/>
          </w:tcPr>
          <w:p w14:paraId="0C654924">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城市/农村选项</w:t>
            </w:r>
          </w:p>
        </w:tc>
        <w:tc>
          <w:tcPr>
            <w:tcW w:w="0" w:type="dxa"/>
            <w:noWrap w:val="0"/>
            <w:vAlign w:val="center"/>
          </w:tcPr>
          <w:p w14:paraId="6E62B469">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城市/农村</w:t>
            </w:r>
          </w:p>
        </w:tc>
        <w:tc>
          <w:tcPr>
            <w:tcW w:w="0" w:type="dxa"/>
            <w:noWrap w:val="0"/>
            <w:vAlign w:val="center"/>
          </w:tcPr>
          <w:p w14:paraId="374F99C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color w:val="auto"/>
                <w:sz w:val="21"/>
                <w:szCs w:val="21"/>
                <w:lang w:val="en-US" w:eastAsia="zh-CN"/>
              </w:rPr>
              <w:t>农村</w:t>
            </w:r>
          </w:p>
        </w:tc>
      </w:tr>
      <w:tr w14:paraId="77C019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continue"/>
            <w:noWrap w:val="0"/>
            <w:vAlign w:val="center"/>
          </w:tcPr>
          <w:p w14:paraId="71378E3A">
            <w:pPr>
              <w:jc w:val="center"/>
              <w:rPr>
                <w:rFonts w:hint="default" w:ascii="Times New Roman" w:hAnsi="Times New Roman" w:cs="Times New Roman"/>
                <w:color w:val="auto"/>
                <w:sz w:val="21"/>
                <w:szCs w:val="21"/>
              </w:rPr>
            </w:pPr>
          </w:p>
        </w:tc>
        <w:tc>
          <w:tcPr>
            <w:tcW w:w="0" w:type="dxa"/>
            <w:noWrap w:val="0"/>
            <w:vAlign w:val="center"/>
          </w:tcPr>
          <w:p w14:paraId="5A9E1572">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人口数</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城市人口数</w:t>
            </w:r>
            <w:r>
              <w:rPr>
                <w:rFonts w:hint="default" w:ascii="Times New Roman" w:hAnsi="Times New Roman" w:eastAsia="宋体" w:cs="Times New Roman"/>
                <w:b w:val="0"/>
                <w:color w:val="auto"/>
                <w:sz w:val="21"/>
                <w:szCs w:val="21"/>
                <w:lang w:eastAsia="zh-CN"/>
              </w:rPr>
              <w:t>）</w:t>
            </w:r>
          </w:p>
        </w:tc>
        <w:tc>
          <w:tcPr>
            <w:tcW w:w="0" w:type="dxa"/>
            <w:noWrap w:val="0"/>
            <w:vAlign w:val="center"/>
          </w:tcPr>
          <w:p w14:paraId="2AC51CC9">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color w:val="auto"/>
                <w:sz w:val="21"/>
                <w:szCs w:val="21"/>
                <w:lang w:val="en-US" w:eastAsia="zh-CN"/>
              </w:rPr>
              <w:t>/</w:t>
            </w:r>
          </w:p>
        </w:tc>
      </w:tr>
      <w:tr w14:paraId="14AD67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gridSpan w:val="2"/>
            <w:noWrap w:val="0"/>
            <w:vAlign w:val="center"/>
          </w:tcPr>
          <w:p w14:paraId="429F8F4E">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最高环境温度</w:t>
            </w:r>
          </w:p>
        </w:tc>
        <w:tc>
          <w:tcPr>
            <w:tcW w:w="0" w:type="dxa"/>
            <w:noWrap w:val="0"/>
            <w:vAlign w:val="center"/>
          </w:tcPr>
          <w:p w14:paraId="1A7E707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41.4°C</w:t>
            </w:r>
          </w:p>
        </w:tc>
      </w:tr>
      <w:tr w14:paraId="73E226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gridSpan w:val="2"/>
            <w:noWrap w:val="0"/>
            <w:vAlign w:val="center"/>
          </w:tcPr>
          <w:p w14:paraId="7C40B5C8">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最低环境温度</w:t>
            </w:r>
          </w:p>
        </w:tc>
        <w:tc>
          <w:tcPr>
            <w:tcW w:w="0" w:type="dxa"/>
            <w:noWrap w:val="0"/>
            <w:vAlign w:val="center"/>
          </w:tcPr>
          <w:p w14:paraId="64642E99">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lang w:val="en-US" w:eastAsia="zh-CN"/>
              </w:rPr>
              <w:t>-</w:t>
            </w:r>
            <w:r>
              <w:rPr>
                <w:rFonts w:hint="default" w:ascii="Times New Roman" w:hAnsi="Times New Roman" w:eastAsia="宋体" w:cs="Times New Roman"/>
                <w:b w:val="0"/>
                <w:color w:val="auto"/>
                <w:sz w:val="21"/>
                <w:szCs w:val="21"/>
              </w:rPr>
              <w:t>40.60</w:t>
            </w:r>
          </w:p>
        </w:tc>
      </w:tr>
      <w:tr w14:paraId="792B7B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gridSpan w:val="2"/>
            <w:noWrap w:val="0"/>
            <w:vAlign w:val="center"/>
          </w:tcPr>
          <w:p w14:paraId="5220EDB7">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土地利用类型</w:t>
            </w:r>
          </w:p>
        </w:tc>
        <w:tc>
          <w:tcPr>
            <w:tcW w:w="0" w:type="dxa"/>
            <w:noWrap w:val="0"/>
            <w:vAlign w:val="center"/>
          </w:tcPr>
          <w:p w14:paraId="5A8847E1">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农田</w:t>
            </w:r>
          </w:p>
        </w:tc>
      </w:tr>
      <w:tr w14:paraId="0E87F0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gridSpan w:val="2"/>
            <w:noWrap w:val="0"/>
            <w:vAlign w:val="center"/>
          </w:tcPr>
          <w:p w14:paraId="00172E85">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区域湿度条件</w:t>
            </w:r>
          </w:p>
        </w:tc>
        <w:tc>
          <w:tcPr>
            <w:tcW w:w="0" w:type="dxa"/>
            <w:noWrap w:val="0"/>
            <w:vAlign w:val="center"/>
          </w:tcPr>
          <w:p w14:paraId="0EF3139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color w:val="auto"/>
                <w:sz w:val="21"/>
                <w:szCs w:val="21"/>
                <w:lang w:val="en-US" w:eastAsia="zh-CN"/>
              </w:rPr>
              <w:t>中等湿度</w:t>
            </w:r>
          </w:p>
        </w:tc>
      </w:tr>
      <w:tr w14:paraId="077857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restart"/>
            <w:noWrap w:val="0"/>
            <w:vAlign w:val="center"/>
          </w:tcPr>
          <w:p w14:paraId="5F4B6149">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是否考虑地形</w:t>
            </w:r>
          </w:p>
        </w:tc>
        <w:tc>
          <w:tcPr>
            <w:tcW w:w="0" w:type="dxa"/>
            <w:noWrap w:val="0"/>
            <w:vAlign w:val="center"/>
          </w:tcPr>
          <w:p w14:paraId="2D25805B">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考虑地形</w:t>
            </w:r>
          </w:p>
        </w:tc>
        <w:tc>
          <w:tcPr>
            <w:tcW w:w="0" w:type="dxa"/>
            <w:noWrap w:val="0"/>
            <w:vAlign w:val="center"/>
          </w:tcPr>
          <w:p w14:paraId="436ABD4B">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是</w:t>
            </w:r>
          </w:p>
        </w:tc>
      </w:tr>
      <w:tr w14:paraId="5A4850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continue"/>
            <w:noWrap w:val="0"/>
            <w:vAlign w:val="center"/>
          </w:tcPr>
          <w:p w14:paraId="4E0C995C">
            <w:pPr>
              <w:jc w:val="center"/>
              <w:rPr>
                <w:rFonts w:hint="default" w:ascii="Times New Roman" w:hAnsi="Times New Roman" w:cs="Times New Roman"/>
                <w:color w:val="auto"/>
                <w:sz w:val="21"/>
                <w:szCs w:val="21"/>
              </w:rPr>
            </w:pPr>
          </w:p>
        </w:tc>
        <w:tc>
          <w:tcPr>
            <w:tcW w:w="0" w:type="dxa"/>
            <w:noWrap w:val="0"/>
            <w:vAlign w:val="center"/>
          </w:tcPr>
          <w:p w14:paraId="1693711C">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地形数据分辨率</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rPr>
              <w:t>m</w:t>
            </w:r>
            <w:r>
              <w:rPr>
                <w:rFonts w:hint="default" w:ascii="Times New Roman" w:hAnsi="Times New Roman" w:eastAsia="宋体" w:cs="Times New Roman"/>
                <w:b w:val="0"/>
                <w:color w:val="auto"/>
                <w:sz w:val="21"/>
                <w:szCs w:val="21"/>
                <w:lang w:eastAsia="zh-CN"/>
              </w:rPr>
              <w:t>）</w:t>
            </w:r>
          </w:p>
        </w:tc>
        <w:tc>
          <w:tcPr>
            <w:tcW w:w="0" w:type="dxa"/>
            <w:noWrap w:val="0"/>
            <w:vAlign w:val="center"/>
          </w:tcPr>
          <w:p w14:paraId="5B40694C">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90</w:t>
            </w:r>
          </w:p>
        </w:tc>
      </w:tr>
      <w:tr w14:paraId="511CBB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restart"/>
            <w:noWrap w:val="0"/>
            <w:vAlign w:val="center"/>
          </w:tcPr>
          <w:p w14:paraId="38779AB4">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是否考虑岸线熏烟</w:t>
            </w:r>
          </w:p>
        </w:tc>
        <w:tc>
          <w:tcPr>
            <w:tcW w:w="0" w:type="dxa"/>
            <w:noWrap w:val="0"/>
            <w:vAlign w:val="center"/>
          </w:tcPr>
          <w:p w14:paraId="769DEF29">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考虑岸线熏烟</w:t>
            </w:r>
          </w:p>
        </w:tc>
        <w:tc>
          <w:tcPr>
            <w:tcW w:w="0" w:type="dxa"/>
            <w:noWrap w:val="0"/>
            <w:vAlign w:val="center"/>
          </w:tcPr>
          <w:p w14:paraId="26FC4407">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否</w:t>
            </w:r>
          </w:p>
        </w:tc>
      </w:tr>
      <w:tr w14:paraId="1071AB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continue"/>
            <w:noWrap w:val="0"/>
            <w:vAlign w:val="center"/>
          </w:tcPr>
          <w:p w14:paraId="22934DD4">
            <w:pPr>
              <w:jc w:val="center"/>
              <w:rPr>
                <w:rFonts w:hint="default" w:ascii="Times New Roman" w:hAnsi="Times New Roman" w:cs="Times New Roman"/>
                <w:color w:val="auto"/>
                <w:sz w:val="21"/>
                <w:szCs w:val="21"/>
              </w:rPr>
            </w:pPr>
          </w:p>
        </w:tc>
        <w:tc>
          <w:tcPr>
            <w:tcW w:w="0" w:type="dxa"/>
            <w:noWrap w:val="0"/>
            <w:vAlign w:val="center"/>
          </w:tcPr>
          <w:p w14:paraId="00BDDD39">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岸线距离/m</w:t>
            </w:r>
          </w:p>
        </w:tc>
        <w:tc>
          <w:tcPr>
            <w:tcW w:w="0" w:type="dxa"/>
            <w:noWrap w:val="0"/>
            <w:vAlign w:val="center"/>
          </w:tcPr>
          <w:p w14:paraId="15601726">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w:t>
            </w:r>
          </w:p>
        </w:tc>
      </w:tr>
      <w:tr w14:paraId="14D75E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continue"/>
            <w:noWrap w:val="0"/>
            <w:vAlign w:val="center"/>
          </w:tcPr>
          <w:p w14:paraId="18533129">
            <w:pPr>
              <w:jc w:val="center"/>
              <w:rPr>
                <w:rFonts w:hint="default" w:ascii="Times New Roman" w:hAnsi="Times New Roman" w:cs="Times New Roman"/>
                <w:color w:val="auto"/>
                <w:sz w:val="21"/>
                <w:szCs w:val="21"/>
              </w:rPr>
            </w:pPr>
          </w:p>
        </w:tc>
        <w:tc>
          <w:tcPr>
            <w:tcW w:w="0" w:type="dxa"/>
            <w:noWrap w:val="0"/>
            <w:vAlign w:val="center"/>
          </w:tcPr>
          <w:p w14:paraId="5358106C">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岸线方向/°</w:t>
            </w:r>
          </w:p>
        </w:tc>
        <w:tc>
          <w:tcPr>
            <w:tcW w:w="0" w:type="dxa"/>
            <w:noWrap w:val="0"/>
            <w:vAlign w:val="center"/>
          </w:tcPr>
          <w:p w14:paraId="313F7DAF">
            <w:pPr>
              <w:jc w:val="center"/>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w:t>
            </w:r>
          </w:p>
        </w:tc>
      </w:tr>
    </w:tbl>
    <w:p w14:paraId="370DE4F6">
      <w:pPr>
        <w:pStyle w:val="5"/>
        <w:numPr>
          <w:ilvl w:val="0"/>
          <w:numId w:val="0"/>
        </w:numPr>
        <w:bidi w:val="0"/>
        <w:ind w:leftChars="0"/>
        <w:rPr>
          <w:rFonts w:hint="default" w:ascii="Times New Roman" w:hAnsi="Times New Roman" w:cs="Times New Roman"/>
          <w:color w:val="auto"/>
        </w:rPr>
      </w:pPr>
      <w:r>
        <w:rPr>
          <w:rFonts w:hint="default" w:ascii="Times New Roman" w:hAnsi="Times New Roman" w:cs="Times New Roman"/>
          <w:color w:val="auto"/>
          <w:lang w:val="en-US" w:eastAsia="zh-CN"/>
        </w:rPr>
        <w:t>5.2.1.4</w:t>
      </w:r>
      <w:r>
        <w:rPr>
          <w:rFonts w:hint="default" w:ascii="Times New Roman" w:hAnsi="Times New Roman" w:cs="Times New Roman"/>
          <w:color w:val="auto"/>
        </w:rPr>
        <w:t>评价工作等级确定</w:t>
      </w:r>
    </w:p>
    <w:p w14:paraId="02E77A35">
      <w:pPr>
        <w:pStyle w:val="1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color w:val="auto"/>
          <w:sz w:val="24"/>
          <w:lang w:eastAsia="zh-CN"/>
        </w:rPr>
      </w:pPr>
      <w:r>
        <w:rPr>
          <w:rFonts w:hint="default" w:ascii="Times New Roman" w:hAnsi="Times New Roman" w:eastAsia="宋体" w:cs="Times New Roman"/>
          <w:b w:val="0"/>
          <w:color w:val="auto"/>
          <w:sz w:val="24"/>
        </w:rPr>
        <w:t>本项目所有污染源的正常排放的污染物的Pmax和D</w:t>
      </w:r>
      <w:r>
        <w:rPr>
          <w:rFonts w:hint="default" w:ascii="Times New Roman" w:hAnsi="Times New Roman" w:eastAsia="宋体" w:cs="Times New Roman"/>
          <w:b w:val="0"/>
          <w:color w:val="auto"/>
          <w:sz w:val="24"/>
          <w:vertAlign w:val="subscript"/>
        </w:rPr>
        <w:t>10%</w:t>
      </w:r>
      <w:r>
        <w:rPr>
          <w:rFonts w:hint="default" w:ascii="Times New Roman" w:hAnsi="Times New Roman" w:eastAsia="宋体" w:cs="Times New Roman"/>
          <w:b w:val="0"/>
          <w:color w:val="auto"/>
          <w:sz w:val="24"/>
        </w:rPr>
        <w:t>预测结果如下</w:t>
      </w:r>
      <w:r>
        <w:rPr>
          <w:rFonts w:hint="default" w:ascii="Times New Roman" w:hAnsi="Times New Roman" w:eastAsia="宋体" w:cs="Times New Roman"/>
          <w:b w:val="0"/>
          <w:color w:val="auto"/>
          <w:sz w:val="24"/>
          <w:lang w:eastAsia="zh-CN"/>
        </w:rPr>
        <w:t>：</w:t>
      </w:r>
    </w:p>
    <w:p w14:paraId="59C803F3">
      <w:pPr>
        <w:pStyle w:val="14"/>
        <w:spacing w:line="480" w:lineRule="exact"/>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表</w:t>
      </w:r>
      <w:r>
        <w:rPr>
          <w:rFonts w:hint="default" w:ascii="Times New Roman" w:hAnsi="Times New Roman" w:eastAsia="宋体" w:cs="Times New Roman"/>
          <w:color w:val="FF0000"/>
        </w:rPr>
        <w:fldChar w:fldCharType="begin"/>
      </w:r>
      <w:r>
        <w:rPr>
          <w:rFonts w:hint="default" w:ascii="Times New Roman" w:hAnsi="Times New Roman" w:eastAsia="宋体" w:cs="Times New Roman"/>
          <w:color w:val="FF0000"/>
        </w:rPr>
        <w:instrText xml:space="preserve"> STYLEREF 2 \s </w:instrText>
      </w:r>
      <w:r>
        <w:rPr>
          <w:rFonts w:hint="default" w:ascii="Times New Roman" w:hAnsi="Times New Roman" w:eastAsia="宋体" w:cs="Times New Roman"/>
          <w:color w:val="FF0000"/>
        </w:rPr>
        <w:fldChar w:fldCharType="separate"/>
      </w:r>
      <w:r>
        <w:rPr>
          <w:rFonts w:hint="default" w:ascii="Times New Roman" w:hAnsi="Times New Roman" w:eastAsia="宋体" w:cs="Times New Roman"/>
          <w:color w:val="FF0000"/>
        </w:rPr>
        <w:t>5.2</w:t>
      </w:r>
      <w:r>
        <w:rPr>
          <w:rFonts w:hint="default" w:ascii="Times New Roman" w:hAnsi="Times New Roman" w:eastAsia="宋体" w:cs="Times New Roman"/>
          <w:color w:val="FF0000"/>
        </w:rPr>
        <w:fldChar w:fldCharType="end"/>
      </w:r>
      <w:r>
        <w:rPr>
          <w:rFonts w:hint="default" w:ascii="Times New Roman" w:hAnsi="Times New Roman" w:eastAsia="宋体" w:cs="Times New Roman"/>
          <w:color w:val="FF0000"/>
          <w:lang w:eastAsia="zh-CN"/>
        </w:rPr>
        <w:t>-</w:t>
      </w:r>
      <w:r>
        <w:rPr>
          <w:rFonts w:hint="default" w:ascii="Times New Roman" w:hAnsi="Times New Roman" w:eastAsia="宋体" w:cs="Times New Roman"/>
          <w:color w:val="FF0000"/>
        </w:rPr>
        <w:fldChar w:fldCharType="begin"/>
      </w:r>
      <w:r>
        <w:rPr>
          <w:rFonts w:hint="default" w:ascii="Times New Roman" w:hAnsi="Times New Roman" w:eastAsia="宋体" w:cs="Times New Roman"/>
          <w:color w:val="FF0000"/>
        </w:rPr>
        <w:instrText xml:space="preserve"> SEQ 表 \* ARABIC \s 2 </w:instrText>
      </w:r>
      <w:r>
        <w:rPr>
          <w:rFonts w:hint="default" w:ascii="Times New Roman" w:hAnsi="Times New Roman" w:eastAsia="宋体" w:cs="Times New Roman"/>
          <w:color w:val="FF0000"/>
        </w:rPr>
        <w:fldChar w:fldCharType="separate"/>
      </w:r>
      <w:r>
        <w:rPr>
          <w:rFonts w:hint="default" w:ascii="Times New Roman" w:hAnsi="Times New Roman" w:eastAsia="宋体" w:cs="Times New Roman"/>
          <w:color w:val="FF0000"/>
        </w:rPr>
        <w:t>5</w:t>
      </w:r>
      <w:r>
        <w:rPr>
          <w:rFonts w:hint="default" w:ascii="Times New Roman" w:hAnsi="Times New Roman" w:eastAsia="宋体" w:cs="Times New Roman"/>
          <w:color w:val="FF0000"/>
        </w:rPr>
        <w:fldChar w:fldCharType="end"/>
      </w:r>
      <w:r>
        <w:rPr>
          <w:rFonts w:hint="default" w:ascii="Times New Roman" w:hAnsi="Times New Roman" w:eastAsia="宋体" w:cs="Times New Roman"/>
          <w:color w:val="FF0000"/>
        </w:rPr>
        <w:t>Pmax和D</w:t>
      </w:r>
      <w:r>
        <w:rPr>
          <w:rFonts w:hint="default" w:ascii="Times New Roman" w:hAnsi="Times New Roman" w:eastAsia="宋体" w:cs="Times New Roman"/>
          <w:color w:val="FF0000"/>
          <w:vertAlign w:val="subscript"/>
        </w:rPr>
        <w:t>10%</w:t>
      </w:r>
      <w:r>
        <w:rPr>
          <w:rFonts w:hint="default" w:ascii="Times New Roman" w:hAnsi="Times New Roman" w:eastAsia="宋体" w:cs="Times New Roman"/>
          <w:color w:val="FF0000"/>
        </w:rPr>
        <w:t>预测和计算结果一览表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763"/>
        <w:gridCol w:w="1097"/>
        <w:gridCol w:w="1072"/>
        <w:gridCol w:w="874"/>
        <w:gridCol w:w="1243"/>
        <w:gridCol w:w="662"/>
        <w:gridCol w:w="1105"/>
      </w:tblGrid>
      <w:tr w14:paraId="5F9C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729" w:type="dxa"/>
            <w:tcBorders>
              <w:top w:val="single" w:color="auto" w:sz="2" w:space="0"/>
              <w:left w:val="single" w:color="auto" w:sz="2" w:space="0"/>
              <w:bottom w:val="single" w:color="auto" w:sz="2" w:space="0"/>
              <w:right w:val="single" w:color="auto" w:sz="2" w:space="0"/>
            </w:tcBorders>
            <w:noWrap w:val="0"/>
            <w:vAlign w:val="center"/>
          </w:tcPr>
          <w:p w14:paraId="5E53F0AD">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污染源</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64BC3363">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污染物名称</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172C28C8">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评价标准/</w:t>
            </w:r>
            <w:r>
              <w:rPr>
                <w:rFonts w:hint="default" w:ascii="Times New Roman" w:hAnsi="Times New Roman" w:eastAsia="宋体" w:cs="Times New Roman"/>
                <w:b w:val="0"/>
                <w:bCs w:val="0"/>
                <w:color w:val="FF0000"/>
                <w:sz w:val="21"/>
                <w:szCs w:val="21"/>
                <w:lang w:eastAsia="zh-CN"/>
              </w:rPr>
              <w:t>（</w:t>
            </w:r>
            <w:r>
              <w:rPr>
                <w:rFonts w:hint="default" w:ascii="Times New Roman" w:hAnsi="Times New Roman" w:eastAsia="宋体" w:cs="Times New Roman"/>
                <w:b w:val="0"/>
                <w:bCs w:val="0"/>
                <w:color w:val="FF0000"/>
                <w:sz w:val="21"/>
                <w:szCs w:val="21"/>
              </w:rPr>
              <w:t>μg/m³)</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271A869E">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最大落地浓度/</w:t>
            </w:r>
            <w:r>
              <w:rPr>
                <w:rFonts w:hint="default" w:ascii="Times New Roman" w:hAnsi="Times New Roman" w:eastAsia="宋体" w:cs="Times New Roman"/>
                <w:b w:val="0"/>
                <w:bCs w:val="0"/>
                <w:color w:val="FF0000"/>
                <w:sz w:val="21"/>
                <w:szCs w:val="21"/>
                <w:lang w:eastAsia="zh-CN"/>
              </w:rPr>
              <w:t>（</w:t>
            </w:r>
            <w:r>
              <w:rPr>
                <w:rFonts w:hint="default" w:ascii="Times New Roman" w:hAnsi="Times New Roman" w:eastAsia="宋体" w:cs="Times New Roman"/>
                <w:b w:val="0"/>
                <w:bCs w:val="0"/>
                <w:color w:val="FF0000"/>
                <w:sz w:val="21"/>
                <w:szCs w:val="21"/>
              </w:rPr>
              <w:t>μg/m³)</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61D7D772">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最大浓度落地点/m</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2B7AF457">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最大地面浓度占标率Pmax/%</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58656C85">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D</w:t>
            </w:r>
            <w:r>
              <w:rPr>
                <w:rFonts w:hint="default" w:ascii="Times New Roman" w:hAnsi="Times New Roman" w:eastAsia="宋体" w:cs="Times New Roman"/>
                <w:b w:val="0"/>
                <w:bCs w:val="0"/>
                <w:color w:val="FF0000"/>
                <w:sz w:val="21"/>
                <w:szCs w:val="21"/>
                <w:vertAlign w:val="subscript"/>
              </w:rPr>
              <w:t>10%/m</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4AF8350E">
            <w:pPr>
              <w:jc w:val="center"/>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FF0000"/>
                <w:sz w:val="21"/>
                <w:szCs w:val="21"/>
              </w:rPr>
              <w:t>推荐评价等级</w:t>
            </w:r>
          </w:p>
        </w:tc>
      </w:tr>
      <w:tr w14:paraId="2890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1729" w:type="dxa"/>
            <w:tcBorders>
              <w:top w:val="single" w:color="auto" w:sz="2" w:space="0"/>
              <w:left w:val="single" w:color="auto" w:sz="2" w:space="0"/>
              <w:right w:val="single" w:color="auto" w:sz="2" w:space="0"/>
            </w:tcBorders>
            <w:noWrap w:val="0"/>
            <w:vAlign w:val="center"/>
          </w:tcPr>
          <w:p w14:paraId="4F3EF9D8">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饲料加工</w:t>
            </w:r>
            <w:r>
              <w:rPr>
                <w:rFonts w:hint="default" w:ascii="Times New Roman" w:hAnsi="Times New Roman" w:eastAsia="宋体" w:cs="Times New Roman"/>
                <w:b w:val="0"/>
                <w:color w:val="FF0000"/>
                <w:sz w:val="21"/>
                <w:szCs w:val="21"/>
                <w:lang w:val="zh-CN" w:eastAsia="zh-CN" w:bidi="zh-CN"/>
              </w:rPr>
              <w:t>DA001</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1107B615">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PM10</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0D05CAB6">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450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323D1BD1">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7.572</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518E5994">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125.00</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7A0E9E06">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1.68</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63D85F15">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285F128A">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en-US" w:eastAsia="zh-CN" w:bidi="zh-CN"/>
              </w:rPr>
              <w:t>二</w:t>
            </w:r>
            <w:r>
              <w:rPr>
                <w:rFonts w:hint="default" w:ascii="Times New Roman" w:hAnsi="Times New Roman" w:eastAsia="宋体" w:cs="Times New Roman"/>
                <w:b w:val="0"/>
                <w:color w:val="FF0000"/>
                <w:sz w:val="21"/>
                <w:szCs w:val="21"/>
                <w:lang w:val="zh-CN" w:eastAsia="zh-CN" w:bidi="zh-CN"/>
              </w:rPr>
              <w:t>级评价</w:t>
            </w:r>
          </w:p>
        </w:tc>
      </w:tr>
      <w:tr w14:paraId="11AC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1729" w:type="dxa"/>
            <w:vMerge w:val="restart"/>
            <w:tcBorders>
              <w:top w:val="single" w:color="auto" w:sz="2" w:space="0"/>
              <w:left w:val="single" w:color="auto" w:sz="2" w:space="0"/>
              <w:right w:val="single" w:color="auto" w:sz="2" w:space="0"/>
            </w:tcBorders>
            <w:shd w:val="clear" w:color="auto" w:fill="auto"/>
            <w:noWrap w:val="0"/>
            <w:vAlign w:val="center"/>
          </w:tcPr>
          <w:p w14:paraId="0A4847D0">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鸡粪发酵处理场DA00</w:t>
            </w:r>
            <w:r>
              <w:rPr>
                <w:rFonts w:hint="default" w:ascii="Times New Roman" w:hAnsi="Times New Roman" w:eastAsia="宋体" w:cs="Times New Roman"/>
                <w:b w:val="0"/>
                <w:color w:val="FF0000"/>
                <w:sz w:val="21"/>
                <w:szCs w:val="21"/>
                <w:lang w:val="en-US" w:eastAsia="zh-CN" w:bidi="zh-CN"/>
              </w:rPr>
              <w:t>2</w:t>
            </w:r>
          </w:p>
        </w:tc>
        <w:tc>
          <w:tcPr>
            <w:tcW w:w="769"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550E87A6">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NH</w:t>
            </w:r>
            <w:r>
              <w:rPr>
                <w:rFonts w:hint="default" w:ascii="Times New Roman" w:hAnsi="Times New Roman" w:eastAsia="宋体" w:cs="Times New Roman"/>
                <w:b w:val="0"/>
                <w:color w:val="FF0000"/>
                <w:sz w:val="21"/>
                <w:szCs w:val="21"/>
                <w:vertAlign w:val="subscript"/>
                <w:lang w:val="zh-CN" w:eastAsia="zh-CN" w:bidi="zh-CN"/>
              </w:rPr>
              <w:t>3</w:t>
            </w:r>
          </w:p>
        </w:tc>
        <w:tc>
          <w:tcPr>
            <w:tcW w:w="1105"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181055A1">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200</w:t>
            </w:r>
          </w:p>
        </w:tc>
        <w:tc>
          <w:tcPr>
            <w:tcW w:w="108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9BE89EE">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0.291</w:t>
            </w:r>
          </w:p>
        </w:tc>
        <w:tc>
          <w:tcPr>
            <w:tcW w:w="881"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7530370">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125.00</w:t>
            </w:r>
          </w:p>
        </w:tc>
        <w:tc>
          <w:tcPr>
            <w:tcW w:w="12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0C1130DD">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0.15</w:t>
            </w:r>
          </w:p>
        </w:tc>
        <w:tc>
          <w:tcPr>
            <w:tcW w:w="667"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7EDBB18F">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388C160F">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r w14:paraId="1479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1729" w:type="dxa"/>
            <w:vMerge w:val="continue"/>
            <w:tcBorders>
              <w:left w:val="single" w:color="auto" w:sz="2" w:space="0"/>
              <w:right w:val="single" w:color="auto" w:sz="2" w:space="0"/>
            </w:tcBorders>
            <w:noWrap w:val="0"/>
            <w:vAlign w:val="center"/>
          </w:tcPr>
          <w:p w14:paraId="32C3D42B">
            <w:pPr>
              <w:jc w:val="center"/>
              <w:rPr>
                <w:rFonts w:hint="default" w:ascii="Times New Roman" w:hAnsi="Times New Roman" w:eastAsia="宋体" w:cs="Times New Roman"/>
                <w:b w:val="0"/>
                <w:color w:val="FF0000"/>
                <w:sz w:val="21"/>
                <w:szCs w:val="21"/>
                <w:lang w:val="en-US" w:eastAsia="zh-CN" w:bidi="zh-CN"/>
              </w:rPr>
            </w:pPr>
          </w:p>
        </w:tc>
        <w:tc>
          <w:tcPr>
            <w:tcW w:w="769"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B9E2CCF">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H</w:t>
            </w:r>
            <w:r>
              <w:rPr>
                <w:rFonts w:hint="default" w:ascii="Times New Roman" w:hAnsi="Times New Roman" w:eastAsia="宋体" w:cs="Times New Roman"/>
                <w:b w:val="0"/>
                <w:color w:val="FF0000"/>
                <w:sz w:val="21"/>
                <w:szCs w:val="21"/>
                <w:vertAlign w:val="subscript"/>
                <w:lang w:val="zh-CN" w:eastAsia="zh-CN" w:bidi="zh-CN"/>
              </w:rPr>
              <w:t>2</w:t>
            </w:r>
            <w:r>
              <w:rPr>
                <w:rFonts w:hint="default" w:ascii="Times New Roman" w:hAnsi="Times New Roman" w:eastAsia="宋体" w:cs="Times New Roman"/>
                <w:b w:val="0"/>
                <w:color w:val="FF0000"/>
                <w:sz w:val="21"/>
                <w:szCs w:val="21"/>
                <w:lang w:val="zh-CN" w:eastAsia="zh-CN" w:bidi="zh-CN"/>
              </w:rPr>
              <w:t>S</w:t>
            </w:r>
          </w:p>
        </w:tc>
        <w:tc>
          <w:tcPr>
            <w:tcW w:w="1105"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6898CE7F">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10</w:t>
            </w:r>
          </w:p>
        </w:tc>
        <w:tc>
          <w:tcPr>
            <w:tcW w:w="1080"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6E055AF9">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0.0861</w:t>
            </w:r>
          </w:p>
        </w:tc>
        <w:tc>
          <w:tcPr>
            <w:tcW w:w="881"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226E46C1">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125.00</w:t>
            </w:r>
          </w:p>
        </w:tc>
        <w:tc>
          <w:tcPr>
            <w:tcW w:w="1252"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6A2D1572">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0.29</w:t>
            </w:r>
          </w:p>
        </w:tc>
        <w:tc>
          <w:tcPr>
            <w:tcW w:w="667"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41870666">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shd w:val="clear" w:color="auto" w:fill="auto"/>
            <w:noWrap w:val="0"/>
            <w:vAlign w:val="center"/>
          </w:tcPr>
          <w:p w14:paraId="3FF0B8BE">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r w14:paraId="05F6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29" w:type="dxa"/>
            <w:vMerge w:val="restart"/>
            <w:tcBorders>
              <w:top w:val="single" w:color="auto" w:sz="2" w:space="0"/>
              <w:left w:val="single" w:color="auto" w:sz="2" w:space="0"/>
              <w:right w:val="single" w:color="auto" w:sz="2" w:space="0"/>
            </w:tcBorders>
            <w:noWrap w:val="0"/>
            <w:vAlign w:val="center"/>
          </w:tcPr>
          <w:p w14:paraId="73474218">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en-US" w:eastAsia="zh-CN" w:bidi="zh-CN"/>
              </w:rPr>
              <w:t>鸡舍</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5BE99211">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NH</w:t>
            </w:r>
            <w:r>
              <w:rPr>
                <w:rFonts w:hint="default" w:ascii="Times New Roman" w:hAnsi="Times New Roman" w:eastAsia="宋体" w:cs="Times New Roman"/>
                <w:b w:val="0"/>
                <w:color w:val="FF0000"/>
                <w:sz w:val="21"/>
                <w:szCs w:val="21"/>
                <w:vertAlign w:val="subscript"/>
                <w:lang w:val="zh-CN" w:eastAsia="zh-CN" w:bidi="zh-CN"/>
              </w:rPr>
              <w:t>3</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48103A64">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200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328C5AFB">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4.9270</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358E5FA2">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88</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693C3BC1">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2.4635</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7EA21538">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1ADC81E7">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二级评价</w:t>
            </w:r>
          </w:p>
        </w:tc>
      </w:tr>
      <w:tr w14:paraId="3114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29" w:type="dxa"/>
            <w:vMerge w:val="continue"/>
            <w:tcBorders>
              <w:left w:val="single" w:color="auto" w:sz="2" w:space="0"/>
              <w:right w:val="single" w:color="auto" w:sz="2" w:space="0"/>
            </w:tcBorders>
            <w:noWrap w:val="0"/>
            <w:vAlign w:val="center"/>
          </w:tcPr>
          <w:p w14:paraId="301735E7">
            <w:pPr>
              <w:jc w:val="center"/>
              <w:rPr>
                <w:rFonts w:hint="default" w:ascii="Times New Roman" w:hAnsi="Times New Roman" w:eastAsia="宋体" w:cs="Times New Roman"/>
                <w:b w:val="0"/>
                <w:color w:val="FF0000"/>
                <w:sz w:val="21"/>
                <w:szCs w:val="21"/>
                <w:lang w:val="zh-CN" w:eastAsia="zh-CN" w:bidi="zh-CN"/>
              </w:rPr>
            </w:pPr>
          </w:p>
        </w:tc>
        <w:tc>
          <w:tcPr>
            <w:tcW w:w="769" w:type="dxa"/>
            <w:tcBorders>
              <w:top w:val="single" w:color="auto" w:sz="2" w:space="0"/>
              <w:left w:val="single" w:color="auto" w:sz="2" w:space="0"/>
              <w:bottom w:val="single" w:color="auto" w:sz="2" w:space="0"/>
              <w:right w:val="single" w:color="auto" w:sz="2" w:space="0"/>
            </w:tcBorders>
            <w:noWrap w:val="0"/>
            <w:vAlign w:val="center"/>
          </w:tcPr>
          <w:p w14:paraId="37435404">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H</w:t>
            </w:r>
            <w:r>
              <w:rPr>
                <w:rFonts w:hint="default" w:ascii="Times New Roman" w:hAnsi="Times New Roman" w:eastAsia="宋体" w:cs="Times New Roman"/>
                <w:b w:val="0"/>
                <w:color w:val="FF0000"/>
                <w:sz w:val="21"/>
                <w:szCs w:val="21"/>
                <w:vertAlign w:val="subscript"/>
                <w:lang w:val="zh-CN" w:eastAsia="zh-CN" w:bidi="zh-CN"/>
              </w:rPr>
              <w:t>2</w:t>
            </w:r>
            <w:r>
              <w:rPr>
                <w:rFonts w:hint="default" w:ascii="Times New Roman" w:hAnsi="Times New Roman" w:eastAsia="宋体" w:cs="Times New Roman"/>
                <w:b w:val="0"/>
                <w:color w:val="FF0000"/>
                <w:sz w:val="21"/>
                <w:szCs w:val="21"/>
                <w:lang w:val="zh-CN" w:eastAsia="zh-CN" w:bidi="zh-CN"/>
              </w:rPr>
              <w:t>S</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698C0A85">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10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1B008999">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0.4927</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76D8C12C">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88</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64EDF67E">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4.9270</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5F98E0E6">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401740FD">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二级评价</w:t>
            </w:r>
          </w:p>
        </w:tc>
      </w:tr>
      <w:tr w14:paraId="06BA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29" w:type="dxa"/>
            <w:tcBorders>
              <w:left w:val="single" w:color="auto" w:sz="2" w:space="0"/>
              <w:right w:val="single" w:color="auto" w:sz="2" w:space="0"/>
            </w:tcBorders>
            <w:noWrap w:val="0"/>
            <w:vAlign w:val="center"/>
          </w:tcPr>
          <w:p w14:paraId="5BC68EA6">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en-US" w:eastAsia="zh-CN" w:bidi="zh-CN"/>
              </w:rPr>
              <w:t>饲料加工</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3C9A076C">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TSP</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25818261">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900.0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0676813D">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8.2414</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254C8B3F">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22</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327FBEEC">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0.9157</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3C69AF99">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3B2787FC">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r w14:paraId="364D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1729" w:type="dxa"/>
            <w:vMerge w:val="restart"/>
            <w:tcBorders>
              <w:left w:val="single" w:color="auto" w:sz="2" w:space="0"/>
              <w:right w:val="single" w:color="auto" w:sz="2" w:space="0"/>
            </w:tcBorders>
            <w:noWrap w:val="0"/>
            <w:vAlign w:val="center"/>
          </w:tcPr>
          <w:p w14:paraId="20E43220">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鸡粪发酵处理场</w:t>
            </w:r>
          </w:p>
        </w:tc>
        <w:tc>
          <w:tcPr>
            <w:tcW w:w="769" w:type="dxa"/>
            <w:tcBorders>
              <w:top w:val="single" w:color="auto" w:sz="2" w:space="0"/>
              <w:left w:val="single" w:color="auto" w:sz="2" w:space="0"/>
              <w:bottom w:val="single" w:color="auto" w:sz="2" w:space="0"/>
              <w:right w:val="single" w:color="auto" w:sz="2" w:space="0"/>
            </w:tcBorders>
            <w:noWrap w:val="0"/>
            <w:vAlign w:val="center"/>
          </w:tcPr>
          <w:p w14:paraId="6865F72F">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NH</w:t>
            </w:r>
            <w:r>
              <w:rPr>
                <w:rFonts w:hint="default" w:ascii="Times New Roman" w:hAnsi="Times New Roman" w:eastAsia="宋体" w:cs="Times New Roman"/>
                <w:b w:val="0"/>
                <w:color w:val="FF0000"/>
                <w:sz w:val="21"/>
                <w:szCs w:val="21"/>
                <w:vertAlign w:val="subscript"/>
                <w:lang w:val="zh-CN" w:eastAsia="zh-CN" w:bidi="zh-CN"/>
              </w:rPr>
              <w:t>3</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54822FBD">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200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69920803">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0.1279</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0CA6372F">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22</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6B2CB315">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0.0639</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6A7B7AEB">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63A85AE3">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r w14:paraId="0BA5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29" w:type="dxa"/>
            <w:vMerge w:val="continue"/>
            <w:tcBorders>
              <w:left w:val="single" w:color="auto" w:sz="2" w:space="0"/>
              <w:bottom w:val="single" w:color="auto" w:sz="2" w:space="0"/>
              <w:right w:val="single" w:color="auto" w:sz="2" w:space="0"/>
            </w:tcBorders>
            <w:noWrap w:val="0"/>
            <w:vAlign w:val="center"/>
          </w:tcPr>
          <w:p w14:paraId="37FA5D21">
            <w:pPr>
              <w:jc w:val="center"/>
              <w:rPr>
                <w:rFonts w:hint="default" w:ascii="Times New Roman" w:hAnsi="Times New Roman" w:eastAsia="宋体" w:cs="Times New Roman"/>
                <w:b w:val="0"/>
                <w:color w:val="FF0000"/>
                <w:sz w:val="21"/>
                <w:szCs w:val="21"/>
                <w:lang w:val="en-US" w:eastAsia="zh-CN" w:bidi="zh-CN"/>
              </w:rPr>
            </w:pPr>
          </w:p>
        </w:tc>
        <w:tc>
          <w:tcPr>
            <w:tcW w:w="769" w:type="dxa"/>
            <w:tcBorders>
              <w:top w:val="single" w:color="auto" w:sz="2" w:space="0"/>
              <w:left w:val="single" w:color="auto" w:sz="2" w:space="0"/>
              <w:bottom w:val="single" w:color="auto" w:sz="2" w:space="0"/>
              <w:right w:val="single" w:color="auto" w:sz="2" w:space="0"/>
            </w:tcBorders>
            <w:noWrap w:val="0"/>
            <w:vAlign w:val="center"/>
          </w:tcPr>
          <w:p w14:paraId="629FB5CB">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zh-CN" w:eastAsia="zh-CN" w:bidi="zh-CN"/>
              </w:rPr>
              <w:t>H</w:t>
            </w:r>
            <w:r>
              <w:rPr>
                <w:rFonts w:hint="default" w:ascii="Times New Roman" w:hAnsi="Times New Roman" w:eastAsia="宋体" w:cs="Times New Roman"/>
                <w:b w:val="0"/>
                <w:color w:val="FF0000"/>
                <w:sz w:val="21"/>
                <w:szCs w:val="21"/>
                <w:vertAlign w:val="subscript"/>
                <w:lang w:val="zh-CN" w:eastAsia="zh-CN" w:bidi="zh-CN"/>
              </w:rPr>
              <w:t>2</w:t>
            </w:r>
            <w:r>
              <w:rPr>
                <w:rFonts w:hint="default" w:ascii="Times New Roman" w:hAnsi="Times New Roman" w:eastAsia="宋体" w:cs="Times New Roman"/>
                <w:b w:val="0"/>
                <w:color w:val="FF0000"/>
                <w:sz w:val="21"/>
                <w:szCs w:val="21"/>
                <w:lang w:val="zh-CN" w:eastAsia="zh-CN" w:bidi="zh-CN"/>
              </w:rPr>
              <w:t>S</w:t>
            </w:r>
          </w:p>
        </w:tc>
        <w:tc>
          <w:tcPr>
            <w:tcW w:w="1105" w:type="dxa"/>
            <w:tcBorders>
              <w:top w:val="single" w:color="auto" w:sz="2" w:space="0"/>
              <w:left w:val="single" w:color="auto" w:sz="2" w:space="0"/>
              <w:bottom w:val="single" w:color="auto" w:sz="2" w:space="0"/>
              <w:right w:val="single" w:color="auto" w:sz="2" w:space="0"/>
            </w:tcBorders>
            <w:noWrap w:val="0"/>
            <w:vAlign w:val="center"/>
          </w:tcPr>
          <w:p w14:paraId="6EBFFB00">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10</w:t>
            </w:r>
          </w:p>
        </w:tc>
        <w:tc>
          <w:tcPr>
            <w:tcW w:w="1080" w:type="dxa"/>
            <w:tcBorders>
              <w:top w:val="single" w:color="auto" w:sz="2" w:space="0"/>
              <w:left w:val="single" w:color="auto" w:sz="2" w:space="0"/>
              <w:bottom w:val="single" w:color="auto" w:sz="2" w:space="0"/>
              <w:right w:val="single" w:color="auto" w:sz="2" w:space="0"/>
            </w:tcBorders>
            <w:noWrap w:val="0"/>
            <w:vAlign w:val="center"/>
          </w:tcPr>
          <w:p w14:paraId="5DC240AC">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0.0142</w:t>
            </w:r>
          </w:p>
        </w:tc>
        <w:tc>
          <w:tcPr>
            <w:tcW w:w="881" w:type="dxa"/>
            <w:tcBorders>
              <w:top w:val="single" w:color="auto" w:sz="2" w:space="0"/>
              <w:left w:val="single" w:color="auto" w:sz="2" w:space="0"/>
              <w:bottom w:val="single" w:color="auto" w:sz="2" w:space="0"/>
              <w:right w:val="single" w:color="auto" w:sz="2" w:space="0"/>
            </w:tcBorders>
            <w:noWrap w:val="0"/>
            <w:vAlign w:val="center"/>
          </w:tcPr>
          <w:p w14:paraId="7223C495">
            <w:pPr>
              <w:jc w:val="center"/>
              <w:rPr>
                <w:rFonts w:hint="default" w:ascii="Times New Roman" w:hAnsi="Times New Roman" w:eastAsia="宋体" w:cs="Times New Roman"/>
                <w:b w:val="0"/>
                <w:color w:val="FF0000"/>
                <w:sz w:val="21"/>
                <w:szCs w:val="21"/>
                <w:lang w:val="en-US" w:eastAsia="zh-CN" w:bidi="zh-CN"/>
              </w:rPr>
            </w:pPr>
            <w:r>
              <w:rPr>
                <w:rFonts w:hint="default" w:ascii="Times New Roman" w:hAnsi="Times New Roman" w:eastAsia="宋体" w:cs="Times New Roman"/>
                <w:b w:val="0"/>
                <w:color w:val="FF0000"/>
                <w:sz w:val="21"/>
                <w:szCs w:val="21"/>
                <w:lang w:val="en-US" w:eastAsia="zh-CN" w:bidi="zh-CN"/>
              </w:rPr>
              <w:t>22</w:t>
            </w:r>
          </w:p>
        </w:tc>
        <w:tc>
          <w:tcPr>
            <w:tcW w:w="1252" w:type="dxa"/>
            <w:tcBorders>
              <w:top w:val="single" w:color="auto" w:sz="2" w:space="0"/>
              <w:left w:val="single" w:color="auto" w:sz="2" w:space="0"/>
              <w:bottom w:val="single" w:color="auto" w:sz="2" w:space="0"/>
              <w:right w:val="single" w:color="auto" w:sz="2" w:space="0"/>
            </w:tcBorders>
            <w:noWrap w:val="0"/>
            <w:vAlign w:val="center"/>
          </w:tcPr>
          <w:p w14:paraId="34F4C616">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0.1421</w:t>
            </w:r>
          </w:p>
        </w:tc>
        <w:tc>
          <w:tcPr>
            <w:tcW w:w="667" w:type="dxa"/>
            <w:tcBorders>
              <w:top w:val="single" w:color="auto" w:sz="2" w:space="0"/>
              <w:left w:val="single" w:color="auto" w:sz="2" w:space="0"/>
              <w:bottom w:val="single" w:color="auto" w:sz="2" w:space="0"/>
              <w:right w:val="single" w:color="auto" w:sz="2" w:space="0"/>
            </w:tcBorders>
            <w:noWrap w:val="0"/>
            <w:vAlign w:val="center"/>
          </w:tcPr>
          <w:p w14:paraId="25301B74">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w:t>
            </w:r>
          </w:p>
        </w:tc>
        <w:tc>
          <w:tcPr>
            <w:tcW w:w="1113" w:type="dxa"/>
            <w:tcBorders>
              <w:top w:val="single" w:color="auto" w:sz="2" w:space="0"/>
              <w:left w:val="single" w:color="auto" w:sz="2" w:space="0"/>
              <w:bottom w:val="single" w:color="auto" w:sz="2" w:space="0"/>
              <w:right w:val="single" w:color="auto" w:sz="2" w:space="0"/>
            </w:tcBorders>
            <w:noWrap w:val="0"/>
            <w:vAlign w:val="center"/>
          </w:tcPr>
          <w:p w14:paraId="78AB7EB1">
            <w:pPr>
              <w:jc w:val="center"/>
              <w:rPr>
                <w:rFonts w:hint="default" w:ascii="Times New Roman" w:hAnsi="Times New Roman" w:eastAsia="宋体" w:cs="Times New Roman"/>
                <w:b w:val="0"/>
                <w:color w:val="FF0000"/>
                <w:sz w:val="21"/>
                <w:szCs w:val="21"/>
                <w:lang w:val="zh-CN" w:eastAsia="zh-CN" w:bidi="zh-CN"/>
              </w:rPr>
            </w:pPr>
            <w:r>
              <w:rPr>
                <w:rFonts w:hint="default" w:ascii="Times New Roman" w:hAnsi="Times New Roman" w:eastAsia="宋体" w:cs="Times New Roman"/>
                <w:b w:val="0"/>
                <w:color w:val="FF0000"/>
                <w:sz w:val="21"/>
                <w:szCs w:val="21"/>
                <w:lang w:val="zh-CN" w:eastAsia="zh-CN" w:bidi="zh-CN"/>
              </w:rPr>
              <w:t>三级评价</w:t>
            </w:r>
          </w:p>
        </w:tc>
      </w:tr>
    </w:tbl>
    <w:p w14:paraId="68B9EF00">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176"/>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FF0000"/>
          <w:sz w:val="24"/>
          <w:szCs w:val="24"/>
        </w:rPr>
        <w:t>本项目Pmax最大值出现为</w:t>
      </w:r>
      <w:r>
        <w:rPr>
          <w:rFonts w:hint="default" w:ascii="Times New Roman" w:hAnsi="Times New Roman" w:eastAsia="宋体" w:cs="Times New Roman"/>
          <w:color w:val="FF0000"/>
          <w:sz w:val="24"/>
          <w:szCs w:val="24"/>
          <w:lang w:eastAsia="zh-CN"/>
        </w:rPr>
        <w:t>鸡粪发酵</w:t>
      </w:r>
      <w:r>
        <w:rPr>
          <w:rFonts w:hint="eastAsia" w:ascii="Times New Roman" w:hAnsi="Times New Roman" w:cs="Times New Roman"/>
          <w:color w:val="FF0000"/>
          <w:sz w:val="24"/>
          <w:szCs w:val="24"/>
          <w:lang w:eastAsia="zh-CN"/>
        </w:rPr>
        <w:t>处理厂</w:t>
      </w:r>
      <w:r>
        <w:rPr>
          <w:rFonts w:hint="default" w:ascii="Times New Roman" w:hAnsi="Times New Roman" w:eastAsia="宋体" w:cs="Times New Roman"/>
          <w:color w:val="FF0000"/>
          <w:sz w:val="24"/>
          <w:szCs w:val="24"/>
        </w:rPr>
        <w:t>排放的NH</w:t>
      </w:r>
      <w:r>
        <w:rPr>
          <w:rFonts w:hint="default" w:ascii="Times New Roman" w:hAnsi="Times New Roman" w:eastAsia="宋体" w:cs="Times New Roman"/>
          <w:color w:val="FF0000"/>
          <w:sz w:val="24"/>
          <w:szCs w:val="24"/>
          <w:vertAlign w:val="subscript"/>
        </w:rPr>
        <w:t>3</w:t>
      </w:r>
      <w:r>
        <w:rPr>
          <w:rFonts w:hint="default" w:ascii="Times New Roman" w:hAnsi="Times New Roman" w:eastAsia="宋体" w:cs="Times New Roman"/>
          <w:color w:val="FF0000"/>
          <w:sz w:val="24"/>
          <w:szCs w:val="24"/>
        </w:rPr>
        <w:t>Pmax值为</w:t>
      </w:r>
      <w:r>
        <w:rPr>
          <w:rFonts w:hint="default" w:ascii="Times New Roman" w:hAnsi="Times New Roman" w:eastAsia="宋体" w:cs="Times New Roman"/>
          <w:color w:val="FF0000"/>
          <w:sz w:val="24"/>
          <w:szCs w:val="24"/>
          <w:lang w:val="en-US" w:eastAsia="zh-CN"/>
        </w:rPr>
        <w:t>4.927</w:t>
      </w:r>
      <w:r>
        <w:rPr>
          <w:rFonts w:hint="default" w:ascii="Times New Roman" w:hAnsi="Times New Roman" w:eastAsia="宋体" w:cs="Times New Roman"/>
          <w:color w:val="FF0000"/>
          <w:sz w:val="24"/>
          <w:szCs w:val="24"/>
        </w:rPr>
        <w:t>%，Cmax为</w:t>
      </w:r>
      <w:r>
        <w:rPr>
          <w:rFonts w:hint="default" w:ascii="Times New Roman" w:hAnsi="Times New Roman" w:eastAsia="宋体" w:cs="Times New Roman"/>
          <w:color w:val="FF0000"/>
          <w:sz w:val="24"/>
          <w:szCs w:val="24"/>
          <w:lang w:val="en-US" w:eastAsia="zh-CN"/>
        </w:rPr>
        <w:t>0.4927</w:t>
      </w:r>
      <w:r>
        <w:rPr>
          <w:rFonts w:hint="default" w:ascii="Times New Roman" w:hAnsi="Times New Roman" w:eastAsia="宋体" w:cs="Times New Roman"/>
          <w:color w:val="FF0000"/>
          <w:sz w:val="24"/>
          <w:szCs w:val="24"/>
        </w:rPr>
        <w:t>μg/m³。根据《环境影响评价技术导则大气环境》（HJ2.2-2018）分级判据，确定本项目大气环境影响评价工作等级为二级。</w:t>
      </w:r>
      <w:r>
        <w:rPr>
          <w:rFonts w:hint="default" w:ascii="Times New Roman" w:hAnsi="Times New Roman" w:cs="Times New Roman"/>
          <w:color w:val="FF0000"/>
          <w:sz w:val="24"/>
          <w:szCs w:val="24"/>
          <w:highlight w:val="none"/>
          <w:lang w:eastAsia="zh-CN"/>
        </w:rPr>
        <w:t>根据《环境影响评价技术导则大气环境》（HJ2.2-2018）内容，二级评价只对污染源排放量进行核算，不进行进一步预测与评价。</w:t>
      </w:r>
      <w:r>
        <w:rPr>
          <w:rFonts w:hint="default" w:ascii="Times New Roman" w:hAnsi="Times New Roman" w:cs="Times New Roman"/>
          <w:color w:val="auto"/>
          <w:sz w:val="24"/>
          <w:szCs w:val="24"/>
          <w:highlight w:val="none"/>
          <w:lang w:val="en-US" w:eastAsia="zh-CN"/>
        </w:rPr>
        <w:t>养殖场</w:t>
      </w:r>
      <w:r>
        <w:rPr>
          <w:rFonts w:hint="default" w:ascii="Times New Roman" w:hAnsi="Times New Roman" w:cs="Times New Roman"/>
          <w:color w:val="auto"/>
          <w:sz w:val="24"/>
          <w:szCs w:val="24"/>
          <w:highlight w:val="none"/>
        </w:rPr>
        <w:t>运营期间</w:t>
      </w:r>
      <w:r>
        <w:rPr>
          <w:rFonts w:hint="default" w:ascii="Times New Roman" w:hAnsi="Times New Roman" w:cs="Times New Roman"/>
          <w:color w:val="auto"/>
          <w:sz w:val="24"/>
          <w:szCs w:val="24"/>
          <w:highlight w:val="none"/>
          <w:lang w:eastAsia="zh-CN"/>
        </w:rPr>
        <w:t>鸡舍</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鸡粪发酵处理场</w:t>
      </w:r>
      <w:r>
        <w:rPr>
          <w:rFonts w:hint="default" w:ascii="Times New Roman" w:hAnsi="Times New Roman" w:cs="Times New Roman"/>
          <w:color w:val="auto"/>
          <w:sz w:val="24"/>
          <w:szCs w:val="24"/>
          <w:highlight w:val="none"/>
        </w:rPr>
        <w:t>呈无组织排放恶臭中主要污染因子NH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和H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S的最大地面浓度均满足《</w:t>
      </w:r>
      <w:r>
        <w:rPr>
          <w:rFonts w:hint="default" w:ascii="Times New Roman" w:hAnsi="Times New Roman" w:cs="Times New Roman"/>
          <w:color w:val="auto"/>
          <w:sz w:val="24"/>
          <w:szCs w:val="24"/>
          <w:highlight w:val="none"/>
          <w:lang w:eastAsia="zh-CN"/>
        </w:rPr>
        <w:t>恶臭污染物排放标准</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GB14554-93</w:t>
      </w:r>
      <w:r>
        <w:rPr>
          <w:rFonts w:hint="default" w:ascii="Times New Roman" w:hAnsi="Times New Roman" w:cs="Times New Roman"/>
          <w:color w:val="auto"/>
          <w:sz w:val="24"/>
          <w:szCs w:val="24"/>
          <w:highlight w:val="none"/>
        </w:rPr>
        <w:t>）中</w:t>
      </w:r>
      <w:r>
        <w:rPr>
          <w:rFonts w:hint="default" w:ascii="Times New Roman" w:hAnsi="Times New Roman" w:cs="Times New Roman"/>
          <w:color w:val="auto"/>
          <w:sz w:val="24"/>
          <w:szCs w:val="24"/>
          <w:highlight w:val="none"/>
          <w:lang w:eastAsia="zh-CN"/>
        </w:rPr>
        <w:t>表1恶臭污染物厂界标准值新扩改建二级标准</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1.5mg</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0.06mg</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）的要求</w:t>
      </w:r>
      <w:r>
        <w:rPr>
          <w:rFonts w:hint="default" w:ascii="Times New Roman" w:hAnsi="Times New Roman" w:cs="Times New Roman"/>
          <w:color w:val="auto"/>
          <w:sz w:val="24"/>
          <w:szCs w:val="24"/>
          <w:highlight w:val="none"/>
          <w:lang w:eastAsia="zh-CN"/>
        </w:rPr>
        <w:t>；饲料加工排放的粉尘最大落地浓度满足</w:t>
      </w:r>
      <w:r>
        <w:rPr>
          <w:rFonts w:hint="default" w:ascii="Times New Roman" w:hAnsi="Times New Roman" w:cs="Times New Roman"/>
          <w:color w:val="auto"/>
          <w:sz w:val="24"/>
          <w:szCs w:val="24"/>
          <w:highlight w:val="none"/>
        </w:rPr>
        <w:t>《大气污染物综合排放标准》</w:t>
      </w:r>
      <w:r>
        <w:rPr>
          <w:rFonts w:hint="default" w:ascii="Times New Roman" w:hAnsi="Times New Roman" w:eastAsia="宋体" w:cs="Times New Roman"/>
          <w:color w:val="auto"/>
          <w:sz w:val="24"/>
          <w:lang w:val="en-US" w:eastAsia="zh-CN"/>
        </w:rPr>
        <w:t>（GB16297-1996）表2二级（120mg/m³）标准要求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项目区地处开阔空旷平原地区，大气扩散条件</w:t>
      </w:r>
      <w:r>
        <w:rPr>
          <w:rFonts w:hint="default" w:ascii="Times New Roman" w:hAnsi="Times New Roman" w:cs="Times New Roman"/>
          <w:color w:val="0000FF"/>
          <w:sz w:val="24"/>
          <w:szCs w:val="24"/>
          <w:highlight w:val="none"/>
        </w:rPr>
        <w:t>较好，最大浓度落地点</w:t>
      </w:r>
      <w:r>
        <w:rPr>
          <w:rFonts w:hint="default" w:ascii="Times New Roman" w:hAnsi="Times New Roman" w:cs="Times New Roman"/>
          <w:color w:val="0000FF"/>
          <w:sz w:val="24"/>
          <w:szCs w:val="24"/>
          <w:highlight w:val="none"/>
          <w:lang w:val="en-US" w:eastAsia="zh-CN"/>
        </w:rPr>
        <w:t>为125米，最近的敏感目标为南侧的188团9连，距离644m</w:t>
      </w:r>
      <w:r>
        <w:rPr>
          <w:rFonts w:hint="default" w:ascii="Times New Roman" w:hAnsi="Times New Roman" w:eastAsia="宋体" w:cs="Times New Roman"/>
          <w:color w:val="0000FF"/>
          <w:sz w:val="24"/>
          <w:szCs w:val="24"/>
          <w:highlight w:val="none"/>
          <w:lang w:val="en-US" w:eastAsia="zh-CN"/>
        </w:rPr>
        <w:t>，故本项目运营期间产生恶臭、粉尘对项目区及周边区域大气环境及人群产生的影响较小。</w:t>
      </w:r>
    </w:p>
    <w:p w14:paraId="6D2B5C23">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5.2.1.5</w:t>
      </w:r>
      <w:r>
        <w:rPr>
          <w:rFonts w:hint="default" w:ascii="Times New Roman" w:hAnsi="Times New Roman" w:cs="Times New Roman"/>
          <w:color w:val="auto"/>
          <w:lang w:val="en-US"/>
        </w:rPr>
        <w:t>大气环境防护距离</w:t>
      </w:r>
    </w:p>
    <w:p w14:paraId="3BAA6F4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大气环境防护距离即为保护人群健康，减少正常排放条件下大气污染物对居住区的环境影响，在项目厂界以外设置的环境防护距离。在大气环境防护距离内不应有长期居住的人群。</w:t>
      </w:r>
    </w:p>
    <w:p w14:paraId="267474E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评价采用推荐模式中的大气环境防护距离模式计算各无组织源的大气环境防护距离。计算出的距离是以污染源中心点为起点的控制距离，并结合厂区平面布置图，确定控制距离范围，超出厂界以外的范围，即为项目大气环境防护区域。计算结果显示本项目运营期间主要无组织废气排放源在正常工况下均无超标点，故本项目无需设置大气环境防护距离。</w:t>
      </w:r>
    </w:p>
    <w:p w14:paraId="40C3D529">
      <w:pPr>
        <w:pStyle w:val="5"/>
        <w:numPr>
          <w:ilvl w:val="0"/>
          <w:numId w:val="0"/>
        </w:numPr>
        <w:bidi w:val="0"/>
        <w:ind w:leftChars="0"/>
        <w:rPr>
          <w:rFonts w:hint="default" w:ascii="Times New Roman" w:hAnsi="Times New Roman" w:cs="Times New Roman"/>
          <w:color w:val="auto"/>
          <w:lang w:val="en-US"/>
        </w:rPr>
      </w:pPr>
      <w:r>
        <w:rPr>
          <w:rFonts w:hint="default" w:ascii="Times New Roman" w:hAnsi="Times New Roman" w:cs="Times New Roman"/>
          <w:color w:val="auto"/>
          <w:lang w:val="en-US" w:eastAsia="zh-CN"/>
        </w:rPr>
        <w:t>5.2.1.6</w:t>
      </w:r>
      <w:r>
        <w:rPr>
          <w:rFonts w:hint="default" w:ascii="Times New Roman" w:hAnsi="Times New Roman" w:cs="Times New Roman"/>
          <w:color w:val="auto"/>
          <w:lang w:val="en-US"/>
        </w:rPr>
        <w:t>卫生防护距离</w:t>
      </w:r>
    </w:p>
    <w:p w14:paraId="05CA5B0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依照《畜禽养殖业污染防治技术规范》（HJ/T81-2001）中相关规定和要求：畜禽养殖场应避开禁建区域，包括生活饮用水源保护区、风景名胜区、自然保护区的核心区和缓冲区等；城市和城镇居民区，包括文教科研区、医疗区、商业区、游览区等人口集中的地区；县级人民政府依法划定的禁养区域；国家或地方法律法规规定的需要特殊保护的其他区域；新建畜禽养殖场应建设在禁建区域常年主导风向的下风向或侧风向处，并且场界与禁建区域边界最小距离不得小于500m。本项目卫生防护距离为500m（自项目区边界算起）。根据现场调查结果，在最终确定的本项目的卫生防护距离范围内目前没有居住区、学校、医院、商超、机关及企事业单位、风景区、保护区等环境敏感目标分布，今后该防护距离范围内不应规划学校、医院、居民区等敏感目标。</w:t>
      </w:r>
    </w:p>
    <w:p w14:paraId="25AA5E9F">
      <w:pPr>
        <w:pStyle w:val="5"/>
        <w:numPr>
          <w:ilvl w:val="0"/>
          <w:numId w:val="0"/>
        </w:numPr>
        <w:bidi w:val="0"/>
        <w:ind w:leftChars="0"/>
        <w:rPr>
          <w:rFonts w:hint="default" w:ascii="Times New Roman" w:hAnsi="Times New Roman" w:cs="Times New Roman"/>
          <w:color w:val="auto"/>
          <w:lang w:val="en-US"/>
        </w:rPr>
      </w:pPr>
      <w:r>
        <w:rPr>
          <w:rFonts w:hint="default" w:ascii="Times New Roman" w:hAnsi="Times New Roman" w:cs="Times New Roman"/>
          <w:color w:val="auto"/>
          <w:lang w:val="en-US" w:eastAsia="zh-CN"/>
        </w:rPr>
        <w:t>5.2.1.7</w:t>
      </w:r>
      <w:r>
        <w:rPr>
          <w:rFonts w:hint="default" w:ascii="Times New Roman" w:hAnsi="Times New Roman" w:cs="Times New Roman"/>
          <w:color w:val="auto"/>
          <w:lang w:val="en-US"/>
        </w:rPr>
        <w:t>大气环境影响定性分析</w:t>
      </w:r>
    </w:p>
    <w:p w14:paraId="63630CA4">
      <w:pPr>
        <w:pStyle w:val="16"/>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根据《畜禽养殖业污染防治技术规范》（HJ/T81-2001）中关于养殖业恶臭污染物排放的规定，养殖区臭气浓度必须控制在70以下。为减轻</w:t>
      </w:r>
      <w:r>
        <w:rPr>
          <w:rFonts w:hint="default" w:ascii="Times New Roman" w:hAnsi="Times New Roman" w:cs="Times New Roman"/>
          <w:color w:val="auto"/>
          <w:lang w:val="en-US" w:eastAsia="zh-CN"/>
        </w:rPr>
        <w:t>鸡的</w:t>
      </w:r>
      <w:r>
        <w:rPr>
          <w:rFonts w:hint="default" w:ascii="Times New Roman" w:hAnsi="Times New Roman" w:cs="Times New Roman"/>
          <w:color w:val="auto"/>
        </w:rPr>
        <w:t>排泄物气味的污染，在臭气逸散比较明显的地方，例如</w:t>
      </w:r>
      <w:r>
        <w:rPr>
          <w:rFonts w:hint="default" w:ascii="Times New Roman" w:hAnsi="Times New Roman" w:cs="Times New Roman"/>
          <w:color w:val="auto"/>
          <w:lang w:eastAsia="zh-CN"/>
        </w:rPr>
        <w:t>鸡舍</w:t>
      </w:r>
      <w:r>
        <w:rPr>
          <w:rFonts w:hint="default" w:ascii="Times New Roman" w:hAnsi="Times New Roman" w:cs="Times New Roman"/>
          <w:color w:val="auto"/>
        </w:rPr>
        <w:t>、粪污塘等处</w:t>
      </w:r>
      <w:r>
        <w:rPr>
          <w:rFonts w:hint="default" w:ascii="Times New Roman" w:hAnsi="Times New Roman" w:cs="Times New Roman"/>
          <w:color w:val="auto"/>
          <w:lang w:eastAsia="zh-CN"/>
        </w:rPr>
        <w:t>喷洒</w:t>
      </w:r>
      <w:r>
        <w:rPr>
          <w:rFonts w:hint="default" w:ascii="Times New Roman" w:hAnsi="Times New Roman" w:cs="Times New Roman"/>
          <w:color w:val="auto"/>
        </w:rPr>
        <w:t>生物环保除臭剂。</w:t>
      </w:r>
    </w:p>
    <w:p w14:paraId="25C2B8E4">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rPr>
        <w:t>经采取物理或化学消臭措施后，在</w:t>
      </w:r>
      <w:r>
        <w:rPr>
          <w:rFonts w:hint="default" w:ascii="Times New Roman" w:hAnsi="Times New Roman" w:cs="Times New Roman"/>
          <w:color w:val="auto"/>
          <w:lang w:eastAsia="zh-CN"/>
        </w:rPr>
        <w:t>养殖场</w:t>
      </w:r>
      <w:r>
        <w:rPr>
          <w:rFonts w:hint="default" w:ascii="Times New Roman" w:hAnsi="Times New Roman" w:cs="Times New Roman"/>
          <w:color w:val="auto"/>
        </w:rPr>
        <w:t>厂界外无明显臭味，臭气浓度能够达到《畜禽养殖业污染物排放标准》（GB18596-2001）中集约化畜禽养殖业恶臭污染物排放标准中臭气浓度≤70的要求；根据恶臭扩散规律的已有监测数据，一般情况下，距离增加1倍，臭气浓度下降一半以下，即距离增加4倍，臭气浓度下降到十分之一以下。说明恶臭经一段距离后，臭气对外界影响甚微。</w:t>
      </w:r>
    </w:p>
    <w:p w14:paraId="2568D8D3">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本项目</w:t>
      </w:r>
      <w:r>
        <w:rPr>
          <w:rFonts w:hint="default" w:ascii="Times New Roman" w:hAnsi="Times New Roman" w:cs="Times New Roman"/>
          <w:color w:val="auto"/>
          <w:lang w:val="en-US" w:eastAsia="zh-CN"/>
        </w:rPr>
        <w:t>养殖场</w:t>
      </w:r>
      <w:r>
        <w:rPr>
          <w:rFonts w:hint="default" w:ascii="Times New Roman" w:hAnsi="Times New Roman" w:cs="Times New Roman"/>
          <w:color w:val="auto"/>
          <w:lang w:val="en-US"/>
        </w:rPr>
        <w:t>设有食堂提供早、中、晚餐</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食堂油烟拟采用油烟净化器进行处理，处理效率约</w:t>
      </w:r>
      <w:r>
        <w:rPr>
          <w:rFonts w:hint="default" w:ascii="Times New Roman" w:hAnsi="Times New Roman" w:cs="Times New Roman"/>
          <w:color w:val="auto"/>
          <w:lang w:val="en-US" w:eastAsia="zh-CN"/>
        </w:rPr>
        <w:t>65</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处理后餐饮油烟满足</w:t>
      </w:r>
      <w:r>
        <w:rPr>
          <w:rFonts w:hint="default" w:ascii="Times New Roman" w:hAnsi="Times New Roman" w:cs="Times New Roman"/>
          <w:color w:val="auto"/>
          <w:lang w:val="en-US"/>
        </w:rPr>
        <w:t>《饮食业油烟排放标准（试行）》（GB18483-2001）中2.0mg/m</w:t>
      </w:r>
      <w:r>
        <w:rPr>
          <w:rFonts w:hint="default" w:ascii="Times New Roman" w:hAnsi="Times New Roman" w:cs="Times New Roman"/>
          <w:color w:val="auto"/>
          <w:vertAlign w:val="superscript"/>
          <w:lang w:val="en-US"/>
        </w:rPr>
        <w:t>3</w:t>
      </w:r>
      <w:r>
        <w:rPr>
          <w:rFonts w:hint="default" w:ascii="Times New Roman" w:hAnsi="Times New Roman" w:cs="Times New Roman"/>
          <w:color w:val="auto"/>
          <w:lang w:val="en-US"/>
        </w:rPr>
        <w:t>的标准要求</w:t>
      </w:r>
      <w:r>
        <w:rPr>
          <w:rFonts w:hint="default" w:ascii="Times New Roman" w:hAnsi="Times New Roman" w:cs="Times New Roman"/>
          <w:color w:val="auto"/>
          <w:lang w:val="en-US" w:eastAsia="zh-CN"/>
        </w:rPr>
        <w:t>，对环境影响很小。</w:t>
      </w:r>
    </w:p>
    <w:p w14:paraId="303FDBB5">
      <w:pPr>
        <w:pStyle w:val="5"/>
        <w:numPr>
          <w:ilvl w:val="0"/>
          <w:numId w:val="0"/>
        </w:numPr>
        <w:bidi w:val="0"/>
        <w:ind w:leftChars="0"/>
        <w:rPr>
          <w:rFonts w:hint="default" w:ascii="Times New Roman" w:hAnsi="Times New Roman" w:cs="Times New Roman"/>
          <w:color w:val="auto"/>
          <w:lang w:val="en-US"/>
        </w:rPr>
      </w:pPr>
      <w:r>
        <w:rPr>
          <w:rFonts w:hint="default" w:ascii="Times New Roman" w:hAnsi="Times New Roman" w:cs="Times New Roman"/>
          <w:color w:val="auto"/>
          <w:lang w:val="en-US" w:eastAsia="zh-CN"/>
        </w:rPr>
        <w:t>5.2.1.8</w:t>
      </w:r>
      <w:r>
        <w:rPr>
          <w:rFonts w:hint="default" w:ascii="Times New Roman" w:hAnsi="Times New Roman" w:cs="Times New Roman"/>
          <w:color w:val="auto"/>
          <w:lang w:val="en-US"/>
        </w:rPr>
        <w:t>污染物排放量核算结果</w:t>
      </w:r>
    </w:p>
    <w:p w14:paraId="33D4463C">
      <w:pPr>
        <w:pStyle w:val="16"/>
        <w:bidi w:val="0"/>
        <w:rPr>
          <w:rFonts w:hint="default" w:ascii="Times New Roman" w:hAnsi="Times New Roman" w:cs="Times New Roman"/>
          <w:color w:val="auto"/>
        </w:rPr>
      </w:pPr>
      <w:r>
        <w:rPr>
          <w:rFonts w:hint="default" w:ascii="Times New Roman" w:hAnsi="Times New Roman" w:cs="Times New Roman"/>
          <w:color w:val="auto"/>
        </w:rPr>
        <w:t>按评价工作级别的划分原则，环境空气影响评价等级为二级。根据《环境影响评价技术导则大气环境》（HJ2.2-2018），二级评价项目不进行进一步预测与评价，只对污染物排放量进行核算。本项目大气污染物</w:t>
      </w:r>
      <w:r>
        <w:rPr>
          <w:rFonts w:hint="default" w:ascii="Times New Roman" w:hAnsi="Times New Roman" w:cs="Times New Roman"/>
          <w:color w:val="auto"/>
          <w:lang w:val="en-US"/>
        </w:rPr>
        <w:t>有</w:t>
      </w:r>
      <w:r>
        <w:rPr>
          <w:rFonts w:hint="default" w:ascii="Times New Roman" w:hAnsi="Times New Roman" w:cs="Times New Roman"/>
          <w:color w:val="auto"/>
          <w:highlight w:val="none"/>
          <w:lang w:val="en-US"/>
        </w:rPr>
        <w:t>组织排放量核算表见表5.2-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、大气污染物无组织排放量核算表见表5.2</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14:paraId="3ECF9CF1">
      <w:pPr>
        <w:pStyle w:val="16"/>
        <w:bidi w:val="0"/>
        <w:rPr>
          <w:rFonts w:hint="default" w:ascii="Times New Roman" w:hAnsi="Times New Roman" w:cs="Times New Roman"/>
          <w:b/>
          <w:bCs/>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有</w:t>
      </w:r>
      <w:r>
        <w:rPr>
          <w:rFonts w:hint="default" w:ascii="Times New Roman" w:hAnsi="Times New Roman" w:cs="Times New Roman"/>
          <w:color w:val="auto"/>
        </w:rPr>
        <w:t>组织排放量核算</w:t>
      </w:r>
    </w:p>
    <w:p w14:paraId="6E2D882C">
      <w:pPr>
        <w:pStyle w:val="14"/>
        <w:ind w:firstLine="0" w:firstLineChars="0"/>
        <w:jc w:val="center"/>
        <w:rPr>
          <w:rFonts w:hint="default" w:ascii="Times New Roman" w:hAnsi="Times New Roman" w:cs="Times New Roman"/>
          <w:b/>
          <w:bCs/>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
          <w:bCs/>
        </w:rPr>
        <w:t>项目大气污染物有组织排放核算表</w:t>
      </w:r>
    </w:p>
    <w:tbl>
      <w:tblPr>
        <w:tblStyle w:val="33"/>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1"/>
        <w:gridCol w:w="1177"/>
        <w:gridCol w:w="886"/>
        <w:gridCol w:w="2288"/>
        <w:gridCol w:w="1987"/>
        <w:gridCol w:w="1388"/>
      </w:tblGrid>
      <w:tr w14:paraId="54A7E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361" w:type="pct"/>
            <w:noWrap w:val="0"/>
            <w:vAlign w:val="center"/>
          </w:tcPr>
          <w:p w14:paraId="34D6898C">
            <w:pPr>
              <w:widowControl w:val="0"/>
              <w:autoSpaceDE w:val="0"/>
              <w:autoSpaceDN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pacing w:val="-5"/>
                <w:sz w:val="21"/>
                <w:szCs w:val="21"/>
              </w:rPr>
              <w:t>序号</w:t>
            </w:r>
          </w:p>
        </w:tc>
        <w:tc>
          <w:tcPr>
            <w:tcW w:w="707" w:type="pct"/>
            <w:noWrap w:val="0"/>
            <w:vAlign w:val="center"/>
          </w:tcPr>
          <w:p w14:paraId="6E997186">
            <w:pPr>
              <w:widowControl w:val="0"/>
              <w:autoSpaceDE w:val="0"/>
              <w:autoSpaceDN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pacing w:val="-2"/>
                <w:sz w:val="21"/>
                <w:szCs w:val="21"/>
              </w:rPr>
              <w:t>排放口编号</w:t>
            </w:r>
          </w:p>
        </w:tc>
        <w:tc>
          <w:tcPr>
            <w:tcW w:w="532" w:type="pct"/>
            <w:noWrap w:val="0"/>
            <w:vAlign w:val="center"/>
          </w:tcPr>
          <w:p w14:paraId="0A49AEE5">
            <w:pPr>
              <w:widowControl w:val="0"/>
              <w:autoSpaceDE w:val="0"/>
              <w:autoSpaceDN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pacing w:val="-4"/>
                <w:sz w:val="21"/>
                <w:szCs w:val="21"/>
              </w:rPr>
              <w:t>污染物</w:t>
            </w:r>
          </w:p>
        </w:tc>
        <w:tc>
          <w:tcPr>
            <w:tcW w:w="1374" w:type="pct"/>
            <w:noWrap w:val="0"/>
            <w:vAlign w:val="center"/>
          </w:tcPr>
          <w:p w14:paraId="0CD229CB">
            <w:pPr>
              <w:widowControl w:val="0"/>
              <w:autoSpaceDE w:val="0"/>
              <w:autoSpaceDN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pacing w:val="-2"/>
                <w:sz w:val="21"/>
                <w:szCs w:val="21"/>
              </w:rPr>
              <w:t>核算排放浓度</w:t>
            </w:r>
            <w:r>
              <w:rPr>
                <w:rFonts w:hint="default" w:ascii="Times New Roman" w:hAnsi="Times New Roman" w:cs="Times New Roman"/>
                <w:b/>
                <w:bCs/>
                <w:spacing w:val="-3"/>
                <w:sz w:val="21"/>
                <w:szCs w:val="21"/>
              </w:rPr>
              <w:t>（mg/m</w:t>
            </w:r>
            <w:r>
              <w:rPr>
                <w:rFonts w:hint="default" w:ascii="Times New Roman" w:hAnsi="Times New Roman" w:cs="Times New Roman"/>
                <w:b/>
                <w:bCs/>
                <w:spacing w:val="-3"/>
                <w:sz w:val="21"/>
                <w:szCs w:val="21"/>
                <w:vertAlign w:val="superscript"/>
                <w:lang w:val="en-US" w:eastAsia="zh-CN"/>
              </w:rPr>
              <w:t>3</w:t>
            </w:r>
            <w:r>
              <w:rPr>
                <w:rFonts w:hint="default" w:ascii="Times New Roman" w:hAnsi="Times New Roman" w:cs="Times New Roman"/>
                <w:b/>
                <w:bCs/>
                <w:spacing w:val="-3"/>
                <w:sz w:val="21"/>
                <w:szCs w:val="21"/>
              </w:rPr>
              <w:t>）</w:t>
            </w:r>
          </w:p>
        </w:tc>
        <w:tc>
          <w:tcPr>
            <w:tcW w:w="1193" w:type="pct"/>
            <w:noWrap w:val="0"/>
            <w:vAlign w:val="center"/>
          </w:tcPr>
          <w:p w14:paraId="26700441">
            <w:pPr>
              <w:widowControl w:val="0"/>
              <w:autoSpaceDE w:val="0"/>
              <w:autoSpaceDN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pacing w:val="-2"/>
                <w:sz w:val="21"/>
                <w:szCs w:val="21"/>
              </w:rPr>
              <w:t>核算排放速率</w:t>
            </w:r>
            <w:r>
              <w:rPr>
                <w:rFonts w:hint="default" w:ascii="Times New Roman" w:hAnsi="Times New Roman" w:cs="Times New Roman"/>
                <w:b/>
                <w:bCs/>
                <w:spacing w:val="-3"/>
                <w:sz w:val="21"/>
                <w:szCs w:val="21"/>
              </w:rPr>
              <w:t>（kg/h）</w:t>
            </w:r>
          </w:p>
        </w:tc>
        <w:tc>
          <w:tcPr>
            <w:tcW w:w="830" w:type="pct"/>
            <w:noWrap w:val="0"/>
            <w:vAlign w:val="center"/>
          </w:tcPr>
          <w:p w14:paraId="064BAD7A">
            <w:pPr>
              <w:widowControl w:val="0"/>
              <w:autoSpaceDE w:val="0"/>
              <w:autoSpaceDN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pacing w:val="-2"/>
                <w:sz w:val="21"/>
                <w:szCs w:val="21"/>
              </w:rPr>
              <w:t>核算年排放量</w:t>
            </w:r>
          </w:p>
          <w:p w14:paraId="1B93FA83">
            <w:pPr>
              <w:widowControl w:val="0"/>
              <w:autoSpaceDE w:val="0"/>
              <w:autoSpaceDN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pacing w:val="-3"/>
                <w:sz w:val="21"/>
                <w:szCs w:val="21"/>
              </w:rPr>
              <w:t>（t/a）</w:t>
            </w:r>
          </w:p>
        </w:tc>
      </w:tr>
      <w:tr w14:paraId="23188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000" w:type="pct"/>
            <w:gridSpan w:val="6"/>
            <w:noWrap w:val="0"/>
            <w:vAlign w:val="center"/>
          </w:tcPr>
          <w:p w14:paraId="04D4370F">
            <w:pPr>
              <w:widowControl w:val="0"/>
              <w:autoSpaceDE w:val="0"/>
              <w:autoSpaceDN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pacing w:val="-3"/>
                <w:sz w:val="21"/>
                <w:szCs w:val="21"/>
                <w:lang w:val="en-US" w:eastAsia="zh-CN"/>
              </w:rPr>
              <w:t>一般</w:t>
            </w:r>
            <w:r>
              <w:rPr>
                <w:rFonts w:hint="default" w:ascii="Times New Roman" w:hAnsi="Times New Roman" w:cs="Times New Roman"/>
                <w:spacing w:val="-3"/>
                <w:sz w:val="21"/>
                <w:szCs w:val="21"/>
              </w:rPr>
              <w:t>排放口</w:t>
            </w:r>
          </w:p>
        </w:tc>
      </w:tr>
      <w:tr w14:paraId="13F6F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61" w:type="pct"/>
            <w:noWrap w:val="0"/>
            <w:vAlign w:val="center"/>
          </w:tcPr>
          <w:p w14:paraId="337E4A01">
            <w:pPr>
              <w:widowControl w:val="0"/>
              <w:autoSpaceDE w:val="0"/>
              <w:autoSpaceDN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07" w:type="pct"/>
            <w:noWrap w:val="0"/>
            <w:vAlign w:val="center"/>
          </w:tcPr>
          <w:p w14:paraId="356B8933">
            <w:pPr>
              <w:widowControl w:val="0"/>
              <w:autoSpaceDE w:val="0"/>
              <w:autoSpaceDN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pacing w:val="-2"/>
                <w:sz w:val="21"/>
                <w:szCs w:val="21"/>
              </w:rPr>
              <w:t>DA001</w:t>
            </w:r>
          </w:p>
        </w:tc>
        <w:tc>
          <w:tcPr>
            <w:tcW w:w="532" w:type="pct"/>
            <w:noWrap w:val="0"/>
            <w:vAlign w:val="center"/>
          </w:tcPr>
          <w:p w14:paraId="7DEB4ED7">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颗粒物</w:t>
            </w:r>
          </w:p>
        </w:tc>
        <w:tc>
          <w:tcPr>
            <w:tcW w:w="1374" w:type="pct"/>
            <w:noWrap w:val="0"/>
            <w:vAlign w:val="center"/>
          </w:tcPr>
          <w:p w14:paraId="7CD1FC81">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26.71</w:t>
            </w:r>
          </w:p>
        </w:tc>
        <w:tc>
          <w:tcPr>
            <w:tcW w:w="1193" w:type="pct"/>
            <w:noWrap w:val="0"/>
            <w:vAlign w:val="center"/>
          </w:tcPr>
          <w:p w14:paraId="7571BE0C">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pacing w:val="3"/>
                <w:sz w:val="21"/>
                <w:szCs w:val="21"/>
              </w:rPr>
              <w:t>0.</w:t>
            </w:r>
            <w:r>
              <w:rPr>
                <w:rFonts w:hint="default" w:ascii="Times New Roman" w:hAnsi="Times New Roman" w:cs="Times New Roman"/>
                <w:spacing w:val="3"/>
                <w:sz w:val="21"/>
                <w:szCs w:val="21"/>
                <w:lang w:val="en-US" w:eastAsia="zh-CN"/>
              </w:rPr>
              <w:t>053</w:t>
            </w:r>
          </w:p>
        </w:tc>
        <w:tc>
          <w:tcPr>
            <w:tcW w:w="830" w:type="pct"/>
            <w:noWrap w:val="0"/>
            <w:vAlign w:val="center"/>
          </w:tcPr>
          <w:p w14:paraId="23DECBAE">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0.078</w:t>
            </w:r>
          </w:p>
        </w:tc>
      </w:tr>
      <w:tr w14:paraId="32344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61" w:type="pct"/>
            <w:noWrap w:val="0"/>
            <w:vAlign w:val="center"/>
          </w:tcPr>
          <w:p w14:paraId="42C1A2F7">
            <w:pPr>
              <w:widowControl w:val="0"/>
              <w:autoSpaceDE w:val="0"/>
              <w:autoSpaceDN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707" w:type="pct"/>
            <w:vMerge w:val="restart"/>
            <w:noWrap w:val="0"/>
            <w:vAlign w:val="center"/>
          </w:tcPr>
          <w:p w14:paraId="36BB77AF">
            <w:pPr>
              <w:widowControl w:val="0"/>
              <w:autoSpaceDE w:val="0"/>
              <w:autoSpaceDN w:val="0"/>
              <w:spacing w:line="240" w:lineRule="auto"/>
              <w:ind w:firstLine="0" w:firstLineChars="0"/>
              <w:jc w:val="center"/>
              <w:rPr>
                <w:rFonts w:hint="default" w:ascii="Times New Roman" w:hAnsi="Times New Roman" w:cs="Times New Roman"/>
                <w:spacing w:val="-2"/>
                <w:sz w:val="21"/>
                <w:szCs w:val="21"/>
              </w:rPr>
            </w:pPr>
            <w:r>
              <w:rPr>
                <w:rFonts w:hint="default" w:ascii="Times New Roman" w:hAnsi="Times New Roman" w:cs="Times New Roman"/>
                <w:spacing w:val="-2"/>
                <w:sz w:val="21"/>
                <w:szCs w:val="21"/>
              </w:rPr>
              <w:t>DA001</w:t>
            </w:r>
          </w:p>
        </w:tc>
        <w:tc>
          <w:tcPr>
            <w:tcW w:w="532" w:type="pct"/>
            <w:noWrap w:val="0"/>
            <w:vAlign w:val="center"/>
          </w:tcPr>
          <w:p w14:paraId="0A518F6B">
            <w:pPr>
              <w:pStyle w:val="69"/>
              <w:spacing w:line="252" w:lineRule="exact"/>
              <w:ind w:left="-79" w:leftChars="-36" w:right="-93" w:righ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highlight w:val="none"/>
              </w:rPr>
              <w:t>NH</w:t>
            </w:r>
            <w:r>
              <w:rPr>
                <w:rFonts w:hint="default" w:ascii="Times New Roman" w:hAnsi="Times New Roman" w:eastAsia="宋体" w:cs="Times New Roman"/>
                <w:color w:val="auto"/>
                <w:sz w:val="21"/>
                <w:highlight w:val="none"/>
                <w:vertAlign w:val="subscript"/>
              </w:rPr>
              <w:t>3</w:t>
            </w:r>
          </w:p>
        </w:tc>
        <w:tc>
          <w:tcPr>
            <w:tcW w:w="2288" w:type="dxa"/>
            <w:shd w:val="clear" w:color="auto" w:fill="auto"/>
            <w:noWrap w:val="0"/>
            <w:vAlign w:val="center"/>
          </w:tcPr>
          <w:p w14:paraId="5F1497C2">
            <w:pPr>
              <w:ind w:left="-119" w:leftChars="-54" w:right="-109" w:rightChars="0" w:firstLine="0" w:firstLineChars="0"/>
              <w:jc w:val="center"/>
              <w:rPr>
                <w:rFonts w:hint="default" w:ascii="Times New Roman" w:hAnsi="Times New Roman" w:cs="Times New Roman"/>
                <w:sz w:val="21"/>
                <w:szCs w:val="21"/>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0.017</w:t>
            </w:r>
          </w:p>
        </w:tc>
        <w:tc>
          <w:tcPr>
            <w:tcW w:w="1987" w:type="dxa"/>
            <w:noWrap w:val="0"/>
            <w:vAlign w:val="center"/>
          </w:tcPr>
          <w:p w14:paraId="5331B205">
            <w:pPr>
              <w:keepNext w:val="0"/>
              <w:keepLines w:val="0"/>
              <w:widowControl/>
              <w:suppressLineNumbers w:val="0"/>
              <w:jc w:val="center"/>
              <w:textAlignment w:val="center"/>
              <w:rPr>
                <w:rFonts w:hint="default" w:ascii="Times New Roman" w:hAnsi="Times New Roman" w:cs="Times New Roman"/>
                <w:spacing w:val="3"/>
                <w:sz w:val="21"/>
                <w:szCs w:val="21"/>
              </w:rPr>
            </w:pPr>
            <w:r>
              <w:rPr>
                <w:rFonts w:hint="default" w:ascii="Times New Roman" w:hAnsi="Times New Roman" w:eastAsia="宋体" w:cs="Times New Roman"/>
                <w:snapToGrid w:val="0"/>
                <w:color w:val="FF0000"/>
                <w:sz w:val="21"/>
                <w:szCs w:val="22"/>
                <w:highlight w:val="none"/>
                <w:lang w:val="en-US" w:eastAsia="zh-CN" w:bidi="zh-CN"/>
              </w:rPr>
              <w:t>0.002</w:t>
            </w:r>
          </w:p>
        </w:tc>
        <w:tc>
          <w:tcPr>
            <w:tcW w:w="1388" w:type="dxa"/>
            <w:noWrap w:val="0"/>
            <w:vAlign w:val="center"/>
          </w:tcPr>
          <w:p w14:paraId="6688565C">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snapToGrid w:val="0"/>
                <w:color w:val="FF0000"/>
                <w:sz w:val="21"/>
                <w:szCs w:val="22"/>
                <w:highlight w:val="none"/>
                <w:lang w:val="en-US" w:eastAsia="zh-CN" w:bidi="zh-CN"/>
              </w:rPr>
              <w:t>0.015</w:t>
            </w:r>
          </w:p>
        </w:tc>
      </w:tr>
      <w:tr w14:paraId="43C82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61" w:type="pct"/>
            <w:noWrap w:val="0"/>
            <w:vAlign w:val="center"/>
          </w:tcPr>
          <w:p w14:paraId="1FD2104B">
            <w:pPr>
              <w:widowControl w:val="0"/>
              <w:autoSpaceDE w:val="0"/>
              <w:autoSpaceDN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707" w:type="pct"/>
            <w:vMerge w:val="continue"/>
            <w:noWrap w:val="0"/>
            <w:vAlign w:val="center"/>
          </w:tcPr>
          <w:p w14:paraId="0C78CEE8">
            <w:pPr>
              <w:widowControl w:val="0"/>
              <w:autoSpaceDE w:val="0"/>
              <w:autoSpaceDN w:val="0"/>
              <w:spacing w:line="240" w:lineRule="auto"/>
              <w:ind w:firstLine="0" w:firstLineChars="0"/>
              <w:jc w:val="center"/>
              <w:rPr>
                <w:rFonts w:hint="default" w:ascii="Times New Roman" w:hAnsi="Times New Roman" w:cs="Times New Roman"/>
                <w:spacing w:val="-2"/>
                <w:sz w:val="21"/>
                <w:szCs w:val="21"/>
              </w:rPr>
            </w:pPr>
          </w:p>
        </w:tc>
        <w:tc>
          <w:tcPr>
            <w:tcW w:w="532" w:type="pct"/>
            <w:noWrap w:val="0"/>
            <w:vAlign w:val="center"/>
          </w:tcPr>
          <w:p w14:paraId="313EAC59">
            <w:pPr>
              <w:pStyle w:val="69"/>
              <w:spacing w:line="252" w:lineRule="exact"/>
              <w:ind w:left="-79" w:leftChars="-36" w:right="-93" w:righ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highlight w:val="none"/>
              </w:rPr>
              <w:t>H</w:t>
            </w:r>
            <w:r>
              <w:rPr>
                <w:rFonts w:hint="default" w:ascii="Times New Roman" w:hAnsi="Times New Roman" w:eastAsia="宋体" w:cs="Times New Roman"/>
                <w:color w:val="auto"/>
                <w:sz w:val="21"/>
                <w:highlight w:val="none"/>
                <w:vertAlign w:val="subscript"/>
              </w:rPr>
              <w:t>2</w:t>
            </w:r>
            <w:r>
              <w:rPr>
                <w:rFonts w:hint="default" w:ascii="Times New Roman" w:hAnsi="Times New Roman" w:eastAsia="宋体" w:cs="Times New Roman"/>
                <w:color w:val="auto"/>
                <w:sz w:val="21"/>
                <w:highlight w:val="none"/>
              </w:rPr>
              <w:t>S</w:t>
            </w:r>
          </w:p>
        </w:tc>
        <w:tc>
          <w:tcPr>
            <w:tcW w:w="2288" w:type="dxa"/>
            <w:shd w:val="clear" w:color="auto" w:fill="auto"/>
            <w:noWrap w:val="0"/>
            <w:vAlign w:val="center"/>
          </w:tcPr>
          <w:p w14:paraId="3558325C">
            <w:pPr>
              <w:ind w:left="-119" w:leftChars="-54" w:right="-109" w:rightChars="0" w:firstLine="0" w:firstLineChars="0"/>
              <w:jc w:val="center"/>
              <w:rPr>
                <w:rFonts w:hint="default" w:ascii="Times New Roman" w:hAnsi="Times New Roman" w:cs="Times New Roman"/>
                <w:sz w:val="21"/>
                <w:szCs w:val="21"/>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0.002</w:t>
            </w:r>
          </w:p>
        </w:tc>
        <w:tc>
          <w:tcPr>
            <w:tcW w:w="1987" w:type="dxa"/>
            <w:noWrap w:val="0"/>
            <w:vAlign w:val="center"/>
          </w:tcPr>
          <w:p w14:paraId="57D8999E">
            <w:pPr>
              <w:keepNext w:val="0"/>
              <w:keepLines w:val="0"/>
              <w:widowControl/>
              <w:suppressLineNumbers w:val="0"/>
              <w:jc w:val="center"/>
              <w:textAlignment w:val="center"/>
              <w:rPr>
                <w:rFonts w:hint="default" w:ascii="Times New Roman" w:hAnsi="Times New Roman" w:cs="Times New Roman"/>
                <w:spacing w:val="3"/>
                <w:sz w:val="21"/>
                <w:szCs w:val="21"/>
              </w:rPr>
            </w:pPr>
            <w:r>
              <w:rPr>
                <w:rFonts w:hint="default" w:ascii="Times New Roman" w:hAnsi="Times New Roman" w:eastAsia="宋体" w:cs="Times New Roman"/>
                <w:snapToGrid w:val="0"/>
                <w:color w:val="FF0000"/>
                <w:sz w:val="21"/>
                <w:szCs w:val="22"/>
                <w:highlight w:val="none"/>
                <w:lang w:val="en-US" w:eastAsia="zh-CN" w:bidi="zh-CN"/>
              </w:rPr>
              <w:t>0.0002</w:t>
            </w:r>
          </w:p>
        </w:tc>
        <w:tc>
          <w:tcPr>
            <w:tcW w:w="1388" w:type="dxa"/>
            <w:noWrap w:val="0"/>
            <w:vAlign w:val="center"/>
          </w:tcPr>
          <w:p w14:paraId="7324A940">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snapToGrid w:val="0"/>
                <w:color w:val="FF0000"/>
                <w:sz w:val="21"/>
                <w:szCs w:val="22"/>
                <w:highlight w:val="none"/>
                <w:lang w:val="en-US" w:eastAsia="zh-CN" w:bidi="zh-CN"/>
              </w:rPr>
              <w:t>0.002</w:t>
            </w:r>
          </w:p>
        </w:tc>
      </w:tr>
    </w:tbl>
    <w:p w14:paraId="207CC3E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rPr>
        <w:t>无</w:t>
      </w:r>
      <w:r>
        <w:rPr>
          <w:rFonts w:hint="default" w:ascii="Times New Roman" w:hAnsi="Times New Roman" w:cs="Times New Roman"/>
          <w:color w:val="auto"/>
        </w:rPr>
        <w:t>组织排放量核算</w:t>
      </w:r>
    </w:p>
    <w:p w14:paraId="00881CF9">
      <w:pPr>
        <w:pStyle w:val="14"/>
        <w:bidi w:val="0"/>
        <w:rPr>
          <w:rFonts w:hint="default" w:ascii="Times New Roman" w:hAnsi="Times New Roman" w:cs="Times New Roman"/>
          <w:color w:val="auto"/>
          <w:lang w:eastAsia="zh-C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color w:val="auto"/>
        </w:rPr>
        <w:t>项目大气污染物无组织排放量核算表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737"/>
        <w:gridCol w:w="816"/>
        <w:gridCol w:w="1608"/>
        <w:gridCol w:w="1936"/>
        <w:gridCol w:w="1488"/>
        <w:gridCol w:w="1014"/>
      </w:tblGrid>
      <w:tr w14:paraId="55C0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Merge w:val="restart"/>
            <w:noWrap w:val="0"/>
            <w:vAlign w:val="center"/>
          </w:tcPr>
          <w:p w14:paraId="331AAF29">
            <w:pPr>
              <w:pStyle w:val="69"/>
              <w:spacing w:line="252" w:lineRule="exact"/>
              <w:ind w:left="-79" w:leftChars="-36" w:right="-93"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排放口</w:t>
            </w:r>
          </w:p>
        </w:tc>
        <w:tc>
          <w:tcPr>
            <w:tcW w:w="432" w:type="pct"/>
            <w:vMerge w:val="restart"/>
            <w:noWrap w:val="0"/>
            <w:vAlign w:val="center"/>
          </w:tcPr>
          <w:p w14:paraId="517B6987">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产污</w:t>
            </w:r>
          </w:p>
          <w:p w14:paraId="6F0AB4F5">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环节</w:t>
            </w:r>
          </w:p>
        </w:tc>
        <w:tc>
          <w:tcPr>
            <w:tcW w:w="478" w:type="pct"/>
            <w:vMerge w:val="restart"/>
            <w:noWrap w:val="0"/>
            <w:vAlign w:val="center"/>
          </w:tcPr>
          <w:p w14:paraId="1D1E3D24">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污染物</w:t>
            </w:r>
          </w:p>
        </w:tc>
        <w:tc>
          <w:tcPr>
            <w:tcW w:w="942" w:type="pct"/>
            <w:vMerge w:val="restart"/>
            <w:noWrap w:val="0"/>
            <w:vAlign w:val="center"/>
          </w:tcPr>
          <w:p w14:paraId="6E038E9F">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主要污染防治措施</w:t>
            </w:r>
          </w:p>
        </w:tc>
        <w:tc>
          <w:tcPr>
            <w:tcW w:w="2006" w:type="pct"/>
            <w:gridSpan w:val="2"/>
            <w:noWrap w:val="0"/>
            <w:vAlign w:val="center"/>
          </w:tcPr>
          <w:p w14:paraId="2A6CFB01">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国家或地方污染物排放标准</w:t>
            </w:r>
          </w:p>
        </w:tc>
        <w:tc>
          <w:tcPr>
            <w:tcW w:w="594" w:type="pct"/>
            <w:vMerge w:val="restart"/>
            <w:noWrap w:val="0"/>
            <w:vAlign w:val="center"/>
          </w:tcPr>
          <w:p w14:paraId="787554CD">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年排放量/（t/a）</w:t>
            </w:r>
          </w:p>
        </w:tc>
      </w:tr>
      <w:tr w14:paraId="4DCE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Merge w:val="continue"/>
            <w:noWrap w:val="0"/>
            <w:vAlign w:val="center"/>
          </w:tcPr>
          <w:p w14:paraId="6A356F68">
            <w:pPr>
              <w:pStyle w:val="69"/>
              <w:spacing w:line="252" w:lineRule="exact"/>
              <w:ind w:left="-79" w:leftChars="-36" w:right="-93" w:rightChars="0" w:firstLine="0" w:firstLineChars="0"/>
              <w:rPr>
                <w:rFonts w:hint="default" w:ascii="Times New Roman" w:hAnsi="Times New Roman" w:cs="Times New Roman"/>
                <w:color w:val="auto"/>
                <w:sz w:val="21"/>
                <w:highlight w:val="none"/>
              </w:rPr>
            </w:pPr>
          </w:p>
        </w:tc>
        <w:tc>
          <w:tcPr>
            <w:tcW w:w="432" w:type="pct"/>
            <w:vMerge w:val="continue"/>
            <w:noWrap w:val="0"/>
            <w:vAlign w:val="center"/>
          </w:tcPr>
          <w:p w14:paraId="6D881D7D">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478" w:type="pct"/>
            <w:vMerge w:val="continue"/>
            <w:noWrap w:val="0"/>
            <w:vAlign w:val="center"/>
          </w:tcPr>
          <w:p w14:paraId="249ABBD0">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942" w:type="pct"/>
            <w:vMerge w:val="continue"/>
            <w:noWrap w:val="0"/>
            <w:vAlign w:val="center"/>
          </w:tcPr>
          <w:p w14:paraId="144DFC66">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1134" w:type="pct"/>
            <w:noWrap w:val="0"/>
            <w:vAlign w:val="center"/>
          </w:tcPr>
          <w:p w14:paraId="2FAAC787">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标准名称</w:t>
            </w:r>
          </w:p>
        </w:tc>
        <w:tc>
          <w:tcPr>
            <w:tcW w:w="871" w:type="pct"/>
            <w:noWrap w:val="0"/>
            <w:vAlign w:val="center"/>
          </w:tcPr>
          <w:p w14:paraId="5C74CD17">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浓度限值/（mg/m</w:t>
            </w:r>
            <w:r>
              <w:rPr>
                <w:rFonts w:hint="default" w:ascii="Times New Roman" w:hAnsi="Times New Roman" w:eastAsia="宋体" w:cs="Times New Roman"/>
                <w:color w:val="auto"/>
                <w:sz w:val="21"/>
                <w:highlight w:val="none"/>
                <w:vertAlign w:val="superscript"/>
              </w:rPr>
              <w:t>3</w:t>
            </w:r>
            <w:r>
              <w:rPr>
                <w:rFonts w:hint="default" w:ascii="Times New Roman" w:hAnsi="Times New Roman" w:eastAsia="宋体" w:cs="Times New Roman"/>
                <w:color w:val="auto"/>
                <w:sz w:val="21"/>
                <w:highlight w:val="none"/>
              </w:rPr>
              <w:t>）</w:t>
            </w:r>
          </w:p>
        </w:tc>
        <w:tc>
          <w:tcPr>
            <w:tcW w:w="594" w:type="pct"/>
            <w:vMerge w:val="continue"/>
            <w:noWrap w:val="0"/>
            <w:vAlign w:val="center"/>
          </w:tcPr>
          <w:p w14:paraId="3AA51960">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r>
      <w:tr w14:paraId="2BCB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545" w:type="pct"/>
            <w:noWrap w:val="0"/>
            <w:vAlign w:val="center"/>
          </w:tcPr>
          <w:p w14:paraId="24058652">
            <w:pPr>
              <w:pStyle w:val="69"/>
              <w:spacing w:line="252" w:lineRule="exact"/>
              <w:ind w:left="-79" w:leftChars="-36" w:right="-93" w:rightChars="0"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饲料加工</w:t>
            </w:r>
          </w:p>
        </w:tc>
        <w:tc>
          <w:tcPr>
            <w:tcW w:w="432" w:type="pct"/>
            <w:noWrap w:val="0"/>
            <w:vAlign w:val="center"/>
          </w:tcPr>
          <w:p w14:paraId="58320BB9">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sz w:val="21"/>
                <w:highlight w:val="none"/>
                <w:lang w:val="en-US" w:eastAsia="zh-CN"/>
              </w:rPr>
              <w:t>饲料加工</w:t>
            </w:r>
          </w:p>
        </w:tc>
        <w:tc>
          <w:tcPr>
            <w:tcW w:w="478" w:type="pct"/>
            <w:noWrap w:val="0"/>
            <w:vAlign w:val="center"/>
          </w:tcPr>
          <w:p w14:paraId="54D7F0B1">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sz w:val="21"/>
                <w:szCs w:val="21"/>
                <w:lang w:val="en-US" w:eastAsia="zh-CN"/>
              </w:rPr>
              <w:t>颗粒物</w:t>
            </w:r>
          </w:p>
        </w:tc>
        <w:tc>
          <w:tcPr>
            <w:tcW w:w="942" w:type="pct"/>
            <w:noWrap w:val="0"/>
            <w:vAlign w:val="center"/>
          </w:tcPr>
          <w:p w14:paraId="669405C3">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w:t>
            </w:r>
          </w:p>
        </w:tc>
        <w:tc>
          <w:tcPr>
            <w:tcW w:w="1134" w:type="pct"/>
            <w:noWrap w:val="0"/>
            <w:vAlign w:val="center"/>
          </w:tcPr>
          <w:p w14:paraId="78CEE904">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《大气污染物综合排放标准》（GB16297-1996）表2二级标准要求</w:t>
            </w:r>
          </w:p>
        </w:tc>
        <w:tc>
          <w:tcPr>
            <w:tcW w:w="871" w:type="pct"/>
            <w:noWrap w:val="0"/>
            <w:vAlign w:val="center"/>
          </w:tcPr>
          <w:p w14:paraId="0DD89DD6">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1.0</w:t>
            </w:r>
          </w:p>
        </w:tc>
        <w:tc>
          <w:tcPr>
            <w:tcW w:w="594" w:type="pct"/>
            <w:tcBorders>
              <w:top w:val="single" w:color="000000" w:sz="4" w:space="0"/>
            </w:tcBorders>
            <w:noWrap w:val="0"/>
            <w:vAlign w:val="center"/>
          </w:tcPr>
          <w:p w14:paraId="250A16B4">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0.086</w:t>
            </w:r>
          </w:p>
        </w:tc>
      </w:tr>
      <w:tr w14:paraId="4955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545" w:type="pct"/>
            <w:vMerge w:val="restart"/>
            <w:noWrap w:val="0"/>
            <w:vAlign w:val="center"/>
          </w:tcPr>
          <w:p w14:paraId="23F85937">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鸡舍</w:t>
            </w:r>
          </w:p>
        </w:tc>
        <w:tc>
          <w:tcPr>
            <w:tcW w:w="432" w:type="pct"/>
            <w:vMerge w:val="restart"/>
            <w:noWrap w:val="0"/>
            <w:vAlign w:val="center"/>
          </w:tcPr>
          <w:p w14:paraId="1E12941C">
            <w:pPr>
              <w:pStyle w:val="69"/>
              <w:spacing w:line="252" w:lineRule="exact"/>
              <w:ind w:left="-79" w:leftChars="-36" w:right="-93" w:rightChars="0" w:firstLine="0" w:firstLineChars="0"/>
              <w:rPr>
                <w:rFonts w:hint="default" w:ascii="Times New Roman" w:hAnsi="Times New Roman" w:eastAsia="宋体" w:cs="Times New Roman"/>
                <w:color w:val="auto"/>
                <w:sz w:val="21"/>
                <w:szCs w:val="22"/>
                <w:highlight w:val="none"/>
                <w:lang w:val="zh-CN" w:eastAsia="zh-CN" w:bidi="zh-CN"/>
              </w:rPr>
            </w:pPr>
            <w:r>
              <w:rPr>
                <w:rFonts w:hint="default" w:ascii="Times New Roman" w:hAnsi="Times New Roman" w:eastAsia="宋体" w:cs="Times New Roman"/>
                <w:color w:val="auto"/>
                <w:sz w:val="21"/>
                <w:highlight w:val="none"/>
              </w:rPr>
              <w:t>养殖</w:t>
            </w:r>
          </w:p>
        </w:tc>
        <w:tc>
          <w:tcPr>
            <w:tcW w:w="478" w:type="pct"/>
            <w:noWrap w:val="0"/>
            <w:vAlign w:val="center"/>
          </w:tcPr>
          <w:p w14:paraId="3F63F224">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NH</w:t>
            </w:r>
            <w:r>
              <w:rPr>
                <w:rFonts w:hint="default" w:ascii="Times New Roman" w:hAnsi="Times New Roman" w:eastAsia="宋体" w:cs="Times New Roman"/>
                <w:color w:val="auto"/>
                <w:sz w:val="21"/>
                <w:highlight w:val="none"/>
                <w:vertAlign w:val="subscript"/>
              </w:rPr>
              <w:t>3</w:t>
            </w:r>
          </w:p>
        </w:tc>
        <w:tc>
          <w:tcPr>
            <w:tcW w:w="942" w:type="pct"/>
            <w:vMerge w:val="restart"/>
            <w:noWrap w:val="0"/>
            <w:vAlign w:val="center"/>
          </w:tcPr>
          <w:p w14:paraId="1839856A">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改善饲料成分，添加益生菌，加强通风、喷洒生物除臭剂等</w:t>
            </w:r>
          </w:p>
        </w:tc>
        <w:tc>
          <w:tcPr>
            <w:tcW w:w="1134" w:type="pct"/>
            <w:vMerge w:val="restart"/>
            <w:noWrap w:val="0"/>
            <w:vAlign w:val="center"/>
          </w:tcPr>
          <w:p w14:paraId="5C952264">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w:t>
            </w:r>
            <w:r>
              <w:rPr>
                <w:rFonts w:hint="default" w:ascii="Times New Roman" w:hAnsi="Times New Roman" w:eastAsia="宋体" w:cs="Times New Roman"/>
                <w:color w:val="auto"/>
                <w:sz w:val="21"/>
                <w:highlight w:val="none"/>
                <w:lang w:eastAsia="zh-CN"/>
              </w:rPr>
              <w:t>恶臭污染物排放标准</w:t>
            </w:r>
            <w:r>
              <w:rPr>
                <w:rFonts w:hint="default" w:ascii="Times New Roman" w:hAnsi="Times New Roman" w:eastAsia="宋体" w:cs="Times New Roman"/>
                <w:color w:val="auto"/>
                <w:sz w:val="21"/>
                <w:highlight w:val="none"/>
              </w:rPr>
              <w:t>》（GB14554-93）中表1恶臭污染物厂界标准值新扩改建二级标准</w:t>
            </w:r>
          </w:p>
        </w:tc>
        <w:tc>
          <w:tcPr>
            <w:tcW w:w="871" w:type="pct"/>
            <w:noWrap w:val="0"/>
            <w:vAlign w:val="center"/>
          </w:tcPr>
          <w:p w14:paraId="0661F507">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1.5</w:t>
            </w:r>
          </w:p>
        </w:tc>
        <w:tc>
          <w:tcPr>
            <w:tcW w:w="1014" w:type="dxa"/>
            <w:tcBorders>
              <w:top w:val="single" w:color="000000" w:sz="4" w:space="0"/>
            </w:tcBorders>
            <w:noWrap w:val="0"/>
            <w:vAlign w:val="center"/>
          </w:tcPr>
          <w:p w14:paraId="59E61392">
            <w:pPr>
              <w:keepNext w:val="0"/>
              <w:keepLines w:val="0"/>
              <w:widowControl/>
              <w:suppressLineNumbers w:val="0"/>
              <w:jc w:val="center"/>
              <w:textAlignment w:val="center"/>
              <w:rPr>
                <w:rFonts w:hint="default" w:ascii="Times New Roman" w:hAnsi="Times New Roman" w:eastAsia="宋体" w:cs="Times New Roman"/>
                <w:color w:val="auto"/>
                <w:sz w:val="21"/>
                <w:highlight w:val="none"/>
                <w:lang w:val="en-US"/>
              </w:rPr>
            </w:pPr>
            <w:r>
              <w:rPr>
                <w:rFonts w:hint="default" w:ascii="Times New Roman" w:hAnsi="Times New Roman" w:eastAsia="宋体" w:cs="Times New Roman"/>
                <w:i w:val="0"/>
                <w:iCs w:val="0"/>
                <w:color w:val="FF0000"/>
                <w:kern w:val="0"/>
                <w:sz w:val="21"/>
                <w:szCs w:val="21"/>
                <w:u w:val="none"/>
                <w:lang w:val="en-US" w:eastAsia="zh-CN" w:bidi="ar"/>
              </w:rPr>
              <w:t>0.657</w:t>
            </w:r>
          </w:p>
        </w:tc>
      </w:tr>
      <w:tr w14:paraId="7C27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545" w:type="pct"/>
            <w:vMerge w:val="continue"/>
            <w:noWrap w:val="0"/>
            <w:vAlign w:val="center"/>
          </w:tcPr>
          <w:p w14:paraId="0A5CF475">
            <w:pPr>
              <w:pStyle w:val="69"/>
              <w:spacing w:line="252" w:lineRule="exact"/>
              <w:ind w:left="-79" w:leftChars="-36" w:right="-93" w:rightChars="0" w:firstLine="0" w:firstLineChars="0"/>
              <w:rPr>
                <w:rFonts w:hint="default" w:ascii="Times New Roman" w:hAnsi="Times New Roman" w:cs="Times New Roman"/>
                <w:color w:val="auto"/>
                <w:sz w:val="21"/>
                <w:highlight w:val="none"/>
              </w:rPr>
            </w:pPr>
          </w:p>
        </w:tc>
        <w:tc>
          <w:tcPr>
            <w:tcW w:w="432" w:type="pct"/>
            <w:vMerge w:val="continue"/>
            <w:noWrap w:val="0"/>
            <w:vAlign w:val="center"/>
          </w:tcPr>
          <w:p w14:paraId="2D241CE4">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478" w:type="pct"/>
            <w:noWrap w:val="0"/>
            <w:vAlign w:val="center"/>
          </w:tcPr>
          <w:p w14:paraId="0AA1E0CF">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H</w:t>
            </w:r>
            <w:r>
              <w:rPr>
                <w:rFonts w:hint="default" w:ascii="Times New Roman" w:hAnsi="Times New Roman" w:eastAsia="宋体" w:cs="Times New Roman"/>
                <w:color w:val="auto"/>
                <w:sz w:val="21"/>
                <w:highlight w:val="none"/>
                <w:vertAlign w:val="subscript"/>
              </w:rPr>
              <w:t>2</w:t>
            </w:r>
            <w:r>
              <w:rPr>
                <w:rFonts w:hint="default" w:ascii="Times New Roman" w:hAnsi="Times New Roman" w:eastAsia="宋体" w:cs="Times New Roman"/>
                <w:color w:val="auto"/>
                <w:sz w:val="21"/>
                <w:highlight w:val="none"/>
              </w:rPr>
              <w:t>S</w:t>
            </w:r>
          </w:p>
        </w:tc>
        <w:tc>
          <w:tcPr>
            <w:tcW w:w="942" w:type="pct"/>
            <w:vMerge w:val="continue"/>
            <w:noWrap w:val="0"/>
            <w:vAlign w:val="center"/>
          </w:tcPr>
          <w:p w14:paraId="1EA76F1F">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1134" w:type="pct"/>
            <w:vMerge w:val="continue"/>
            <w:noWrap w:val="0"/>
            <w:vAlign w:val="center"/>
          </w:tcPr>
          <w:p w14:paraId="6B142433">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871" w:type="pct"/>
            <w:noWrap w:val="0"/>
            <w:vAlign w:val="center"/>
          </w:tcPr>
          <w:p w14:paraId="22549763">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0.06</w:t>
            </w:r>
          </w:p>
        </w:tc>
        <w:tc>
          <w:tcPr>
            <w:tcW w:w="1014" w:type="dxa"/>
            <w:noWrap w:val="0"/>
            <w:vAlign w:val="center"/>
          </w:tcPr>
          <w:p w14:paraId="6A62AF81">
            <w:pPr>
              <w:keepNext w:val="0"/>
              <w:keepLines w:val="0"/>
              <w:widowControl/>
              <w:suppressLineNumbers w:val="0"/>
              <w:jc w:val="center"/>
              <w:textAlignment w:val="center"/>
              <w:rPr>
                <w:rFonts w:hint="default" w:ascii="Times New Roman" w:hAnsi="Times New Roman" w:eastAsia="宋体" w:cs="Times New Roman"/>
                <w:color w:val="auto"/>
                <w:sz w:val="21"/>
                <w:highlight w:val="none"/>
                <w:lang w:val="en-US"/>
              </w:rPr>
            </w:pPr>
            <w:r>
              <w:rPr>
                <w:rFonts w:hint="default" w:ascii="Times New Roman" w:hAnsi="Times New Roman" w:eastAsia="宋体" w:cs="Times New Roman"/>
                <w:i w:val="0"/>
                <w:iCs w:val="0"/>
                <w:color w:val="FF0000"/>
                <w:kern w:val="0"/>
                <w:sz w:val="21"/>
                <w:szCs w:val="21"/>
                <w:u w:val="none"/>
                <w:lang w:val="en-US" w:eastAsia="zh-CN" w:bidi="ar"/>
              </w:rPr>
              <w:t>0.0657</w:t>
            </w:r>
          </w:p>
        </w:tc>
      </w:tr>
      <w:tr w14:paraId="583C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545" w:type="pct"/>
            <w:vMerge w:val="restart"/>
            <w:noWrap w:val="0"/>
            <w:vAlign w:val="center"/>
          </w:tcPr>
          <w:p w14:paraId="4AB2491C">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鸡粪发酵处理场</w:t>
            </w:r>
          </w:p>
        </w:tc>
        <w:tc>
          <w:tcPr>
            <w:tcW w:w="432" w:type="pct"/>
            <w:vMerge w:val="restart"/>
            <w:noWrap w:val="0"/>
            <w:vAlign w:val="center"/>
          </w:tcPr>
          <w:p w14:paraId="3001C66F">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堆肥</w:t>
            </w:r>
          </w:p>
        </w:tc>
        <w:tc>
          <w:tcPr>
            <w:tcW w:w="478" w:type="pct"/>
            <w:noWrap w:val="0"/>
            <w:vAlign w:val="center"/>
          </w:tcPr>
          <w:p w14:paraId="1320E48C">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NH</w:t>
            </w:r>
            <w:r>
              <w:rPr>
                <w:rFonts w:hint="default" w:ascii="Times New Roman" w:hAnsi="Times New Roman" w:eastAsia="宋体" w:cs="Times New Roman"/>
                <w:color w:val="auto"/>
                <w:sz w:val="21"/>
                <w:highlight w:val="none"/>
                <w:vertAlign w:val="subscript"/>
              </w:rPr>
              <w:t>3</w:t>
            </w:r>
          </w:p>
        </w:tc>
        <w:tc>
          <w:tcPr>
            <w:tcW w:w="942" w:type="pct"/>
            <w:vMerge w:val="continue"/>
            <w:noWrap w:val="0"/>
            <w:vAlign w:val="center"/>
          </w:tcPr>
          <w:p w14:paraId="041BB5CD">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1134" w:type="pct"/>
            <w:vMerge w:val="continue"/>
            <w:noWrap w:val="0"/>
            <w:vAlign w:val="center"/>
          </w:tcPr>
          <w:p w14:paraId="690EB59B">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871" w:type="pct"/>
            <w:noWrap w:val="0"/>
            <w:vAlign w:val="center"/>
          </w:tcPr>
          <w:p w14:paraId="496BB438">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1.5</w:t>
            </w:r>
          </w:p>
        </w:tc>
        <w:tc>
          <w:tcPr>
            <w:tcW w:w="1014" w:type="dxa"/>
            <w:noWrap w:val="0"/>
            <w:vAlign w:val="center"/>
          </w:tcPr>
          <w:p w14:paraId="68EC17FF">
            <w:pPr>
              <w:keepNext w:val="0"/>
              <w:keepLines w:val="0"/>
              <w:widowControl/>
              <w:suppressLineNumbers w:val="0"/>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snapToGrid w:val="0"/>
                <w:color w:val="FF0000"/>
                <w:sz w:val="21"/>
                <w:szCs w:val="22"/>
                <w:highlight w:val="none"/>
                <w:lang w:val="en-US" w:eastAsia="zh-CN" w:bidi="zh-CN"/>
              </w:rPr>
              <w:t>0.0075</w:t>
            </w:r>
          </w:p>
        </w:tc>
      </w:tr>
      <w:tr w14:paraId="1E5F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45" w:type="pct"/>
            <w:vMerge w:val="continue"/>
            <w:noWrap w:val="0"/>
            <w:vAlign w:val="center"/>
          </w:tcPr>
          <w:p w14:paraId="57D56FA3">
            <w:pPr>
              <w:pStyle w:val="69"/>
              <w:spacing w:line="252" w:lineRule="exact"/>
              <w:ind w:left="-79" w:leftChars="-36" w:right="-93" w:rightChars="0" w:firstLine="0" w:firstLineChars="0"/>
              <w:rPr>
                <w:rFonts w:hint="default" w:ascii="Times New Roman" w:hAnsi="Times New Roman" w:cs="Times New Roman"/>
                <w:color w:val="auto"/>
                <w:sz w:val="21"/>
                <w:highlight w:val="none"/>
              </w:rPr>
            </w:pPr>
          </w:p>
        </w:tc>
        <w:tc>
          <w:tcPr>
            <w:tcW w:w="432" w:type="pct"/>
            <w:vMerge w:val="continue"/>
            <w:noWrap w:val="0"/>
            <w:vAlign w:val="center"/>
          </w:tcPr>
          <w:p w14:paraId="6309F3C0">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478" w:type="pct"/>
            <w:noWrap w:val="0"/>
            <w:vAlign w:val="center"/>
          </w:tcPr>
          <w:p w14:paraId="0D30ECB8">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H</w:t>
            </w:r>
            <w:r>
              <w:rPr>
                <w:rFonts w:hint="default" w:ascii="Times New Roman" w:hAnsi="Times New Roman" w:eastAsia="宋体" w:cs="Times New Roman"/>
                <w:color w:val="auto"/>
                <w:sz w:val="21"/>
                <w:highlight w:val="none"/>
                <w:vertAlign w:val="subscript"/>
              </w:rPr>
              <w:t>2</w:t>
            </w:r>
            <w:r>
              <w:rPr>
                <w:rFonts w:hint="default" w:ascii="Times New Roman" w:hAnsi="Times New Roman" w:eastAsia="宋体" w:cs="Times New Roman"/>
                <w:color w:val="auto"/>
                <w:sz w:val="21"/>
                <w:highlight w:val="none"/>
              </w:rPr>
              <w:t>S</w:t>
            </w:r>
          </w:p>
        </w:tc>
        <w:tc>
          <w:tcPr>
            <w:tcW w:w="942" w:type="pct"/>
            <w:vMerge w:val="continue"/>
            <w:noWrap w:val="0"/>
            <w:vAlign w:val="center"/>
          </w:tcPr>
          <w:p w14:paraId="4167E572">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1134" w:type="pct"/>
            <w:vMerge w:val="continue"/>
            <w:noWrap w:val="0"/>
            <w:vAlign w:val="center"/>
          </w:tcPr>
          <w:p w14:paraId="5B81C391">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p>
        </w:tc>
        <w:tc>
          <w:tcPr>
            <w:tcW w:w="871" w:type="pct"/>
            <w:noWrap w:val="0"/>
            <w:vAlign w:val="center"/>
          </w:tcPr>
          <w:p w14:paraId="19E3E2EF">
            <w:pPr>
              <w:pStyle w:val="69"/>
              <w:spacing w:line="252" w:lineRule="exact"/>
              <w:ind w:left="-79" w:leftChars="-36" w:right="-93" w:rightChars="0"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0.06</w:t>
            </w:r>
          </w:p>
        </w:tc>
        <w:tc>
          <w:tcPr>
            <w:tcW w:w="1014" w:type="dxa"/>
            <w:noWrap w:val="0"/>
            <w:vAlign w:val="center"/>
          </w:tcPr>
          <w:p w14:paraId="1D28B28F">
            <w:pPr>
              <w:keepNext w:val="0"/>
              <w:keepLines w:val="0"/>
              <w:widowControl/>
              <w:suppressLineNumbers w:val="0"/>
              <w:jc w:val="center"/>
              <w:textAlignment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snapToGrid w:val="0"/>
                <w:color w:val="FF0000"/>
                <w:sz w:val="21"/>
                <w:szCs w:val="22"/>
                <w:highlight w:val="none"/>
                <w:lang w:val="en-US" w:eastAsia="zh-CN" w:bidi="zh-CN"/>
              </w:rPr>
              <w:t>0.001</w:t>
            </w:r>
          </w:p>
        </w:tc>
      </w:tr>
    </w:tbl>
    <w:p w14:paraId="69F469B2">
      <w:pPr>
        <w:bidi w:val="0"/>
        <w:ind w:firstLine="440" w:firstLineChars="200"/>
        <w:rPr>
          <w:rFonts w:hint="default" w:ascii="Times New Roman" w:hAnsi="Times New Roman" w:cs="Times New Roman"/>
          <w:color w:val="0000FF"/>
          <w:szCs w:val="22"/>
          <w:highlight w:val="none"/>
        </w:rPr>
      </w:pPr>
      <w:r>
        <w:rPr>
          <w:rFonts w:hint="default" w:ascii="Times New Roman" w:hAnsi="Times New Roman" w:cs="Times New Roman"/>
          <w:color w:val="0000FF"/>
          <w:szCs w:val="22"/>
          <w:highlight w:val="none"/>
          <w:lang w:eastAsia="zh-CN"/>
        </w:rPr>
        <w:t>（</w:t>
      </w:r>
      <w:r>
        <w:rPr>
          <w:rFonts w:hint="default" w:ascii="Times New Roman" w:hAnsi="Times New Roman" w:cs="Times New Roman"/>
          <w:color w:val="0000FF"/>
          <w:szCs w:val="22"/>
          <w:highlight w:val="none"/>
          <w:lang w:val="en-US" w:eastAsia="zh-CN"/>
        </w:rPr>
        <w:t>3</w:t>
      </w:r>
      <w:r>
        <w:rPr>
          <w:rFonts w:hint="default" w:ascii="Times New Roman" w:hAnsi="Times New Roman" w:cs="Times New Roman"/>
          <w:color w:val="0000FF"/>
          <w:szCs w:val="22"/>
          <w:highlight w:val="none"/>
          <w:lang w:eastAsia="zh-CN"/>
        </w:rPr>
        <w:t>）</w:t>
      </w:r>
      <w:r>
        <w:rPr>
          <w:rFonts w:hint="default" w:ascii="Times New Roman" w:hAnsi="Times New Roman" w:cs="Times New Roman"/>
          <w:color w:val="0000FF"/>
          <w:szCs w:val="22"/>
          <w:highlight w:val="none"/>
        </w:rPr>
        <w:t>大气污染物年排放量核算</w:t>
      </w:r>
    </w:p>
    <w:p w14:paraId="0E546522">
      <w:pPr>
        <w:pStyle w:val="14"/>
        <w:bidi w:val="0"/>
        <w:rPr>
          <w:rFonts w:hint="default" w:ascii="Times New Roman" w:hAnsi="Times New Roman" w:cs="Times New Roma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t>大气污染物年排放量核算表</w:t>
      </w:r>
    </w:p>
    <w:tbl>
      <w:tblPr>
        <w:tblStyle w:val="33"/>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95"/>
        <w:gridCol w:w="3666"/>
        <w:gridCol w:w="2731"/>
      </w:tblGrid>
      <w:tr w14:paraId="3D92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1" w:hRule="atLeast"/>
          <w:tblHeader/>
          <w:jc w:val="center"/>
        </w:trPr>
        <w:tc>
          <w:tcPr>
            <w:tcW w:w="2095" w:type="dxa"/>
            <w:tcBorders>
              <w:tl2br w:val="nil"/>
              <w:tr2bl w:val="nil"/>
            </w:tcBorders>
            <w:noWrap w:val="0"/>
            <w:vAlign w:val="center"/>
          </w:tcPr>
          <w:p w14:paraId="731BBF34">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序号</w:t>
            </w:r>
          </w:p>
        </w:tc>
        <w:tc>
          <w:tcPr>
            <w:tcW w:w="3666" w:type="dxa"/>
            <w:tcBorders>
              <w:tl2br w:val="nil"/>
              <w:tr2bl w:val="nil"/>
            </w:tcBorders>
            <w:noWrap w:val="0"/>
            <w:vAlign w:val="center"/>
          </w:tcPr>
          <w:p w14:paraId="66A25D5A">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污染物</w:t>
            </w:r>
          </w:p>
        </w:tc>
        <w:tc>
          <w:tcPr>
            <w:tcW w:w="2731" w:type="dxa"/>
            <w:tcBorders>
              <w:tl2br w:val="nil"/>
              <w:tr2bl w:val="nil"/>
            </w:tcBorders>
            <w:noWrap w:val="0"/>
            <w:vAlign w:val="center"/>
          </w:tcPr>
          <w:p w14:paraId="524A881C">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年排放量（t/a）</w:t>
            </w:r>
          </w:p>
        </w:tc>
      </w:tr>
      <w:tr w14:paraId="6C2C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95" w:type="dxa"/>
            <w:tcBorders>
              <w:tl2br w:val="nil"/>
              <w:tr2bl w:val="nil"/>
            </w:tcBorders>
            <w:noWrap w:val="0"/>
            <w:vAlign w:val="center"/>
          </w:tcPr>
          <w:p w14:paraId="129EB922">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w:t>
            </w:r>
          </w:p>
        </w:tc>
        <w:tc>
          <w:tcPr>
            <w:tcW w:w="3666" w:type="dxa"/>
            <w:tcBorders>
              <w:tl2br w:val="nil"/>
              <w:tr2bl w:val="nil"/>
            </w:tcBorders>
            <w:noWrap w:val="0"/>
            <w:vAlign w:val="center"/>
          </w:tcPr>
          <w:p w14:paraId="1B66070A">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NH</w:t>
            </w:r>
            <w:r>
              <w:rPr>
                <w:rFonts w:hint="default" w:ascii="Times New Roman" w:hAnsi="Times New Roman" w:cs="Times New Roman"/>
                <w:color w:val="0000FF"/>
                <w:sz w:val="21"/>
                <w:szCs w:val="21"/>
                <w:highlight w:val="none"/>
                <w:vertAlign w:val="subscript"/>
              </w:rPr>
              <w:t>3</w:t>
            </w:r>
          </w:p>
        </w:tc>
        <w:tc>
          <w:tcPr>
            <w:tcW w:w="2731" w:type="dxa"/>
            <w:tcBorders>
              <w:tl2br w:val="nil"/>
              <w:tr2bl w:val="nil"/>
            </w:tcBorders>
            <w:noWrap w:val="0"/>
            <w:vAlign w:val="center"/>
          </w:tcPr>
          <w:p w14:paraId="5339FD9F">
            <w:pPr>
              <w:spacing w:line="240" w:lineRule="atLeast"/>
              <w:ind w:firstLine="0" w:firstLineChars="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0.6795</w:t>
            </w:r>
          </w:p>
        </w:tc>
      </w:tr>
      <w:tr w14:paraId="2A0C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95" w:type="dxa"/>
            <w:tcBorders>
              <w:tl2br w:val="nil"/>
              <w:tr2bl w:val="nil"/>
            </w:tcBorders>
            <w:noWrap w:val="0"/>
            <w:vAlign w:val="center"/>
          </w:tcPr>
          <w:p w14:paraId="2A8051D7">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w:t>
            </w:r>
          </w:p>
        </w:tc>
        <w:tc>
          <w:tcPr>
            <w:tcW w:w="3666" w:type="dxa"/>
            <w:tcBorders>
              <w:tl2br w:val="nil"/>
              <w:tr2bl w:val="nil"/>
            </w:tcBorders>
            <w:noWrap w:val="0"/>
            <w:vAlign w:val="center"/>
          </w:tcPr>
          <w:p w14:paraId="0016DC5F">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H</w:t>
            </w:r>
            <w:r>
              <w:rPr>
                <w:rFonts w:hint="default" w:ascii="Times New Roman" w:hAnsi="Times New Roman" w:cs="Times New Roman"/>
                <w:color w:val="0000FF"/>
                <w:sz w:val="21"/>
                <w:szCs w:val="21"/>
                <w:highlight w:val="none"/>
                <w:vertAlign w:val="subscript"/>
              </w:rPr>
              <w:t>2</w:t>
            </w:r>
            <w:r>
              <w:rPr>
                <w:rFonts w:hint="default" w:ascii="Times New Roman" w:hAnsi="Times New Roman" w:cs="Times New Roman"/>
                <w:color w:val="0000FF"/>
                <w:sz w:val="21"/>
                <w:szCs w:val="21"/>
                <w:highlight w:val="none"/>
              </w:rPr>
              <w:t>S</w:t>
            </w:r>
          </w:p>
        </w:tc>
        <w:tc>
          <w:tcPr>
            <w:tcW w:w="2731" w:type="dxa"/>
            <w:tcBorders>
              <w:tl2br w:val="nil"/>
              <w:tr2bl w:val="nil"/>
            </w:tcBorders>
            <w:noWrap w:val="0"/>
            <w:vAlign w:val="center"/>
          </w:tcPr>
          <w:p w14:paraId="313A85E3">
            <w:pPr>
              <w:spacing w:line="240" w:lineRule="atLeast"/>
              <w:ind w:firstLine="0" w:firstLineChars="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0.0687</w:t>
            </w:r>
          </w:p>
        </w:tc>
      </w:tr>
      <w:tr w14:paraId="36ED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95" w:type="dxa"/>
            <w:tcBorders>
              <w:tl2br w:val="nil"/>
              <w:tr2bl w:val="nil"/>
            </w:tcBorders>
            <w:noWrap w:val="0"/>
            <w:vAlign w:val="center"/>
          </w:tcPr>
          <w:p w14:paraId="48DA617D">
            <w:pPr>
              <w:spacing w:line="240" w:lineRule="atLeast"/>
              <w:ind w:firstLine="0" w:firstLineChars="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3</w:t>
            </w:r>
          </w:p>
        </w:tc>
        <w:tc>
          <w:tcPr>
            <w:tcW w:w="3666" w:type="dxa"/>
            <w:tcBorders>
              <w:tl2br w:val="nil"/>
              <w:tr2bl w:val="nil"/>
            </w:tcBorders>
            <w:noWrap w:val="0"/>
            <w:vAlign w:val="center"/>
          </w:tcPr>
          <w:p w14:paraId="13D411DA">
            <w:pPr>
              <w:spacing w:line="240" w:lineRule="atLeast"/>
              <w:ind w:firstLine="0" w:firstLineChars="0"/>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颗粒物</w:t>
            </w:r>
          </w:p>
        </w:tc>
        <w:tc>
          <w:tcPr>
            <w:tcW w:w="2731" w:type="dxa"/>
            <w:tcBorders>
              <w:tl2br w:val="nil"/>
              <w:tr2bl w:val="nil"/>
            </w:tcBorders>
            <w:noWrap w:val="0"/>
            <w:vAlign w:val="center"/>
          </w:tcPr>
          <w:p w14:paraId="5F94E649">
            <w:pPr>
              <w:spacing w:line="240" w:lineRule="atLeast"/>
              <w:ind w:firstLine="0" w:firstLineChars="0"/>
              <w:jc w:val="center"/>
              <w:rPr>
                <w:rFonts w:hint="default" w:ascii="Times New Roman" w:hAnsi="Times New Roman"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0.164</w:t>
            </w:r>
          </w:p>
        </w:tc>
      </w:tr>
    </w:tbl>
    <w:p w14:paraId="31D6B328">
      <w:pPr>
        <w:pStyle w:val="5"/>
        <w:bidi w:val="0"/>
        <w:rPr>
          <w:rFonts w:hint="default" w:ascii="Times New Roman" w:hAnsi="Times New Roman" w:cs="Times New Roman"/>
          <w:color w:val="FF0000"/>
        </w:rPr>
      </w:pPr>
      <w:r>
        <w:rPr>
          <w:rFonts w:hint="default" w:ascii="Times New Roman" w:hAnsi="Times New Roman" w:cs="Times New Roman"/>
          <w:color w:val="FF0000"/>
        </w:rPr>
        <w:t>非正常工况废气</w:t>
      </w:r>
    </w:p>
    <w:p w14:paraId="13B343DC">
      <w:pPr>
        <w:spacing w:before="179" w:line="330" w:lineRule="auto"/>
        <w:ind w:left="130" w:right="114" w:firstLine="476"/>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pacing w:val="-3"/>
          <w:sz w:val="24"/>
          <w:szCs w:val="24"/>
        </w:rPr>
        <w:t>本次评价项目废气非正常工况主要考虑废气处理设置失效，各</w:t>
      </w:r>
      <w:r>
        <w:rPr>
          <w:rFonts w:hint="default" w:ascii="Times New Roman" w:hAnsi="Times New Roman" w:eastAsia="宋体" w:cs="Times New Roman"/>
          <w:color w:val="FF0000"/>
          <w:spacing w:val="-4"/>
          <w:sz w:val="24"/>
          <w:szCs w:val="24"/>
        </w:rPr>
        <w:t>污染物未经过</w:t>
      </w:r>
      <w:r>
        <w:rPr>
          <w:rFonts w:hint="default" w:ascii="Times New Roman" w:hAnsi="Times New Roman" w:eastAsia="宋体" w:cs="Times New Roman"/>
          <w:color w:val="FF0000"/>
          <w:sz w:val="24"/>
          <w:szCs w:val="24"/>
        </w:rPr>
        <w:t xml:space="preserve"> </w:t>
      </w:r>
      <w:r>
        <w:rPr>
          <w:rFonts w:hint="default" w:ascii="Times New Roman" w:hAnsi="Times New Roman" w:eastAsia="宋体" w:cs="Times New Roman"/>
          <w:color w:val="FF0000"/>
          <w:spacing w:val="-2"/>
          <w:sz w:val="24"/>
          <w:szCs w:val="24"/>
        </w:rPr>
        <w:t>处理直接排入大气环境。</w:t>
      </w:r>
    </w:p>
    <w:p w14:paraId="352409D4">
      <w:pPr>
        <w:pStyle w:val="14"/>
        <w:bidi w:val="0"/>
        <w:rPr>
          <w:rFonts w:hint="default" w:ascii="Times New Roman" w:hAnsi="Times New Roman" w:cs="Times New Roman"/>
          <w:color w:val="FF0000"/>
        </w:rPr>
      </w:pPr>
      <w:r>
        <w:rPr>
          <w:rFonts w:hint="default" w:ascii="Times New Roman" w:hAnsi="Times New Roman" w:cs="Times New Roman"/>
          <w:color w:val="FF0000"/>
        </w:rPr>
        <w:t xml:space="preserve">表 </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9</w:t>
      </w:r>
      <w:r>
        <w:rPr>
          <w:rFonts w:hint="default" w:ascii="Times New Roman" w:hAnsi="Times New Roman" w:cs="Times New Roman"/>
          <w:color w:val="FF0000"/>
        </w:rPr>
        <w:fldChar w:fldCharType="end"/>
      </w:r>
      <w:r>
        <w:rPr>
          <w:rFonts w:hint="default" w:ascii="Times New Roman" w:hAnsi="Times New Roman" w:cs="Times New Roman"/>
          <w:color w:val="FF0000"/>
        </w:rPr>
        <w:t>本项目主要污染物产生和排放情况汇总表</w:t>
      </w:r>
    </w:p>
    <w:tbl>
      <w:tblPr>
        <w:tblStyle w:val="76"/>
        <w:tblW w:w="852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7"/>
        <w:gridCol w:w="1428"/>
        <w:gridCol w:w="1053"/>
        <w:gridCol w:w="1734"/>
        <w:gridCol w:w="1161"/>
        <w:gridCol w:w="1094"/>
      </w:tblGrid>
      <w:tr w14:paraId="0832A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2057" w:type="dxa"/>
            <w:tcBorders>
              <w:tl2br w:val="nil"/>
              <w:tr2bl w:val="nil"/>
            </w:tcBorders>
            <w:vAlign w:val="center"/>
          </w:tcPr>
          <w:p w14:paraId="7976129E">
            <w:pPr>
              <w:spacing w:before="170" w:line="229" w:lineRule="auto"/>
              <w:ind w:left="400"/>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非正常排放源</w:t>
            </w:r>
          </w:p>
        </w:tc>
        <w:tc>
          <w:tcPr>
            <w:tcW w:w="1428" w:type="dxa"/>
            <w:tcBorders>
              <w:tl2br w:val="nil"/>
              <w:tr2bl w:val="nil"/>
            </w:tcBorders>
            <w:vAlign w:val="center"/>
          </w:tcPr>
          <w:p w14:paraId="6FC8396A">
            <w:pPr>
              <w:spacing w:before="35" w:line="229" w:lineRule="auto"/>
              <w:ind w:left="194"/>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非正常排放</w:t>
            </w:r>
          </w:p>
          <w:p w14:paraId="7F51CCAA">
            <w:pPr>
              <w:spacing w:before="24" w:line="216" w:lineRule="auto"/>
              <w:ind w:left="512"/>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1"/>
                <w:sz w:val="21"/>
                <w:szCs w:val="21"/>
              </w:rPr>
              <w:t>原因</w:t>
            </w:r>
          </w:p>
        </w:tc>
        <w:tc>
          <w:tcPr>
            <w:tcW w:w="1053" w:type="dxa"/>
            <w:tcBorders>
              <w:tl2br w:val="nil"/>
              <w:tr2bl w:val="nil"/>
            </w:tcBorders>
            <w:vAlign w:val="center"/>
          </w:tcPr>
          <w:p w14:paraId="0DAA9D7C">
            <w:pPr>
              <w:spacing w:before="170" w:line="229" w:lineRule="auto"/>
              <w:ind w:left="216"/>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污染物</w:t>
            </w:r>
          </w:p>
        </w:tc>
        <w:tc>
          <w:tcPr>
            <w:tcW w:w="1734" w:type="dxa"/>
            <w:tcBorders>
              <w:tl2br w:val="nil"/>
              <w:tr2bl w:val="nil"/>
            </w:tcBorders>
            <w:vAlign w:val="center"/>
          </w:tcPr>
          <w:p w14:paraId="33217A86">
            <w:pPr>
              <w:spacing w:before="36" w:line="228" w:lineRule="auto"/>
              <w:ind w:left="139"/>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非正常排放速率</w:t>
            </w:r>
          </w:p>
          <w:p w14:paraId="3E923139">
            <w:pPr>
              <w:pStyle w:val="113"/>
              <w:spacing w:before="25" w:line="216" w:lineRule="auto"/>
              <w:ind w:left="472"/>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1"/>
                <w:sz w:val="21"/>
                <w:szCs w:val="21"/>
              </w:rPr>
              <w:t>（</w:t>
            </w:r>
            <w:r>
              <w:rPr>
                <w:rFonts w:hint="default" w:ascii="Times New Roman" w:hAnsi="Times New Roman" w:cs="Times New Roman"/>
                <w:b/>
                <w:bCs/>
                <w:color w:val="FF0000"/>
                <w:sz w:val="21"/>
                <w:szCs w:val="21"/>
              </w:rPr>
              <w:t>kg</w:t>
            </w:r>
            <w:r>
              <w:rPr>
                <w:rFonts w:hint="default" w:ascii="Times New Roman" w:hAnsi="Times New Roman" w:cs="Times New Roman"/>
                <w:b/>
                <w:bCs/>
                <w:color w:val="FF0000"/>
                <w:spacing w:val="1"/>
                <w:sz w:val="21"/>
                <w:szCs w:val="21"/>
              </w:rPr>
              <w:t>/h</w:t>
            </w:r>
            <w:r>
              <w:rPr>
                <w:rFonts w:hint="default" w:ascii="Times New Roman" w:hAnsi="Times New Roman" w:eastAsia="宋体" w:cs="Times New Roman"/>
                <w:b/>
                <w:bCs/>
                <w:color w:val="FF0000"/>
                <w:spacing w:val="1"/>
                <w:sz w:val="21"/>
                <w:szCs w:val="21"/>
              </w:rPr>
              <w:t>）</w:t>
            </w:r>
          </w:p>
        </w:tc>
        <w:tc>
          <w:tcPr>
            <w:tcW w:w="1161" w:type="dxa"/>
            <w:tcBorders>
              <w:tl2br w:val="nil"/>
              <w:tr2bl w:val="nil"/>
            </w:tcBorders>
            <w:vAlign w:val="center"/>
          </w:tcPr>
          <w:p w14:paraId="1B57F85F">
            <w:pPr>
              <w:spacing w:before="36" w:line="228" w:lineRule="auto"/>
              <w:ind w:left="170"/>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单次持续</w:t>
            </w:r>
          </w:p>
          <w:p w14:paraId="31CD84AC">
            <w:pPr>
              <w:pStyle w:val="113"/>
              <w:spacing w:before="25" w:line="216" w:lineRule="auto"/>
              <w:ind w:left="301"/>
              <w:rPr>
                <w:rFonts w:hint="default" w:ascii="Times New Roman" w:hAnsi="Times New Roman" w:cs="Times New Roman"/>
                <w:color w:val="FF0000"/>
                <w:sz w:val="21"/>
                <w:szCs w:val="21"/>
              </w:rPr>
            </w:pPr>
            <w:r>
              <w:rPr>
                <w:rFonts w:hint="default" w:ascii="Times New Roman" w:hAnsi="Times New Roman" w:eastAsia="宋体" w:cs="Times New Roman"/>
                <w:b/>
                <w:bCs/>
                <w:color w:val="FF0000"/>
                <w:spacing w:val="1"/>
                <w:sz w:val="21"/>
                <w:szCs w:val="21"/>
              </w:rPr>
              <w:t>时间</w:t>
            </w:r>
            <w:r>
              <w:rPr>
                <w:rFonts w:hint="default" w:ascii="Times New Roman" w:hAnsi="Times New Roman" w:cs="Times New Roman"/>
                <w:b/>
                <w:bCs/>
                <w:color w:val="FF0000"/>
                <w:spacing w:val="1"/>
                <w:sz w:val="21"/>
                <w:szCs w:val="21"/>
              </w:rPr>
              <w:t>/h</w:t>
            </w:r>
          </w:p>
        </w:tc>
        <w:tc>
          <w:tcPr>
            <w:tcW w:w="1094" w:type="dxa"/>
            <w:tcBorders>
              <w:tl2br w:val="nil"/>
              <w:tr2bl w:val="nil"/>
            </w:tcBorders>
            <w:vAlign w:val="center"/>
          </w:tcPr>
          <w:p w14:paraId="323BD13B">
            <w:pPr>
              <w:spacing w:before="36" w:line="228" w:lineRule="auto"/>
              <w:ind w:left="131"/>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年发生频</w:t>
            </w:r>
          </w:p>
          <w:p w14:paraId="0FCF7647">
            <w:pPr>
              <w:pStyle w:val="113"/>
              <w:spacing w:before="25" w:line="216" w:lineRule="auto"/>
              <w:ind w:left="319"/>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1"/>
                <w:sz w:val="21"/>
                <w:szCs w:val="21"/>
              </w:rPr>
              <w:t>次</w:t>
            </w:r>
            <w:r>
              <w:rPr>
                <w:rFonts w:hint="default" w:ascii="Times New Roman" w:hAnsi="Times New Roman" w:cs="Times New Roman"/>
                <w:b/>
                <w:bCs/>
                <w:color w:val="FF0000"/>
                <w:spacing w:val="1"/>
                <w:sz w:val="21"/>
                <w:szCs w:val="21"/>
              </w:rPr>
              <w:t>/</w:t>
            </w:r>
            <w:r>
              <w:rPr>
                <w:rFonts w:hint="default" w:ascii="Times New Roman" w:hAnsi="Times New Roman" w:eastAsia="宋体" w:cs="Times New Roman"/>
                <w:b/>
                <w:bCs/>
                <w:color w:val="FF0000"/>
                <w:spacing w:val="1"/>
                <w:sz w:val="21"/>
                <w:szCs w:val="21"/>
              </w:rPr>
              <w:t>次</w:t>
            </w:r>
          </w:p>
        </w:tc>
      </w:tr>
      <w:tr w14:paraId="5CA46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057" w:type="dxa"/>
            <w:tcBorders>
              <w:tl2br w:val="nil"/>
              <w:tr2bl w:val="nil"/>
            </w:tcBorders>
            <w:vAlign w:val="center"/>
          </w:tcPr>
          <w:p w14:paraId="0846418E">
            <w:pPr>
              <w:spacing w:before="24" w:line="209" w:lineRule="auto"/>
              <w:ind w:left="295"/>
              <w:rPr>
                <w:rFonts w:hint="default" w:ascii="Times New Roman" w:hAnsi="Times New Roman" w:eastAsia="宋体" w:cs="Times New Roman"/>
                <w:color w:val="FF0000"/>
                <w:spacing w:val="8"/>
                <w:sz w:val="21"/>
                <w:szCs w:val="21"/>
              </w:rPr>
            </w:pPr>
            <w:r>
              <w:rPr>
                <w:rFonts w:hint="default" w:ascii="Times New Roman" w:hAnsi="Times New Roman" w:eastAsia="宋体" w:cs="Times New Roman"/>
                <w:color w:val="FF0000"/>
                <w:spacing w:val="8"/>
                <w:sz w:val="21"/>
                <w:szCs w:val="21"/>
              </w:rPr>
              <w:t>排气筒</w:t>
            </w:r>
            <w:r>
              <w:rPr>
                <w:rFonts w:hint="default" w:ascii="Times New Roman" w:hAnsi="Times New Roman" w:cs="Times New Roman"/>
                <w:color w:val="FF0000"/>
                <w:position w:val="1"/>
                <w:sz w:val="21"/>
                <w:szCs w:val="21"/>
              </w:rPr>
              <w:t>DA</w:t>
            </w:r>
            <w:r>
              <w:rPr>
                <w:rFonts w:hint="default" w:ascii="Times New Roman" w:hAnsi="Times New Roman" w:cs="Times New Roman"/>
                <w:color w:val="FF0000"/>
                <w:spacing w:val="8"/>
                <w:position w:val="1"/>
                <w:sz w:val="21"/>
                <w:szCs w:val="21"/>
              </w:rPr>
              <w:t>001</w:t>
            </w:r>
          </w:p>
        </w:tc>
        <w:tc>
          <w:tcPr>
            <w:tcW w:w="1428" w:type="dxa"/>
            <w:tcBorders>
              <w:tl2br w:val="nil"/>
              <w:tr2bl w:val="nil"/>
            </w:tcBorders>
            <w:vAlign w:val="center"/>
          </w:tcPr>
          <w:p w14:paraId="5A5D4035">
            <w:pPr>
              <w:spacing w:before="151" w:line="252" w:lineRule="auto"/>
              <w:ind w:left="412" w:right="188" w:hanging="207"/>
              <w:rPr>
                <w:rFonts w:hint="default" w:ascii="Times New Roman" w:hAnsi="Times New Roman" w:eastAsia="宋体" w:cs="Times New Roman"/>
                <w:color w:val="FF0000"/>
                <w:spacing w:val="5"/>
                <w:sz w:val="21"/>
                <w:szCs w:val="21"/>
                <w:lang w:val="en-US" w:eastAsia="zh-CN"/>
              </w:rPr>
            </w:pPr>
            <w:r>
              <w:rPr>
                <w:rFonts w:hint="default" w:ascii="Times New Roman" w:hAnsi="Times New Roman" w:eastAsia="宋体" w:cs="Times New Roman"/>
                <w:color w:val="FF0000"/>
                <w:spacing w:val="5"/>
                <w:sz w:val="21"/>
                <w:szCs w:val="21"/>
                <w:lang w:val="en-US" w:eastAsia="zh-CN"/>
              </w:rPr>
              <w:t>布袋除尘器失效</w:t>
            </w:r>
          </w:p>
        </w:tc>
        <w:tc>
          <w:tcPr>
            <w:tcW w:w="1053" w:type="dxa"/>
            <w:tcBorders>
              <w:tl2br w:val="nil"/>
              <w:tr2bl w:val="nil"/>
            </w:tcBorders>
            <w:vAlign w:val="center"/>
          </w:tcPr>
          <w:p w14:paraId="3A2C998D">
            <w:pPr>
              <w:pStyle w:val="113"/>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FF0000"/>
                <w:spacing w:val="7"/>
                <w:sz w:val="21"/>
                <w:szCs w:val="21"/>
                <w:lang w:val="en-US" w:eastAsia="zh-CN"/>
              </w:rPr>
            </w:pPr>
            <w:r>
              <w:rPr>
                <w:rFonts w:hint="default" w:ascii="Times New Roman" w:hAnsi="Times New Roman" w:eastAsia="宋体" w:cs="Times New Roman"/>
                <w:color w:val="FF0000"/>
                <w:spacing w:val="7"/>
                <w:sz w:val="21"/>
                <w:szCs w:val="21"/>
                <w:lang w:val="en-US" w:eastAsia="zh-CN"/>
              </w:rPr>
              <w:t>颗粒物</w:t>
            </w:r>
          </w:p>
        </w:tc>
        <w:tc>
          <w:tcPr>
            <w:tcW w:w="1734" w:type="dxa"/>
            <w:tcBorders>
              <w:tl2br w:val="nil"/>
              <w:tr2bl w:val="nil"/>
            </w:tcBorders>
            <w:vAlign w:val="center"/>
          </w:tcPr>
          <w:p w14:paraId="18FAD429">
            <w:pPr>
              <w:pStyle w:val="113"/>
              <w:spacing w:before="37" w:line="274" w:lineRule="exact"/>
              <w:jc w:val="center"/>
              <w:rPr>
                <w:rFonts w:hint="default" w:ascii="Times New Roman" w:hAnsi="Times New Roman" w:eastAsia="宋体" w:cs="Times New Roman"/>
                <w:color w:val="FF0000"/>
                <w:spacing w:val="3"/>
                <w:position w:val="2"/>
                <w:sz w:val="21"/>
                <w:szCs w:val="21"/>
                <w:lang w:val="en-US" w:eastAsia="zh-CN"/>
              </w:rPr>
            </w:pPr>
            <w:r>
              <w:rPr>
                <w:rFonts w:hint="default" w:ascii="Times New Roman" w:hAnsi="Times New Roman" w:eastAsia="宋体" w:cs="Times New Roman"/>
                <w:color w:val="FF0000"/>
                <w:spacing w:val="3"/>
                <w:position w:val="2"/>
                <w:sz w:val="21"/>
                <w:szCs w:val="21"/>
                <w:lang w:val="en-US" w:eastAsia="zh-CN"/>
              </w:rPr>
              <w:t>0.59</w:t>
            </w:r>
          </w:p>
        </w:tc>
        <w:tc>
          <w:tcPr>
            <w:tcW w:w="1161" w:type="dxa"/>
            <w:vMerge w:val="restart"/>
            <w:tcBorders>
              <w:tl2br w:val="nil"/>
              <w:tr2bl w:val="nil"/>
            </w:tcBorders>
            <w:vAlign w:val="center"/>
          </w:tcPr>
          <w:p w14:paraId="7520291A">
            <w:pPr>
              <w:pStyle w:val="113"/>
              <w:spacing w:before="258" w:line="274" w:lineRule="exact"/>
              <w:ind w:left="552"/>
              <w:rPr>
                <w:rFonts w:hint="default" w:ascii="Times New Roman" w:hAnsi="Times New Roman" w:cs="Times New Roman"/>
                <w:color w:val="FF0000"/>
                <w:sz w:val="21"/>
                <w:szCs w:val="21"/>
              </w:rPr>
            </w:pPr>
            <w:r>
              <w:rPr>
                <w:rFonts w:hint="default" w:ascii="Times New Roman" w:hAnsi="Times New Roman" w:cs="Times New Roman"/>
                <w:color w:val="FF0000"/>
                <w:position w:val="1"/>
                <w:sz w:val="21"/>
                <w:szCs w:val="21"/>
              </w:rPr>
              <w:t>1</w:t>
            </w:r>
          </w:p>
        </w:tc>
        <w:tc>
          <w:tcPr>
            <w:tcW w:w="1094" w:type="dxa"/>
            <w:vMerge w:val="restart"/>
            <w:tcBorders>
              <w:tl2br w:val="nil"/>
              <w:tr2bl w:val="nil"/>
            </w:tcBorders>
            <w:vAlign w:val="center"/>
          </w:tcPr>
          <w:p w14:paraId="60C63BD5">
            <w:pPr>
              <w:pStyle w:val="113"/>
              <w:spacing w:before="258" w:line="274" w:lineRule="exact"/>
              <w:ind w:left="516"/>
              <w:rPr>
                <w:rFonts w:hint="default" w:ascii="Times New Roman" w:hAnsi="Times New Roman" w:cs="Times New Roman"/>
                <w:color w:val="FF0000"/>
                <w:sz w:val="21"/>
                <w:szCs w:val="21"/>
              </w:rPr>
            </w:pPr>
            <w:r>
              <w:rPr>
                <w:rFonts w:hint="default" w:ascii="Times New Roman" w:hAnsi="Times New Roman" w:cs="Times New Roman"/>
                <w:color w:val="FF0000"/>
                <w:position w:val="1"/>
                <w:sz w:val="21"/>
                <w:szCs w:val="21"/>
              </w:rPr>
              <w:t>1</w:t>
            </w:r>
          </w:p>
        </w:tc>
      </w:tr>
      <w:tr w14:paraId="48ADA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057" w:type="dxa"/>
            <w:vMerge w:val="restart"/>
            <w:tcBorders>
              <w:tl2br w:val="nil"/>
              <w:tr2bl w:val="nil"/>
            </w:tcBorders>
            <w:vAlign w:val="center"/>
          </w:tcPr>
          <w:p w14:paraId="2C84ECA9">
            <w:pPr>
              <w:spacing w:before="24" w:line="209" w:lineRule="auto"/>
              <w:ind w:left="295"/>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pacing w:val="8"/>
                <w:sz w:val="21"/>
                <w:szCs w:val="21"/>
              </w:rPr>
              <w:t>排气筒</w:t>
            </w:r>
            <w:r>
              <w:rPr>
                <w:rFonts w:hint="default" w:ascii="Times New Roman" w:hAnsi="Times New Roman" w:cs="Times New Roman"/>
                <w:color w:val="FF0000"/>
                <w:position w:val="1"/>
                <w:sz w:val="21"/>
                <w:szCs w:val="21"/>
              </w:rPr>
              <w:t>DA</w:t>
            </w:r>
            <w:r>
              <w:rPr>
                <w:rFonts w:hint="default" w:ascii="Times New Roman" w:hAnsi="Times New Roman" w:cs="Times New Roman"/>
                <w:color w:val="FF0000"/>
                <w:spacing w:val="8"/>
                <w:position w:val="1"/>
                <w:sz w:val="21"/>
                <w:szCs w:val="21"/>
              </w:rPr>
              <w:t>00</w:t>
            </w:r>
            <w:r>
              <w:rPr>
                <w:rFonts w:hint="default" w:ascii="Times New Roman" w:hAnsi="Times New Roman" w:cs="Times New Roman"/>
                <w:color w:val="FF0000"/>
                <w:spacing w:val="8"/>
                <w:position w:val="1"/>
                <w:sz w:val="21"/>
                <w:szCs w:val="21"/>
                <w:lang w:val="en-US" w:eastAsia="zh-CN"/>
              </w:rPr>
              <w:t>2</w:t>
            </w:r>
          </w:p>
        </w:tc>
        <w:tc>
          <w:tcPr>
            <w:tcW w:w="1428" w:type="dxa"/>
            <w:vMerge w:val="restart"/>
            <w:tcBorders>
              <w:tl2br w:val="nil"/>
              <w:tr2bl w:val="nil"/>
            </w:tcBorders>
            <w:vAlign w:val="center"/>
          </w:tcPr>
          <w:p w14:paraId="27190D98">
            <w:pPr>
              <w:spacing w:before="151" w:line="252" w:lineRule="auto"/>
              <w:ind w:left="412" w:right="188" w:hanging="207"/>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5"/>
                <w:sz w:val="21"/>
                <w:szCs w:val="21"/>
              </w:rPr>
              <w:t>除臭装置故</w:t>
            </w:r>
            <w:r>
              <w:rPr>
                <w:rFonts w:hint="default" w:ascii="Times New Roman" w:hAnsi="Times New Roman" w:eastAsia="宋体" w:cs="Times New Roman"/>
                <w:color w:val="FF0000"/>
                <w:spacing w:val="2"/>
                <w:sz w:val="21"/>
                <w:szCs w:val="21"/>
              </w:rPr>
              <w:t xml:space="preserve"> </w:t>
            </w:r>
            <w:r>
              <w:rPr>
                <w:rFonts w:hint="default" w:ascii="Times New Roman" w:hAnsi="Times New Roman" w:eastAsia="宋体" w:cs="Times New Roman"/>
                <w:color w:val="FF0000"/>
                <w:spacing w:val="3"/>
                <w:sz w:val="21"/>
                <w:szCs w:val="21"/>
              </w:rPr>
              <w:t>障失效</w:t>
            </w:r>
          </w:p>
        </w:tc>
        <w:tc>
          <w:tcPr>
            <w:tcW w:w="1053" w:type="dxa"/>
            <w:tcBorders>
              <w:tl2br w:val="nil"/>
              <w:tr2bl w:val="nil"/>
            </w:tcBorders>
            <w:vAlign w:val="center"/>
          </w:tcPr>
          <w:p w14:paraId="337D1EF1">
            <w:pPr>
              <w:pStyle w:val="113"/>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7"/>
                <w:sz w:val="21"/>
                <w:szCs w:val="21"/>
              </w:rPr>
              <w:t>NH</w:t>
            </w:r>
            <w:r>
              <w:rPr>
                <w:rFonts w:hint="default" w:ascii="Times New Roman" w:hAnsi="Times New Roman" w:cs="Times New Roman"/>
                <w:color w:val="FF0000"/>
                <w:spacing w:val="7"/>
                <w:sz w:val="21"/>
                <w:szCs w:val="21"/>
                <w:vertAlign w:val="subscript"/>
              </w:rPr>
              <w:t>3</w:t>
            </w:r>
          </w:p>
        </w:tc>
        <w:tc>
          <w:tcPr>
            <w:tcW w:w="1734" w:type="dxa"/>
            <w:tcBorders>
              <w:tl2br w:val="nil"/>
              <w:tr2bl w:val="nil"/>
            </w:tcBorders>
            <w:vAlign w:val="center"/>
          </w:tcPr>
          <w:p w14:paraId="150A3ED9">
            <w:pPr>
              <w:keepNext w:val="0"/>
              <w:keepLines w:val="0"/>
              <w:widowControl/>
              <w:suppressLineNumbers w:val="0"/>
              <w:jc w:val="center"/>
              <w:textAlignment w:val="center"/>
              <w:rPr>
                <w:rFonts w:hint="default" w:ascii="Times New Roman" w:hAnsi="Times New Roman" w:cs="Times New Roman"/>
                <w:color w:val="FF0000"/>
                <w:sz w:val="21"/>
                <w:szCs w:val="21"/>
              </w:rPr>
            </w:pPr>
            <w:r>
              <w:rPr>
                <w:rFonts w:hint="default" w:ascii="Times New Roman" w:hAnsi="Times New Roman" w:eastAsia="宋体" w:cs="Times New Roman"/>
                <w:snapToGrid w:val="0"/>
                <w:color w:val="FF0000"/>
                <w:sz w:val="21"/>
                <w:szCs w:val="22"/>
                <w:highlight w:val="none"/>
                <w:lang w:val="en-US" w:eastAsia="zh-CN" w:bidi="zh-CN"/>
              </w:rPr>
              <w:t>0.009</w:t>
            </w:r>
          </w:p>
        </w:tc>
        <w:tc>
          <w:tcPr>
            <w:tcW w:w="1161" w:type="dxa"/>
            <w:vMerge w:val="continue"/>
            <w:tcBorders>
              <w:tl2br w:val="nil"/>
              <w:tr2bl w:val="nil"/>
            </w:tcBorders>
            <w:vAlign w:val="center"/>
          </w:tcPr>
          <w:p w14:paraId="3167809D">
            <w:pPr>
              <w:pStyle w:val="113"/>
              <w:spacing w:before="258" w:line="274" w:lineRule="exact"/>
              <w:ind w:left="552"/>
              <w:rPr>
                <w:rFonts w:hint="default" w:ascii="Times New Roman" w:hAnsi="Times New Roman" w:cs="Times New Roman"/>
                <w:color w:val="FF0000"/>
                <w:sz w:val="21"/>
                <w:szCs w:val="21"/>
              </w:rPr>
            </w:pPr>
          </w:p>
        </w:tc>
        <w:tc>
          <w:tcPr>
            <w:tcW w:w="1094" w:type="dxa"/>
            <w:vMerge w:val="continue"/>
            <w:tcBorders>
              <w:tl2br w:val="nil"/>
              <w:tr2bl w:val="nil"/>
            </w:tcBorders>
            <w:vAlign w:val="center"/>
          </w:tcPr>
          <w:p w14:paraId="0705B677">
            <w:pPr>
              <w:pStyle w:val="113"/>
              <w:spacing w:before="258" w:line="274" w:lineRule="exact"/>
              <w:ind w:left="516"/>
              <w:rPr>
                <w:rFonts w:hint="default" w:ascii="Times New Roman" w:hAnsi="Times New Roman" w:cs="Times New Roman"/>
                <w:color w:val="FF0000"/>
                <w:sz w:val="21"/>
                <w:szCs w:val="21"/>
              </w:rPr>
            </w:pPr>
          </w:p>
        </w:tc>
      </w:tr>
      <w:tr w14:paraId="69EBC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057" w:type="dxa"/>
            <w:vMerge w:val="continue"/>
            <w:tcBorders>
              <w:tl2br w:val="nil"/>
              <w:tr2bl w:val="nil"/>
            </w:tcBorders>
            <w:vAlign w:val="center"/>
          </w:tcPr>
          <w:p w14:paraId="6B9CA025">
            <w:pPr>
              <w:rPr>
                <w:rFonts w:hint="default" w:ascii="Times New Roman" w:hAnsi="Times New Roman" w:cs="Times New Roman"/>
                <w:color w:val="FF0000"/>
                <w:sz w:val="21"/>
                <w:szCs w:val="21"/>
              </w:rPr>
            </w:pPr>
          </w:p>
        </w:tc>
        <w:tc>
          <w:tcPr>
            <w:tcW w:w="1428" w:type="dxa"/>
            <w:vMerge w:val="continue"/>
            <w:tcBorders>
              <w:tl2br w:val="nil"/>
              <w:tr2bl w:val="nil"/>
            </w:tcBorders>
            <w:vAlign w:val="center"/>
          </w:tcPr>
          <w:p w14:paraId="3EA6CE1D">
            <w:pPr>
              <w:rPr>
                <w:rFonts w:hint="default" w:ascii="Times New Roman" w:hAnsi="Times New Roman" w:cs="Times New Roman"/>
                <w:color w:val="FF0000"/>
                <w:sz w:val="21"/>
                <w:szCs w:val="21"/>
              </w:rPr>
            </w:pPr>
          </w:p>
        </w:tc>
        <w:tc>
          <w:tcPr>
            <w:tcW w:w="1053" w:type="dxa"/>
            <w:tcBorders>
              <w:tl2br w:val="nil"/>
              <w:tr2bl w:val="nil"/>
            </w:tcBorders>
            <w:vAlign w:val="center"/>
          </w:tcPr>
          <w:p w14:paraId="368C4F87">
            <w:pPr>
              <w:pStyle w:val="113"/>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3"/>
                <w:position w:val="1"/>
                <w:sz w:val="21"/>
                <w:szCs w:val="21"/>
              </w:rPr>
              <w:t>H</w:t>
            </w:r>
            <w:r>
              <w:rPr>
                <w:rFonts w:hint="default" w:ascii="Times New Roman" w:hAnsi="Times New Roman" w:cs="Times New Roman"/>
                <w:color w:val="FF0000"/>
                <w:spacing w:val="3"/>
                <w:position w:val="1"/>
                <w:sz w:val="21"/>
                <w:szCs w:val="21"/>
                <w:vertAlign w:val="subscript"/>
              </w:rPr>
              <w:t>2</w:t>
            </w:r>
            <w:r>
              <w:rPr>
                <w:rFonts w:hint="default" w:ascii="Times New Roman" w:hAnsi="Times New Roman" w:cs="Times New Roman"/>
                <w:color w:val="FF0000"/>
                <w:spacing w:val="3"/>
                <w:position w:val="1"/>
                <w:sz w:val="21"/>
                <w:szCs w:val="21"/>
              </w:rPr>
              <w:t>S</w:t>
            </w:r>
          </w:p>
        </w:tc>
        <w:tc>
          <w:tcPr>
            <w:tcW w:w="1734" w:type="dxa"/>
            <w:tcBorders>
              <w:tl2br w:val="nil"/>
              <w:tr2bl w:val="nil"/>
            </w:tcBorders>
            <w:vAlign w:val="center"/>
          </w:tcPr>
          <w:p w14:paraId="46BFCDB0">
            <w:pPr>
              <w:keepNext w:val="0"/>
              <w:keepLines w:val="0"/>
              <w:widowControl/>
              <w:suppressLineNumbers w:val="0"/>
              <w:jc w:val="center"/>
              <w:textAlignment w:val="center"/>
              <w:rPr>
                <w:rFonts w:hint="default" w:ascii="Times New Roman" w:hAnsi="Times New Roman" w:cs="Times New Roman"/>
                <w:color w:val="FF0000"/>
                <w:sz w:val="21"/>
                <w:szCs w:val="21"/>
              </w:rPr>
            </w:pPr>
            <w:r>
              <w:rPr>
                <w:rFonts w:hint="default" w:ascii="Times New Roman" w:hAnsi="Times New Roman" w:eastAsia="宋体" w:cs="Times New Roman"/>
                <w:snapToGrid w:val="0"/>
                <w:color w:val="FF0000"/>
                <w:sz w:val="21"/>
                <w:szCs w:val="22"/>
                <w:highlight w:val="none"/>
                <w:lang w:val="en-US" w:eastAsia="zh-CN" w:bidi="zh-CN"/>
              </w:rPr>
              <w:t>0.001</w:t>
            </w:r>
          </w:p>
        </w:tc>
        <w:tc>
          <w:tcPr>
            <w:tcW w:w="1161" w:type="dxa"/>
            <w:vMerge w:val="continue"/>
            <w:tcBorders>
              <w:tl2br w:val="nil"/>
              <w:tr2bl w:val="nil"/>
            </w:tcBorders>
            <w:vAlign w:val="center"/>
          </w:tcPr>
          <w:p w14:paraId="7ECB929E">
            <w:pPr>
              <w:rPr>
                <w:rFonts w:hint="default" w:ascii="Times New Roman" w:hAnsi="Times New Roman" w:cs="Times New Roman"/>
                <w:color w:val="FF0000"/>
                <w:sz w:val="21"/>
                <w:szCs w:val="21"/>
              </w:rPr>
            </w:pPr>
          </w:p>
        </w:tc>
        <w:tc>
          <w:tcPr>
            <w:tcW w:w="1094" w:type="dxa"/>
            <w:vMerge w:val="continue"/>
            <w:tcBorders>
              <w:tl2br w:val="nil"/>
              <w:tr2bl w:val="nil"/>
            </w:tcBorders>
            <w:vAlign w:val="center"/>
          </w:tcPr>
          <w:p w14:paraId="48676D1C">
            <w:pPr>
              <w:rPr>
                <w:rFonts w:hint="default" w:ascii="Times New Roman" w:hAnsi="Times New Roman" w:cs="Times New Roman"/>
                <w:color w:val="FF0000"/>
                <w:sz w:val="21"/>
                <w:szCs w:val="21"/>
              </w:rPr>
            </w:pPr>
          </w:p>
        </w:tc>
      </w:tr>
    </w:tbl>
    <w:p w14:paraId="7AD66F55">
      <w:pPr>
        <w:bidi w:val="0"/>
        <w:rPr>
          <w:rFonts w:hint="default" w:ascii="Times New Roman" w:hAnsi="Times New Roman" w:cs="Times New Roman"/>
          <w:lang w:val="en-US"/>
        </w:rPr>
      </w:pPr>
    </w:p>
    <w:p w14:paraId="1A37410B">
      <w:pPr>
        <w:pStyle w:val="5"/>
        <w:bidi w:val="0"/>
        <w:rPr>
          <w:rFonts w:hint="default" w:ascii="Times New Roman" w:hAnsi="Times New Roman" w:cs="Times New Roman"/>
          <w:lang w:val="en-US"/>
        </w:rPr>
      </w:pPr>
      <w:r>
        <w:rPr>
          <w:rFonts w:hint="default" w:ascii="Times New Roman" w:hAnsi="Times New Roman" w:cs="Times New Roman"/>
          <w:lang w:val="en-US"/>
        </w:rPr>
        <w:t>大气环境影响评价自查表</w:t>
      </w:r>
    </w:p>
    <w:p w14:paraId="7C557CC4">
      <w:pPr>
        <w:pStyle w:val="16"/>
        <w:bidi w:val="0"/>
        <w:rPr>
          <w:rFonts w:hint="default" w:ascii="Times New Roman" w:hAnsi="Times New Roman" w:cs="Times New Roman"/>
          <w:color w:val="auto"/>
          <w:highlight w:val="yellow"/>
          <w:lang w:eastAsia="zh-CN"/>
        </w:rPr>
      </w:pPr>
      <w:r>
        <w:rPr>
          <w:rFonts w:hint="default" w:ascii="Times New Roman" w:hAnsi="Times New Roman" w:cs="Times New Roman"/>
          <w:color w:val="auto"/>
        </w:rPr>
        <w:t>本项目大气环境影响评价自查表详见</w:t>
      </w: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14:paraId="1F12E0B2">
      <w:pPr>
        <w:pStyle w:val="14"/>
        <w:bidi w:val="0"/>
        <w:rPr>
          <w:rFonts w:hint="default" w:ascii="Times New Roman" w:hAnsi="Times New Roman" w:cs="Times New Roman"/>
          <w:color w:val="auto"/>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5.2</w:t>
      </w:r>
      <w:r>
        <w:rPr>
          <w:rFonts w:hint="default" w:ascii="Times New Roman" w:hAnsi="Times New Roman" w:cs="Times New Roman"/>
          <w:highlight w:val="none"/>
        </w:rPr>
        <w:fldChar w:fldCharType="end"/>
      </w:r>
      <w:r>
        <w:rPr>
          <w:rFonts w:hint="default" w:ascii="Times New Roman" w:hAnsi="Times New Roman" w:cs="Times New Roman"/>
          <w:highlight w:val="none"/>
          <w:lang w:eastAsia="zh-CN"/>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10</w:t>
      </w:r>
      <w:r>
        <w:rPr>
          <w:rFonts w:hint="default" w:ascii="Times New Roman" w:hAnsi="Times New Roman" w:cs="Times New Roman"/>
          <w:highlight w:val="none"/>
        </w:rPr>
        <w:fldChar w:fldCharType="end"/>
      </w:r>
      <w:r>
        <w:rPr>
          <w:rFonts w:hint="default" w:ascii="Times New Roman" w:hAnsi="Times New Roman" w:cs="Times New Roman"/>
          <w:color w:val="auto"/>
          <w:highlight w:val="none"/>
        </w:rPr>
        <w:t>建</w:t>
      </w:r>
      <w:r>
        <w:rPr>
          <w:rFonts w:hint="default" w:ascii="Times New Roman" w:hAnsi="Times New Roman" w:cs="Times New Roman"/>
          <w:color w:val="auto"/>
        </w:rPr>
        <w:t>设项目大气环境影响评价自查表</w:t>
      </w:r>
    </w:p>
    <w:tbl>
      <w:tblPr>
        <w:tblStyle w:val="33"/>
        <w:tblW w:w="9016" w:type="dxa"/>
        <w:tblInd w:w="-4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8"/>
        <w:gridCol w:w="1723"/>
        <w:gridCol w:w="634"/>
        <w:gridCol w:w="326"/>
        <w:gridCol w:w="780"/>
        <w:gridCol w:w="326"/>
        <w:gridCol w:w="994"/>
        <w:gridCol w:w="551"/>
        <w:gridCol w:w="336"/>
        <w:gridCol w:w="1063"/>
        <w:gridCol w:w="699"/>
        <w:gridCol w:w="736"/>
      </w:tblGrid>
      <w:tr w14:paraId="7A09A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71" w:type="dxa"/>
            <w:gridSpan w:val="2"/>
            <w:noWrap w:val="0"/>
            <w:vAlign w:val="center"/>
          </w:tcPr>
          <w:p w14:paraId="31D9F6C1">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工作内容</w:t>
            </w:r>
          </w:p>
        </w:tc>
        <w:tc>
          <w:tcPr>
            <w:tcW w:w="6445" w:type="dxa"/>
            <w:gridSpan w:val="10"/>
            <w:noWrap w:val="0"/>
            <w:vAlign w:val="center"/>
          </w:tcPr>
          <w:p w14:paraId="086AAD16">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自查项目</w:t>
            </w:r>
          </w:p>
        </w:tc>
      </w:tr>
      <w:tr w14:paraId="4E600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48" w:type="dxa"/>
            <w:vMerge w:val="restart"/>
            <w:noWrap w:val="0"/>
            <w:vAlign w:val="center"/>
          </w:tcPr>
          <w:p w14:paraId="65B0A13A">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评价等级与范围</w:t>
            </w:r>
          </w:p>
        </w:tc>
        <w:tc>
          <w:tcPr>
            <w:tcW w:w="1723" w:type="dxa"/>
            <w:noWrap w:val="0"/>
            <w:vAlign w:val="center"/>
          </w:tcPr>
          <w:p w14:paraId="2B5DADEF">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w:t>
            </w:r>
          </w:p>
        </w:tc>
        <w:tc>
          <w:tcPr>
            <w:tcW w:w="2066" w:type="dxa"/>
            <w:gridSpan w:val="4"/>
            <w:tcBorders>
              <w:right w:val="single" w:color="000000" w:sz="6" w:space="0"/>
            </w:tcBorders>
            <w:noWrap w:val="0"/>
            <w:vAlign w:val="center"/>
          </w:tcPr>
          <w:p w14:paraId="2D8F3C21">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1881" w:type="dxa"/>
            <w:gridSpan w:val="3"/>
            <w:tcBorders>
              <w:left w:val="single" w:color="000000" w:sz="6" w:space="0"/>
            </w:tcBorders>
            <w:noWrap w:val="0"/>
            <w:vAlign w:val="center"/>
          </w:tcPr>
          <w:p w14:paraId="3E5DE832">
            <w:pPr>
              <w:pStyle w:val="69"/>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二级</w:t>
            </w:r>
            <w:r>
              <w:rPr>
                <w:rFonts w:hint="default" w:ascii="Times New Roman" w:hAnsi="Times New Roman" w:cs="Times New Roman"/>
                <w:color w:val="auto"/>
                <w:sz w:val="21"/>
                <w:szCs w:val="21"/>
                <w:highlight w:val="none"/>
                <w:lang w:eastAsia="zh-CN"/>
              </w:rPr>
              <w:t>☑</w:t>
            </w:r>
          </w:p>
        </w:tc>
        <w:tc>
          <w:tcPr>
            <w:tcW w:w="2498" w:type="dxa"/>
            <w:gridSpan w:val="3"/>
            <w:noWrap w:val="0"/>
            <w:vAlign w:val="center"/>
          </w:tcPr>
          <w:p w14:paraId="70545413">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r>
      <w:tr w14:paraId="475F2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48" w:type="dxa"/>
            <w:vMerge w:val="continue"/>
            <w:tcBorders>
              <w:top w:val="nil"/>
            </w:tcBorders>
            <w:noWrap w:val="0"/>
            <w:vAlign w:val="center"/>
          </w:tcPr>
          <w:p w14:paraId="16AD77B6">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430771D2">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评价范围</w:t>
            </w:r>
          </w:p>
        </w:tc>
        <w:tc>
          <w:tcPr>
            <w:tcW w:w="2066" w:type="dxa"/>
            <w:gridSpan w:val="4"/>
            <w:tcBorders>
              <w:right w:val="single" w:color="000000" w:sz="6" w:space="0"/>
            </w:tcBorders>
            <w:noWrap w:val="0"/>
            <w:vAlign w:val="center"/>
          </w:tcPr>
          <w:p w14:paraId="3432142D">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边长=50km□</w:t>
            </w:r>
          </w:p>
        </w:tc>
        <w:tc>
          <w:tcPr>
            <w:tcW w:w="1881" w:type="dxa"/>
            <w:gridSpan w:val="3"/>
            <w:tcBorders>
              <w:left w:val="single" w:color="000000" w:sz="6" w:space="0"/>
            </w:tcBorders>
            <w:noWrap w:val="0"/>
            <w:vAlign w:val="center"/>
          </w:tcPr>
          <w:p w14:paraId="089183EB">
            <w:pPr>
              <w:pStyle w:val="69"/>
              <w:spacing w:line="249" w:lineRule="auto"/>
              <w:ind w:left="0" w:leftChars="0" w:right="-10" w:rightChars="0" w:firstLine="0"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边长5~50km</w:t>
            </w:r>
            <w:r>
              <w:rPr>
                <w:rFonts w:hint="default" w:ascii="Times New Roman" w:hAnsi="Times New Roman" w:cs="Times New Roman"/>
                <w:color w:val="auto"/>
                <w:sz w:val="21"/>
                <w:szCs w:val="21"/>
                <w:highlight w:val="none"/>
              </w:rPr>
              <w:sym w:font="Wingdings" w:char="00A8"/>
            </w:r>
          </w:p>
        </w:tc>
        <w:tc>
          <w:tcPr>
            <w:tcW w:w="2498" w:type="dxa"/>
            <w:gridSpan w:val="3"/>
            <w:noWrap w:val="0"/>
            <w:vAlign w:val="center"/>
          </w:tcPr>
          <w:p w14:paraId="457C3D02">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边长=5km</w:t>
            </w:r>
            <w:r>
              <w:rPr>
                <w:rFonts w:hint="default" w:ascii="Times New Roman" w:hAnsi="Times New Roman" w:cs="Times New Roman"/>
                <w:color w:val="auto"/>
                <w:sz w:val="21"/>
                <w:szCs w:val="21"/>
                <w:highlight w:val="none"/>
                <w:lang w:eastAsia="zh-CN"/>
              </w:rPr>
              <w:t>☑</w:t>
            </w:r>
          </w:p>
        </w:tc>
      </w:tr>
      <w:tr w14:paraId="3F4E5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848" w:type="dxa"/>
            <w:vMerge w:val="restart"/>
            <w:noWrap w:val="0"/>
            <w:vAlign w:val="center"/>
          </w:tcPr>
          <w:p w14:paraId="298D7597">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1723" w:type="dxa"/>
            <w:noWrap w:val="0"/>
            <w:vAlign w:val="center"/>
          </w:tcPr>
          <w:p w14:paraId="0878FAB8">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排放量</w:t>
            </w:r>
          </w:p>
        </w:tc>
        <w:tc>
          <w:tcPr>
            <w:tcW w:w="2066" w:type="dxa"/>
            <w:gridSpan w:val="4"/>
            <w:tcBorders>
              <w:right w:val="single" w:color="000000" w:sz="6" w:space="0"/>
            </w:tcBorders>
            <w:noWrap w:val="0"/>
            <w:vAlign w:val="center"/>
          </w:tcPr>
          <w:p w14:paraId="28326E0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≥2000t/a□</w:t>
            </w:r>
          </w:p>
        </w:tc>
        <w:tc>
          <w:tcPr>
            <w:tcW w:w="1881" w:type="dxa"/>
            <w:gridSpan w:val="3"/>
            <w:tcBorders>
              <w:left w:val="single" w:color="000000" w:sz="6" w:space="0"/>
            </w:tcBorders>
            <w:noWrap w:val="0"/>
            <w:vAlign w:val="center"/>
          </w:tcPr>
          <w:p w14:paraId="27E31049">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500~2000t/a□</w:t>
            </w:r>
          </w:p>
        </w:tc>
        <w:tc>
          <w:tcPr>
            <w:tcW w:w="2498" w:type="dxa"/>
            <w:gridSpan w:val="3"/>
            <w:noWrap w:val="0"/>
            <w:vAlign w:val="center"/>
          </w:tcPr>
          <w:p w14:paraId="40B6594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＜500t/a</w:t>
            </w:r>
            <w:r>
              <w:rPr>
                <w:rFonts w:hint="default" w:ascii="Times New Roman" w:hAnsi="Times New Roman" w:cs="Times New Roman"/>
                <w:color w:val="auto"/>
                <w:sz w:val="21"/>
                <w:szCs w:val="21"/>
                <w:highlight w:val="none"/>
                <w:lang w:eastAsia="zh-CN"/>
              </w:rPr>
              <w:t>☑</w:t>
            </w:r>
          </w:p>
        </w:tc>
      </w:tr>
      <w:tr w14:paraId="011AC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8" w:type="dxa"/>
            <w:vMerge w:val="continue"/>
            <w:tcBorders>
              <w:top w:val="nil"/>
            </w:tcBorders>
            <w:noWrap w:val="0"/>
            <w:vAlign w:val="center"/>
          </w:tcPr>
          <w:p w14:paraId="5A437DFD">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6EDC4F56">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3947" w:type="dxa"/>
            <w:gridSpan w:val="7"/>
            <w:noWrap w:val="0"/>
            <w:vAlign w:val="center"/>
          </w:tcPr>
          <w:p w14:paraId="25BE0D87">
            <w:pPr>
              <w:pStyle w:val="1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基本污染物（PM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、CO、O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）其他污染物（H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w:t>
            </w:r>
          </w:p>
        </w:tc>
        <w:tc>
          <w:tcPr>
            <w:tcW w:w="2498" w:type="dxa"/>
            <w:gridSpan w:val="3"/>
            <w:noWrap w:val="0"/>
            <w:vAlign w:val="center"/>
          </w:tcPr>
          <w:p w14:paraId="50D5F3AB">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包括二次PM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w:t>
            </w:r>
          </w:p>
          <w:p w14:paraId="614B0802">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不包括二次PM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w:t>
            </w:r>
          </w:p>
        </w:tc>
      </w:tr>
      <w:tr w14:paraId="30ED7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848" w:type="dxa"/>
            <w:noWrap w:val="0"/>
            <w:vAlign w:val="center"/>
          </w:tcPr>
          <w:p w14:paraId="2FB5368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1723" w:type="dxa"/>
            <w:noWrap w:val="0"/>
            <w:vAlign w:val="center"/>
          </w:tcPr>
          <w:p w14:paraId="23D00D73">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1740" w:type="dxa"/>
            <w:gridSpan w:val="3"/>
            <w:noWrap w:val="0"/>
            <w:vAlign w:val="center"/>
          </w:tcPr>
          <w:p w14:paraId="2D747334">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国家标准□</w:t>
            </w:r>
          </w:p>
        </w:tc>
        <w:tc>
          <w:tcPr>
            <w:tcW w:w="1320" w:type="dxa"/>
            <w:gridSpan w:val="2"/>
            <w:noWrap w:val="0"/>
            <w:vAlign w:val="center"/>
          </w:tcPr>
          <w:p w14:paraId="1BC62BF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地方标准□</w:t>
            </w:r>
          </w:p>
        </w:tc>
        <w:tc>
          <w:tcPr>
            <w:tcW w:w="1950" w:type="dxa"/>
            <w:gridSpan w:val="3"/>
            <w:noWrap w:val="0"/>
            <w:vAlign w:val="center"/>
          </w:tcPr>
          <w:p w14:paraId="061209F1">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附录D☑</w:t>
            </w:r>
          </w:p>
        </w:tc>
        <w:tc>
          <w:tcPr>
            <w:tcW w:w="1435" w:type="dxa"/>
            <w:gridSpan w:val="2"/>
            <w:noWrap w:val="0"/>
            <w:vAlign w:val="center"/>
          </w:tcPr>
          <w:p w14:paraId="0F6DCFCD">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其他标准□</w:t>
            </w:r>
          </w:p>
        </w:tc>
      </w:tr>
      <w:tr w14:paraId="6E88C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848" w:type="dxa"/>
            <w:vMerge w:val="restart"/>
            <w:noWrap w:val="0"/>
            <w:vAlign w:val="center"/>
          </w:tcPr>
          <w:p w14:paraId="2AE4A35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1723" w:type="dxa"/>
            <w:noWrap w:val="0"/>
            <w:vAlign w:val="center"/>
          </w:tcPr>
          <w:p w14:paraId="3AF77A70">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环境功能区</w:t>
            </w:r>
          </w:p>
        </w:tc>
        <w:tc>
          <w:tcPr>
            <w:tcW w:w="2066" w:type="dxa"/>
            <w:gridSpan w:val="4"/>
            <w:tcBorders>
              <w:right w:val="single" w:color="000000" w:sz="6" w:space="0"/>
            </w:tcBorders>
            <w:noWrap w:val="0"/>
            <w:vAlign w:val="center"/>
          </w:tcPr>
          <w:p w14:paraId="0B1BE162">
            <w:pPr>
              <w:pStyle w:val="69"/>
              <w:spacing w:before="66"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w:t>
            </w:r>
          </w:p>
        </w:tc>
        <w:tc>
          <w:tcPr>
            <w:tcW w:w="1881" w:type="dxa"/>
            <w:gridSpan w:val="3"/>
            <w:tcBorders>
              <w:left w:val="single" w:color="000000" w:sz="6" w:space="0"/>
            </w:tcBorders>
            <w:noWrap w:val="0"/>
            <w:vAlign w:val="center"/>
          </w:tcPr>
          <w:p w14:paraId="791AE460">
            <w:pPr>
              <w:pStyle w:val="69"/>
              <w:spacing w:before="110"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w:t>
            </w:r>
          </w:p>
        </w:tc>
        <w:tc>
          <w:tcPr>
            <w:tcW w:w="2498" w:type="dxa"/>
            <w:gridSpan w:val="3"/>
            <w:noWrap w:val="0"/>
            <w:vAlign w:val="center"/>
          </w:tcPr>
          <w:p w14:paraId="02A619B7">
            <w:pPr>
              <w:pStyle w:val="69"/>
              <w:spacing w:before="66"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一类区和二类区□</w:t>
            </w:r>
          </w:p>
        </w:tc>
      </w:tr>
      <w:tr w14:paraId="30C11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48" w:type="dxa"/>
            <w:vMerge w:val="continue"/>
            <w:tcBorders>
              <w:top w:val="nil"/>
            </w:tcBorders>
            <w:noWrap w:val="0"/>
            <w:vAlign w:val="center"/>
          </w:tcPr>
          <w:p w14:paraId="0C256930">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10241B49">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评价基准年</w:t>
            </w:r>
          </w:p>
        </w:tc>
        <w:tc>
          <w:tcPr>
            <w:tcW w:w="6445" w:type="dxa"/>
            <w:gridSpan w:val="10"/>
            <w:noWrap w:val="0"/>
            <w:vAlign w:val="center"/>
          </w:tcPr>
          <w:p w14:paraId="62CF4BD1">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r>
              <w:rPr>
                <w:rFonts w:hint="default" w:ascii="Times New Roman" w:hAnsi="Times New Roman"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）年</w:t>
            </w:r>
          </w:p>
        </w:tc>
      </w:tr>
      <w:tr w14:paraId="24ED4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8" w:type="dxa"/>
            <w:vMerge w:val="continue"/>
            <w:tcBorders>
              <w:top w:val="nil"/>
            </w:tcBorders>
            <w:noWrap w:val="0"/>
            <w:vAlign w:val="center"/>
          </w:tcPr>
          <w:p w14:paraId="540A9072">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567D4975">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环境空气质量现状调查数据来源</w:t>
            </w:r>
          </w:p>
        </w:tc>
        <w:tc>
          <w:tcPr>
            <w:tcW w:w="2066" w:type="dxa"/>
            <w:gridSpan w:val="4"/>
            <w:tcBorders>
              <w:right w:val="single" w:color="000000" w:sz="6" w:space="0"/>
            </w:tcBorders>
            <w:noWrap w:val="0"/>
            <w:vAlign w:val="center"/>
          </w:tcPr>
          <w:p w14:paraId="4A8A1D19">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长期例行监测数据</w:t>
            </w:r>
            <w:r>
              <w:rPr>
                <w:rFonts w:hint="default" w:ascii="Times New Roman" w:hAnsi="Times New Roman" w:cs="Times New Roman"/>
                <w:color w:val="auto"/>
                <w:sz w:val="21"/>
                <w:szCs w:val="21"/>
                <w:highlight w:val="none"/>
                <w:lang w:eastAsia="zh-CN"/>
              </w:rPr>
              <w:t>□</w:t>
            </w:r>
          </w:p>
        </w:tc>
        <w:tc>
          <w:tcPr>
            <w:tcW w:w="1881" w:type="dxa"/>
            <w:gridSpan w:val="3"/>
            <w:tcBorders>
              <w:left w:val="single" w:color="000000" w:sz="6" w:space="0"/>
            </w:tcBorders>
            <w:noWrap w:val="0"/>
            <w:vAlign w:val="center"/>
          </w:tcPr>
          <w:p w14:paraId="5406DBB4">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主管部门发布的数据</w:t>
            </w:r>
            <w:r>
              <w:rPr>
                <w:rFonts w:hint="default" w:ascii="Times New Roman" w:hAnsi="Times New Roman" w:cs="Times New Roman"/>
                <w:color w:val="auto"/>
                <w:sz w:val="21"/>
                <w:szCs w:val="21"/>
                <w:highlight w:val="none"/>
                <w:lang w:eastAsia="zh-CN"/>
              </w:rPr>
              <w:t>☑</w:t>
            </w:r>
          </w:p>
        </w:tc>
        <w:tc>
          <w:tcPr>
            <w:tcW w:w="2498" w:type="dxa"/>
            <w:gridSpan w:val="3"/>
            <w:noWrap w:val="0"/>
            <w:vAlign w:val="center"/>
          </w:tcPr>
          <w:p w14:paraId="16B1C6CC">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现状补充监测</w:t>
            </w:r>
            <w:r>
              <w:rPr>
                <w:rFonts w:hint="default" w:ascii="Times New Roman" w:hAnsi="Times New Roman" w:cs="Times New Roman"/>
                <w:color w:val="auto"/>
                <w:sz w:val="21"/>
                <w:szCs w:val="21"/>
                <w:highlight w:val="none"/>
                <w:lang w:eastAsia="zh-CN"/>
              </w:rPr>
              <w:t>☑</w:t>
            </w:r>
          </w:p>
        </w:tc>
      </w:tr>
      <w:tr w14:paraId="125CB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48" w:type="dxa"/>
            <w:vMerge w:val="continue"/>
            <w:tcBorders>
              <w:top w:val="nil"/>
            </w:tcBorders>
            <w:noWrap w:val="0"/>
            <w:vAlign w:val="center"/>
          </w:tcPr>
          <w:p w14:paraId="038E5091">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2BCA6BF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3060" w:type="dxa"/>
            <w:gridSpan w:val="5"/>
            <w:noWrap w:val="0"/>
            <w:vAlign w:val="center"/>
          </w:tcPr>
          <w:p w14:paraId="491B7330">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达标区</w:t>
            </w:r>
            <w:r>
              <w:rPr>
                <w:rFonts w:hint="default" w:ascii="Times New Roman" w:hAnsi="Times New Roman" w:cs="Times New Roman"/>
                <w:color w:val="auto"/>
                <w:sz w:val="21"/>
                <w:szCs w:val="21"/>
                <w:highlight w:val="none"/>
                <w:lang w:eastAsia="zh-CN"/>
              </w:rPr>
              <w:t>☑</w:t>
            </w:r>
          </w:p>
        </w:tc>
        <w:tc>
          <w:tcPr>
            <w:tcW w:w="3385" w:type="dxa"/>
            <w:gridSpan w:val="5"/>
            <w:noWrap w:val="0"/>
            <w:vAlign w:val="center"/>
          </w:tcPr>
          <w:p w14:paraId="33D1316C">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不达标区</w:t>
            </w:r>
            <w:r>
              <w:rPr>
                <w:rFonts w:hint="default" w:ascii="Times New Roman" w:hAnsi="Times New Roman" w:cs="Times New Roman"/>
                <w:color w:val="auto"/>
                <w:sz w:val="21"/>
                <w:szCs w:val="21"/>
                <w:highlight w:val="none"/>
                <w:lang w:eastAsia="zh-CN"/>
              </w:rPr>
              <w:t>□</w:t>
            </w:r>
          </w:p>
        </w:tc>
      </w:tr>
      <w:tr w14:paraId="4C1CF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8" w:type="dxa"/>
            <w:noWrap w:val="0"/>
            <w:vAlign w:val="center"/>
          </w:tcPr>
          <w:p w14:paraId="186DCF7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污染源调查</w:t>
            </w:r>
          </w:p>
        </w:tc>
        <w:tc>
          <w:tcPr>
            <w:tcW w:w="1723" w:type="dxa"/>
            <w:noWrap w:val="0"/>
            <w:vAlign w:val="center"/>
          </w:tcPr>
          <w:p w14:paraId="19A3C7EB">
            <w:pPr>
              <w:pStyle w:val="69"/>
              <w:ind w:left="0" w:leftChars="0" w:right="-10" w:rightChars="0" w:firstLine="0" w:firstLineChars="0"/>
              <w:rPr>
                <w:rFonts w:hint="default" w:ascii="Times New Roman" w:hAnsi="Times New Roman" w:cs="Times New Roman"/>
                <w:color w:val="auto"/>
                <w:sz w:val="21"/>
                <w:szCs w:val="21"/>
                <w:highlight w:val="none"/>
              </w:rPr>
            </w:pPr>
          </w:p>
          <w:p w14:paraId="23E34F38">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调查内容</w:t>
            </w:r>
          </w:p>
        </w:tc>
        <w:tc>
          <w:tcPr>
            <w:tcW w:w="2066" w:type="dxa"/>
            <w:gridSpan w:val="4"/>
            <w:tcBorders>
              <w:right w:val="single" w:color="000000" w:sz="6" w:space="0"/>
            </w:tcBorders>
            <w:noWrap w:val="0"/>
            <w:vAlign w:val="center"/>
          </w:tcPr>
          <w:p w14:paraId="3625FEBD">
            <w:pPr>
              <w:pStyle w:val="69"/>
              <w:spacing w:line="208"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本项目正常排放源□</w:t>
            </w:r>
          </w:p>
          <w:p w14:paraId="6F20BB0F">
            <w:pPr>
              <w:pStyle w:val="69"/>
              <w:spacing w:line="208"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本项目非正常排放源□</w:t>
            </w:r>
          </w:p>
          <w:p w14:paraId="2F14DEFB">
            <w:pPr>
              <w:pStyle w:val="69"/>
              <w:spacing w:line="208" w:lineRule="exact"/>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现有污染源□</w:t>
            </w:r>
          </w:p>
        </w:tc>
        <w:tc>
          <w:tcPr>
            <w:tcW w:w="994" w:type="dxa"/>
            <w:tcBorders>
              <w:left w:val="single" w:color="000000" w:sz="6" w:space="0"/>
            </w:tcBorders>
            <w:noWrap w:val="0"/>
            <w:vAlign w:val="center"/>
          </w:tcPr>
          <w:p w14:paraId="7BD90232">
            <w:pPr>
              <w:pStyle w:val="69"/>
              <w:spacing w:line="208"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拟替代的污染源□</w:t>
            </w:r>
          </w:p>
        </w:tc>
        <w:tc>
          <w:tcPr>
            <w:tcW w:w="1950" w:type="dxa"/>
            <w:gridSpan w:val="3"/>
            <w:noWrap w:val="0"/>
            <w:vAlign w:val="center"/>
          </w:tcPr>
          <w:p w14:paraId="6E71F8EB">
            <w:pPr>
              <w:pStyle w:val="69"/>
              <w:spacing w:line="208"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其他在建、拟建项目污染源□</w:t>
            </w:r>
          </w:p>
        </w:tc>
        <w:tc>
          <w:tcPr>
            <w:tcW w:w="1435" w:type="dxa"/>
            <w:gridSpan w:val="2"/>
            <w:noWrap w:val="0"/>
            <w:vAlign w:val="center"/>
          </w:tcPr>
          <w:p w14:paraId="7811D002">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区域污染源□</w:t>
            </w:r>
          </w:p>
        </w:tc>
      </w:tr>
      <w:tr w14:paraId="15CCC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8" w:type="dxa"/>
            <w:vMerge w:val="restart"/>
            <w:noWrap w:val="0"/>
            <w:vAlign w:val="center"/>
          </w:tcPr>
          <w:p w14:paraId="29A60EB1">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大气环境影响预测与评价</w:t>
            </w:r>
          </w:p>
        </w:tc>
        <w:tc>
          <w:tcPr>
            <w:tcW w:w="1723" w:type="dxa"/>
            <w:noWrap w:val="0"/>
            <w:vAlign w:val="center"/>
          </w:tcPr>
          <w:p w14:paraId="55C4EEE8">
            <w:pPr>
              <w:pStyle w:val="69"/>
              <w:spacing w:before="132"/>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预测模型</w:t>
            </w:r>
          </w:p>
        </w:tc>
        <w:tc>
          <w:tcPr>
            <w:tcW w:w="960" w:type="dxa"/>
            <w:gridSpan w:val="2"/>
            <w:noWrap w:val="0"/>
            <w:vAlign w:val="center"/>
          </w:tcPr>
          <w:p w14:paraId="487002A5">
            <w:pPr>
              <w:pStyle w:val="69"/>
              <w:spacing w:before="22" w:line="208" w:lineRule="exact"/>
              <w:ind w:left="0" w:leftChars="0" w:right="-10" w:righ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AERSCREEN☑</w:t>
            </w:r>
          </w:p>
        </w:tc>
        <w:tc>
          <w:tcPr>
            <w:tcW w:w="780" w:type="dxa"/>
            <w:noWrap w:val="0"/>
            <w:vAlign w:val="center"/>
          </w:tcPr>
          <w:p w14:paraId="2E70BF3D">
            <w:pPr>
              <w:pStyle w:val="69"/>
              <w:spacing w:before="23" w:line="195" w:lineRule="exact"/>
              <w:ind w:left="0" w:leftChars="0" w:right="-10" w:righ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ADMS</w:t>
            </w:r>
          </w:p>
          <w:p w14:paraId="1497D1DD">
            <w:pPr>
              <w:pStyle w:val="69"/>
              <w:spacing w:line="240" w:lineRule="exact"/>
              <w:ind w:left="0" w:leftChars="0" w:right="-10" w:righ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20" w:type="dxa"/>
            <w:gridSpan w:val="2"/>
            <w:noWrap w:val="0"/>
            <w:vAlign w:val="center"/>
          </w:tcPr>
          <w:p w14:paraId="0DD46FFB">
            <w:pPr>
              <w:pStyle w:val="69"/>
              <w:spacing w:before="23" w:line="195" w:lineRule="exact"/>
              <w:ind w:left="0" w:leftChars="0" w:right="-10" w:righ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AUSTAL2000</w:t>
            </w:r>
          </w:p>
          <w:p w14:paraId="277C96EB">
            <w:pPr>
              <w:pStyle w:val="69"/>
              <w:spacing w:line="240" w:lineRule="exact"/>
              <w:ind w:left="0" w:leftChars="0" w:right="-10" w:righ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87" w:type="dxa"/>
            <w:gridSpan w:val="2"/>
            <w:noWrap w:val="0"/>
            <w:vAlign w:val="center"/>
          </w:tcPr>
          <w:p w14:paraId="66328AFA">
            <w:pPr>
              <w:pStyle w:val="69"/>
              <w:spacing w:before="23" w:line="195" w:lineRule="exact"/>
              <w:ind w:left="0" w:leftChars="0" w:right="-10" w:righ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EDMS/AEDT□</w:t>
            </w:r>
          </w:p>
        </w:tc>
        <w:tc>
          <w:tcPr>
            <w:tcW w:w="1063" w:type="dxa"/>
            <w:noWrap w:val="0"/>
            <w:vAlign w:val="center"/>
          </w:tcPr>
          <w:p w14:paraId="7D5DD7BC">
            <w:pPr>
              <w:pStyle w:val="69"/>
              <w:spacing w:before="23" w:line="195" w:lineRule="exact"/>
              <w:ind w:left="0" w:leftChars="0" w:right="-10" w:righ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CALPUFF□</w:t>
            </w:r>
          </w:p>
        </w:tc>
        <w:tc>
          <w:tcPr>
            <w:tcW w:w="699" w:type="dxa"/>
            <w:noWrap w:val="0"/>
            <w:vAlign w:val="center"/>
          </w:tcPr>
          <w:p w14:paraId="644139CE">
            <w:pPr>
              <w:pStyle w:val="69"/>
              <w:spacing w:before="12" w:line="213" w:lineRule="exact"/>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网络模型□</w:t>
            </w:r>
          </w:p>
        </w:tc>
        <w:tc>
          <w:tcPr>
            <w:tcW w:w="736" w:type="dxa"/>
            <w:noWrap w:val="0"/>
            <w:vAlign w:val="center"/>
          </w:tcPr>
          <w:p w14:paraId="6B86E693">
            <w:pPr>
              <w:pStyle w:val="69"/>
              <w:spacing w:before="12" w:line="213" w:lineRule="exact"/>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w:t>
            </w:r>
          </w:p>
          <w:p w14:paraId="3ED4008C">
            <w:pPr>
              <w:pStyle w:val="69"/>
              <w:spacing w:line="235" w:lineRule="exact"/>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77757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848" w:type="dxa"/>
            <w:vMerge w:val="continue"/>
            <w:tcBorders>
              <w:top w:val="nil"/>
            </w:tcBorders>
            <w:noWrap w:val="0"/>
            <w:vAlign w:val="center"/>
          </w:tcPr>
          <w:p w14:paraId="1810487C">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58D32A05">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预测范围</w:t>
            </w:r>
          </w:p>
        </w:tc>
        <w:tc>
          <w:tcPr>
            <w:tcW w:w="2066" w:type="dxa"/>
            <w:gridSpan w:val="4"/>
            <w:tcBorders>
              <w:right w:val="single" w:color="000000" w:sz="6" w:space="0"/>
            </w:tcBorders>
            <w:noWrap w:val="0"/>
            <w:vAlign w:val="center"/>
          </w:tcPr>
          <w:p w14:paraId="3FC7F4C6">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边长≥50km□</w:t>
            </w:r>
          </w:p>
        </w:tc>
        <w:tc>
          <w:tcPr>
            <w:tcW w:w="1881" w:type="dxa"/>
            <w:gridSpan w:val="3"/>
            <w:tcBorders>
              <w:left w:val="single" w:color="000000" w:sz="6" w:space="0"/>
            </w:tcBorders>
            <w:noWrap w:val="0"/>
            <w:vAlign w:val="center"/>
          </w:tcPr>
          <w:p w14:paraId="6C79D9B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边长5~50km□</w:t>
            </w:r>
          </w:p>
        </w:tc>
        <w:tc>
          <w:tcPr>
            <w:tcW w:w="2498" w:type="dxa"/>
            <w:gridSpan w:val="3"/>
            <w:noWrap w:val="0"/>
            <w:vAlign w:val="center"/>
          </w:tcPr>
          <w:p w14:paraId="691E8CB2">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边长=5km☑</w:t>
            </w:r>
          </w:p>
        </w:tc>
      </w:tr>
      <w:tr w14:paraId="6015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8" w:type="dxa"/>
            <w:vMerge w:val="continue"/>
            <w:tcBorders>
              <w:top w:val="nil"/>
            </w:tcBorders>
            <w:noWrap w:val="0"/>
            <w:vAlign w:val="center"/>
          </w:tcPr>
          <w:p w14:paraId="4F0BC551">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tcBorders>
              <w:bottom w:val="single" w:color="000000" w:sz="6" w:space="0"/>
            </w:tcBorders>
            <w:noWrap w:val="0"/>
            <w:vAlign w:val="center"/>
          </w:tcPr>
          <w:p w14:paraId="0C40912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w:t>
            </w:r>
          </w:p>
        </w:tc>
        <w:tc>
          <w:tcPr>
            <w:tcW w:w="3060" w:type="dxa"/>
            <w:gridSpan w:val="5"/>
            <w:tcBorders>
              <w:bottom w:val="single" w:color="000000" w:sz="6" w:space="0"/>
            </w:tcBorders>
            <w:noWrap w:val="0"/>
            <w:vAlign w:val="center"/>
          </w:tcPr>
          <w:p w14:paraId="2AADEAA1">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w:t>
            </w:r>
          </w:p>
        </w:tc>
        <w:tc>
          <w:tcPr>
            <w:tcW w:w="3385" w:type="dxa"/>
            <w:gridSpan w:val="5"/>
            <w:tcBorders>
              <w:bottom w:val="single" w:color="000000" w:sz="6" w:space="0"/>
            </w:tcBorders>
            <w:noWrap w:val="0"/>
            <w:vAlign w:val="center"/>
          </w:tcPr>
          <w:p w14:paraId="1835DBB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包括二次PM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w:t>
            </w:r>
          </w:p>
          <w:p w14:paraId="54092CD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不包括二次PM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w:t>
            </w:r>
          </w:p>
        </w:tc>
      </w:tr>
      <w:tr w14:paraId="4D9AF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48" w:type="dxa"/>
            <w:vMerge w:val="continue"/>
            <w:tcBorders>
              <w:top w:val="nil"/>
            </w:tcBorders>
            <w:noWrap w:val="0"/>
            <w:vAlign w:val="center"/>
          </w:tcPr>
          <w:p w14:paraId="3FE2B4D3">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tcBorders>
              <w:top w:val="single" w:color="000000" w:sz="6" w:space="0"/>
            </w:tcBorders>
            <w:noWrap w:val="0"/>
            <w:vAlign w:val="center"/>
          </w:tcPr>
          <w:p w14:paraId="632E443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正常排放短期浓度贡献值</w:t>
            </w:r>
          </w:p>
        </w:tc>
        <w:tc>
          <w:tcPr>
            <w:tcW w:w="3060" w:type="dxa"/>
            <w:gridSpan w:val="5"/>
            <w:tcBorders>
              <w:top w:val="single" w:color="000000" w:sz="6" w:space="0"/>
            </w:tcBorders>
            <w:noWrap w:val="0"/>
            <w:vAlign w:val="center"/>
          </w:tcPr>
          <w:p w14:paraId="506FCBF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C本项目最大占标率≤100%□</w:t>
            </w:r>
          </w:p>
        </w:tc>
        <w:tc>
          <w:tcPr>
            <w:tcW w:w="3385" w:type="dxa"/>
            <w:gridSpan w:val="5"/>
            <w:tcBorders>
              <w:top w:val="single" w:color="000000" w:sz="6" w:space="0"/>
            </w:tcBorders>
            <w:noWrap w:val="0"/>
            <w:vAlign w:val="center"/>
          </w:tcPr>
          <w:p w14:paraId="46EB4FE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C本项目最大占标率＞100%□</w:t>
            </w:r>
          </w:p>
        </w:tc>
      </w:tr>
      <w:tr w14:paraId="1F142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848" w:type="dxa"/>
            <w:vMerge w:val="continue"/>
            <w:tcBorders>
              <w:top w:val="nil"/>
            </w:tcBorders>
            <w:noWrap w:val="0"/>
            <w:vAlign w:val="center"/>
          </w:tcPr>
          <w:p w14:paraId="112C8D47">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vMerge w:val="restart"/>
            <w:noWrap w:val="0"/>
            <w:vAlign w:val="center"/>
          </w:tcPr>
          <w:p w14:paraId="791FF5D6">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正常排放年均浓度贡献值</w:t>
            </w:r>
          </w:p>
        </w:tc>
        <w:tc>
          <w:tcPr>
            <w:tcW w:w="634" w:type="dxa"/>
            <w:noWrap w:val="0"/>
            <w:vAlign w:val="center"/>
          </w:tcPr>
          <w:p w14:paraId="32D686D0">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w:t>
            </w:r>
          </w:p>
        </w:tc>
        <w:tc>
          <w:tcPr>
            <w:tcW w:w="2426" w:type="dxa"/>
            <w:gridSpan w:val="4"/>
            <w:noWrap w:val="0"/>
            <w:vAlign w:val="center"/>
          </w:tcPr>
          <w:p w14:paraId="27D00D1D">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C本项目最大占标率≤10%□</w:t>
            </w:r>
          </w:p>
        </w:tc>
        <w:tc>
          <w:tcPr>
            <w:tcW w:w="3385" w:type="dxa"/>
            <w:gridSpan w:val="5"/>
            <w:noWrap w:val="0"/>
            <w:vAlign w:val="center"/>
          </w:tcPr>
          <w:p w14:paraId="43BB9BB6">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C本项目最大占标率＞10%□</w:t>
            </w:r>
          </w:p>
        </w:tc>
      </w:tr>
      <w:tr w14:paraId="3BBE0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848" w:type="dxa"/>
            <w:vMerge w:val="continue"/>
            <w:tcBorders>
              <w:top w:val="nil"/>
            </w:tcBorders>
            <w:noWrap w:val="0"/>
            <w:vAlign w:val="center"/>
          </w:tcPr>
          <w:p w14:paraId="7F6C04F5">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vMerge w:val="continue"/>
            <w:tcBorders>
              <w:top w:val="nil"/>
            </w:tcBorders>
            <w:noWrap w:val="0"/>
            <w:vAlign w:val="center"/>
          </w:tcPr>
          <w:p w14:paraId="3D0AC202">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634" w:type="dxa"/>
            <w:noWrap w:val="0"/>
            <w:vAlign w:val="center"/>
          </w:tcPr>
          <w:p w14:paraId="7E63C363">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w:t>
            </w:r>
          </w:p>
        </w:tc>
        <w:tc>
          <w:tcPr>
            <w:tcW w:w="2426" w:type="dxa"/>
            <w:gridSpan w:val="4"/>
            <w:noWrap w:val="0"/>
            <w:vAlign w:val="center"/>
          </w:tcPr>
          <w:p w14:paraId="2B90F7CB">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C本项目最大占标率≤30%</w:t>
            </w:r>
            <w:r>
              <w:rPr>
                <w:rFonts w:hint="default" w:ascii="Times New Roman" w:hAnsi="Times New Roman" w:cs="Times New Roman"/>
                <w:color w:val="auto"/>
                <w:sz w:val="21"/>
                <w:szCs w:val="21"/>
                <w:highlight w:val="none"/>
                <w:lang w:eastAsia="zh-CN"/>
              </w:rPr>
              <w:t>□</w:t>
            </w:r>
          </w:p>
        </w:tc>
        <w:tc>
          <w:tcPr>
            <w:tcW w:w="3385" w:type="dxa"/>
            <w:gridSpan w:val="5"/>
            <w:noWrap w:val="0"/>
            <w:vAlign w:val="center"/>
          </w:tcPr>
          <w:p w14:paraId="0B266F20">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C本项目最大占标率＞30%□</w:t>
            </w:r>
          </w:p>
        </w:tc>
      </w:tr>
      <w:tr w14:paraId="3A227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8" w:type="dxa"/>
            <w:vMerge w:val="continue"/>
            <w:tcBorders>
              <w:top w:val="nil"/>
            </w:tcBorders>
            <w:noWrap w:val="0"/>
            <w:vAlign w:val="center"/>
          </w:tcPr>
          <w:p w14:paraId="527F4C0C">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224AED48">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非正常排放1h浓度贡献值</w:t>
            </w:r>
          </w:p>
        </w:tc>
        <w:tc>
          <w:tcPr>
            <w:tcW w:w="1740" w:type="dxa"/>
            <w:gridSpan w:val="3"/>
            <w:noWrap w:val="0"/>
            <w:vAlign w:val="center"/>
          </w:tcPr>
          <w:p w14:paraId="0794532B">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非正常持续时长（）h</w:t>
            </w:r>
          </w:p>
        </w:tc>
        <w:tc>
          <w:tcPr>
            <w:tcW w:w="1871" w:type="dxa"/>
            <w:gridSpan w:val="3"/>
            <w:noWrap w:val="0"/>
            <w:vAlign w:val="center"/>
          </w:tcPr>
          <w:p w14:paraId="33DF3AFA">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C非正常最大占标率≤100%□</w:t>
            </w:r>
          </w:p>
        </w:tc>
        <w:tc>
          <w:tcPr>
            <w:tcW w:w="2834" w:type="dxa"/>
            <w:gridSpan w:val="4"/>
            <w:noWrap w:val="0"/>
            <w:vAlign w:val="center"/>
          </w:tcPr>
          <w:p w14:paraId="0AF32F4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C非正常最大占标率＞100%□</w:t>
            </w:r>
          </w:p>
        </w:tc>
      </w:tr>
      <w:tr w14:paraId="4755F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8" w:type="dxa"/>
            <w:vMerge w:val="continue"/>
            <w:tcBorders>
              <w:top w:val="nil"/>
            </w:tcBorders>
            <w:noWrap w:val="0"/>
            <w:vAlign w:val="center"/>
          </w:tcPr>
          <w:p w14:paraId="7D4BB20B">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29FF8164">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保证率日平均浓度和年平均浓度叠加值</w:t>
            </w:r>
          </w:p>
        </w:tc>
        <w:tc>
          <w:tcPr>
            <w:tcW w:w="3060" w:type="dxa"/>
            <w:gridSpan w:val="5"/>
            <w:noWrap w:val="0"/>
            <w:vAlign w:val="center"/>
          </w:tcPr>
          <w:p w14:paraId="50E6C6E5">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C叠加达标□</w:t>
            </w:r>
          </w:p>
        </w:tc>
        <w:tc>
          <w:tcPr>
            <w:tcW w:w="3385" w:type="dxa"/>
            <w:gridSpan w:val="5"/>
            <w:noWrap w:val="0"/>
            <w:vAlign w:val="center"/>
          </w:tcPr>
          <w:p w14:paraId="7EA2C5A1">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C叠加不达标□</w:t>
            </w:r>
          </w:p>
        </w:tc>
      </w:tr>
      <w:tr w14:paraId="3535B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48" w:type="dxa"/>
            <w:vMerge w:val="continue"/>
            <w:tcBorders>
              <w:top w:val="nil"/>
            </w:tcBorders>
            <w:noWrap w:val="0"/>
            <w:vAlign w:val="center"/>
          </w:tcPr>
          <w:p w14:paraId="1831C258">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7DF83BA1">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区域环境质量的整体变化情况</w:t>
            </w:r>
          </w:p>
        </w:tc>
        <w:tc>
          <w:tcPr>
            <w:tcW w:w="3060" w:type="dxa"/>
            <w:gridSpan w:val="5"/>
            <w:noWrap w:val="0"/>
            <w:vAlign w:val="center"/>
          </w:tcPr>
          <w:p w14:paraId="7706CFE9">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k≤-20%□</w:t>
            </w:r>
          </w:p>
        </w:tc>
        <w:tc>
          <w:tcPr>
            <w:tcW w:w="3385" w:type="dxa"/>
            <w:gridSpan w:val="5"/>
            <w:noWrap w:val="0"/>
            <w:vAlign w:val="center"/>
          </w:tcPr>
          <w:p w14:paraId="442BE230">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k＞-20%□</w:t>
            </w:r>
          </w:p>
        </w:tc>
      </w:tr>
      <w:tr w14:paraId="3C0FA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48" w:type="dxa"/>
            <w:vMerge w:val="restart"/>
            <w:noWrap w:val="0"/>
            <w:vAlign w:val="center"/>
          </w:tcPr>
          <w:p w14:paraId="3B01B5C2">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环境监测计划</w:t>
            </w:r>
          </w:p>
        </w:tc>
        <w:tc>
          <w:tcPr>
            <w:tcW w:w="1723" w:type="dxa"/>
            <w:noWrap w:val="0"/>
            <w:vAlign w:val="center"/>
          </w:tcPr>
          <w:p w14:paraId="3A57B41C">
            <w:pPr>
              <w:pStyle w:val="69"/>
              <w:spacing w:before="12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污染源监测</w:t>
            </w:r>
          </w:p>
        </w:tc>
        <w:tc>
          <w:tcPr>
            <w:tcW w:w="3060" w:type="dxa"/>
            <w:gridSpan w:val="5"/>
            <w:noWrap w:val="0"/>
            <w:vAlign w:val="center"/>
          </w:tcPr>
          <w:p w14:paraId="0A3FDB95">
            <w:pPr>
              <w:pStyle w:val="69"/>
              <w:spacing w:before="12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、臭气浓度）</w:t>
            </w:r>
          </w:p>
        </w:tc>
        <w:tc>
          <w:tcPr>
            <w:tcW w:w="1950" w:type="dxa"/>
            <w:gridSpan w:val="3"/>
            <w:noWrap w:val="0"/>
            <w:vAlign w:val="center"/>
          </w:tcPr>
          <w:p w14:paraId="1424DD82">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有组织废气监测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10</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无组织废气监测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、臭气浓度</w:t>
            </w:r>
            <w:r>
              <w:rPr>
                <w:rFonts w:hint="default" w:ascii="Times New Roman" w:hAnsi="Times New Roman" w:cs="Times New Roman"/>
                <w:color w:val="auto"/>
                <w:sz w:val="21"/>
                <w:szCs w:val="21"/>
                <w:highlight w:val="none"/>
                <w:lang w:val="en-US" w:eastAsia="zh-CN"/>
              </w:rPr>
              <w:t>、TSP）</w:t>
            </w:r>
          </w:p>
        </w:tc>
        <w:tc>
          <w:tcPr>
            <w:tcW w:w="1435" w:type="dxa"/>
            <w:gridSpan w:val="2"/>
            <w:noWrap w:val="0"/>
            <w:vAlign w:val="center"/>
          </w:tcPr>
          <w:p w14:paraId="6DCE3355">
            <w:pPr>
              <w:pStyle w:val="69"/>
              <w:spacing w:before="85"/>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无监测□</w:t>
            </w:r>
          </w:p>
        </w:tc>
      </w:tr>
      <w:tr w14:paraId="2B207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48" w:type="dxa"/>
            <w:vMerge w:val="continue"/>
            <w:tcBorders>
              <w:top w:val="nil"/>
            </w:tcBorders>
            <w:noWrap w:val="0"/>
            <w:vAlign w:val="center"/>
          </w:tcPr>
          <w:p w14:paraId="3D90215D">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3283214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环境质量监测</w:t>
            </w:r>
          </w:p>
        </w:tc>
        <w:tc>
          <w:tcPr>
            <w:tcW w:w="3060" w:type="dxa"/>
            <w:gridSpan w:val="5"/>
            <w:noWrap w:val="0"/>
            <w:vAlign w:val="center"/>
          </w:tcPr>
          <w:p w14:paraId="2C7ACD2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1950" w:type="dxa"/>
            <w:gridSpan w:val="3"/>
            <w:noWrap w:val="0"/>
            <w:vAlign w:val="center"/>
          </w:tcPr>
          <w:p w14:paraId="3101A314">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监测点位数（-）</w:t>
            </w:r>
          </w:p>
        </w:tc>
        <w:tc>
          <w:tcPr>
            <w:tcW w:w="1435" w:type="dxa"/>
            <w:gridSpan w:val="2"/>
            <w:noWrap w:val="0"/>
            <w:vAlign w:val="center"/>
          </w:tcPr>
          <w:p w14:paraId="53C9B6C2">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无监测</w:t>
            </w:r>
            <w:r>
              <w:rPr>
                <w:rFonts w:hint="default" w:ascii="Times New Roman" w:hAnsi="Times New Roman" w:cs="Times New Roman"/>
                <w:color w:val="auto"/>
                <w:sz w:val="21"/>
                <w:szCs w:val="21"/>
                <w:highlight w:val="none"/>
                <w:lang w:eastAsia="zh-CN"/>
              </w:rPr>
              <w:t>☑</w:t>
            </w:r>
          </w:p>
        </w:tc>
      </w:tr>
      <w:tr w14:paraId="693AC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48" w:type="dxa"/>
            <w:vMerge w:val="restart"/>
            <w:noWrap w:val="0"/>
            <w:vAlign w:val="center"/>
          </w:tcPr>
          <w:p w14:paraId="0631707B">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1723" w:type="dxa"/>
            <w:noWrap w:val="0"/>
            <w:vAlign w:val="center"/>
          </w:tcPr>
          <w:p w14:paraId="2F2374D3">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w:t>
            </w:r>
          </w:p>
        </w:tc>
        <w:tc>
          <w:tcPr>
            <w:tcW w:w="6445" w:type="dxa"/>
            <w:gridSpan w:val="10"/>
            <w:noWrap w:val="0"/>
            <w:vAlign w:val="center"/>
          </w:tcPr>
          <w:p w14:paraId="2C761050">
            <w:pPr>
              <w:pStyle w:val="69"/>
              <w:tabs>
                <w:tab w:val="left" w:pos="3460"/>
              </w:tabs>
              <w:spacing w:before="66"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可以接受☑</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不可以接受□</w:t>
            </w:r>
          </w:p>
        </w:tc>
      </w:tr>
      <w:tr w14:paraId="33FC9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848" w:type="dxa"/>
            <w:vMerge w:val="continue"/>
            <w:tcBorders>
              <w:top w:val="nil"/>
            </w:tcBorders>
            <w:noWrap w:val="0"/>
            <w:vAlign w:val="center"/>
          </w:tcPr>
          <w:p w14:paraId="18D2493B">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133CE44E">
            <w:pPr>
              <w:pStyle w:val="69"/>
              <w:spacing w:line="249"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大气环境防护距离</w:t>
            </w:r>
          </w:p>
        </w:tc>
        <w:tc>
          <w:tcPr>
            <w:tcW w:w="6445" w:type="dxa"/>
            <w:gridSpan w:val="10"/>
            <w:noWrap w:val="0"/>
            <w:vAlign w:val="center"/>
          </w:tcPr>
          <w:p w14:paraId="0BFE40A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距（-）厂界最远（-）m</w:t>
            </w:r>
          </w:p>
        </w:tc>
      </w:tr>
      <w:tr w14:paraId="751D7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48" w:type="dxa"/>
            <w:vMerge w:val="continue"/>
            <w:tcBorders>
              <w:top w:val="nil"/>
            </w:tcBorders>
            <w:noWrap w:val="0"/>
            <w:vAlign w:val="center"/>
          </w:tcPr>
          <w:p w14:paraId="2B36F4E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p>
        </w:tc>
        <w:tc>
          <w:tcPr>
            <w:tcW w:w="1723" w:type="dxa"/>
            <w:noWrap w:val="0"/>
            <w:vAlign w:val="center"/>
          </w:tcPr>
          <w:p w14:paraId="0025930F">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污染源年排放量</w:t>
            </w:r>
          </w:p>
        </w:tc>
        <w:tc>
          <w:tcPr>
            <w:tcW w:w="1740" w:type="dxa"/>
            <w:gridSpan w:val="3"/>
            <w:noWrap w:val="0"/>
            <w:vAlign w:val="center"/>
          </w:tcPr>
          <w:p w14:paraId="34D5AE47">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t/a</w:t>
            </w:r>
          </w:p>
        </w:tc>
        <w:tc>
          <w:tcPr>
            <w:tcW w:w="1320" w:type="dxa"/>
            <w:gridSpan w:val="2"/>
            <w:noWrap w:val="0"/>
            <w:vAlign w:val="center"/>
          </w:tcPr>
          <w:p w14:paraId="22EEF589">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lang w:val="en-US" w:eastAsia="zh-CN"/>
              </w:rPr>
              <w:t>X</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t/a</w:t>
            </w:r>
          </w:p>
        </w:tc>
        <w:tc>
          <w:tcPr>
            <w:tcW w:w="1950" w:type="dxa"/>
            <w:gridSpan w:val="3"/>
            <w:noWrap w:val="0"/>
            <w:vAlign w:val="center"/>
          </w:tcPr>
          <w:p w14:paraId="138E5815">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0.078</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t/a</w:t>
            </w:r>
          </w:p>
        </w:tc>
        <w:tc>
          <w:tcPr>
            <w:tcW w:w="1435" w:type="dxa"/>
            <w:gridSpan w:val="2"/>
            <w:noWrap w:val="0"/>
            <w:vAlign w:val="center"/>
          </w:tcPr>
          <w:p w14:paraId="3D0252DE">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VOC</w:t>
            </w:r>
            <w:r>
              <w:rPr>
                <w:rFonts w:hint="default" w:ascii="Times New Roman" w:hAnsi="Times New Roman" w:cs="Times New Roman"/>
                <w:color w:val="auto"/>
                <w:sz w:val="21"/>
                <w:szCs w:val="21"/>
                <w:highlight w:val="none"/>
                <w:vertAlign w:val="subscript"/>
              </w:rPr>
              <w:t>S</w:t>
            </w:r>
            <w:r>
              <w:rPr>
                <w:rFonts w:hint="default" w:ascii="Times New Roman" w:hAnsi="Times New Roman" w:cs="Times New Roman"/>
                <w:color w:val="auto"/>
                <w:sz w:val="21"/>
                <w:szCs w:val="21"/>
                <w:highlight w:val="none"/>
              </w:rPr>
              <w:t>：（）t/a</w:t>
            </w:r>
          </w:p>
        </w:tc>
      </w:tr>
      <w:tr w14:paraId="5EBD4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016" w:type="dxa"/>
            <w:gridSpan w:val="12"/>
            <w:noWrap w:val="0"/>
            <w:vAlign w:val="center"/>
          </w:tcPr>
          <w:p w14:paraId="2FF45DC0">
            <w:pPr>
              <w:pStyle w:val="69"/>
              <w:spacing w:line="249" w:lineRule="auto"/>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注：“□”为勾选项，填“√”；“（</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）”为内容填写项</w:t>
            </w:r>
          </w:p>
        </w:tc>
      </w:tr>
    </w:tbl>
    <w:p w14:paraId="1BF3A3D2">
      <w:pPr>
        <w:pStyle w:val="4"/>
        <w:bidi w:val="0"/>
        <w:rPr>
          <w:rFonts w:hint="default" w:ascii="Times New Roman" w:hAnsi="Times New Roman" w:cs="Times New Roman"/>
          <w:lang w:val="en-US"/>
        </w:rPr>
      </w:pPr>
      <w:r>
        <w:rPr>
          <w:rFonts w:hint="default" w:ascii="Times New Roman" w:hAnsi="Times New Roman" w:cs="Times New Roman"/>
          <w:lang w:val="en-US"/>
        </w:rPr>
        <w:t>水环境影响分析</w:t>
      </w:r>
    </w:p>
    <w:p w14:paraId="01D9A724">
      <w:pPr>
        <w:pStyle w:val="5"/>
        <w:numPr>
          <w:ilvl w:val="0"/>
          <w:numId w:val="0"/>
        </w:numPr>
        <w:bidi w:val="0"/>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5.2.2.1地表水环境影响分析</w:t>
      </w:r>
    </w:p>
    <w:p w14:paraId="1319D6C9">
      <w:pPr>
        <w:spacing w:line="360" w:lineRule="auto"/>
        <w:ind w:firstLine="480" w:firstLineChars="200"/>
        <w:jc w:val="left"/>
        <w:rPr>
          <w:rFonts w:hint="default" w:ascii="Times New Roman" w:hAnsi="Times New Roman" w:eastAsia="宋体" w:cs="Times New Roman"/>
          <w:i w:val="0"/>
          <w:iCs w:val="0"/>
          <w:color w:val="FF0000"/>
          <w:kern w:val="0"/>
          <w:sz w:val="24"/>
          <w:szCs w:val="24"/>
          <w:highlight w:val="none"/>
          <w:u w:val="none"/>
          <w:lang w:val="en-US" w:eastAsia="zh-CN" w:bidi="ar"/>
        </w:rPr>
      </w:pPr>
      <w:r>
        <w:rPr>
          <w:rFonts w:hint="default" w:ascii="Times New Roman" w:hAnsi="Times New Roman" w:cs="Times New Roman"/>
          <w:color w:val="FF0000"/>
          <w:sz w:val="24"/>
          <w:lang w:val="en-US" w:eastAsia="zh-CN"/>
        </w:rPr>
        <w:t>本项目鸡舍不进行冲洗，不产生圈舍冲洗废水；消毒方式采用喷洒消毒，全部蒸发损耗，不产生废水；本项目运营期废水主要是生活污水和鸡舍粪便收集设施（</w:t>
      </w:r>
      <w:r>
        <w:rPr>
          <w:rFonts w:hint="eastAsia" w:ascii="Times New Roman" w:hAnsi="Times New Roman" w:cs="Times New Roman"/>
          <w:color w:val="FF0000"/>
          <w:sz w:val="24"/>
          <w:lang w:val="en-US" w:eastAsia="zh-CN"/>
        </w:rPr>
        <w:t>粪便传送带</w:t>
      </w:r>
      <w:r>
        <w:rPr>
          <w:rFonts w:hint="default" w:ascii="Times New Roman" w:hAnsi="Times New Roman" w:cs="Times New Roman"/>
          <w:color w:val="FF0000"/>
          <w:sz w:val="24"/>
          <w:lang w:val="en-US" w:eastAsia="zh-CN"/>
        </w:rPr>
        <w:t>和清粪机）冲洗废水、锅炉排污水。生活污水和鸡舍粪便收集设施（</w:t>
      </w:r>
      <w:r>
        <w:rPr>
          <w:rFonts w:hint="eastAsia" w:ascii="Times New Roman" w:hAnsi="Times New Roman" w:cs="Times New Roman"/>
          <w:color w:val="FF0000"/>
          <w:sz w:val="24"/>
          <w:lang w:val="en-US" w:eastAsia="zh-CN"/>
        </w:rPr>
        <w:t>粪便传送带</w:t>
      </w:r>
      <w:r>
        <w:rPr>
          <w:rFonts w:hint="default" w:ascii="Times New Roman" w:hAnsi="Times New Roman" w:cs="Times New Roman"/>
          <w:color w:val="FF0000"/>
          <w:sz w:val="24"/>
          <w:lang w:val="en-US" w:eastAsia="zh-CN"/>
        </w:rPr>
        <w:t>和清粪机）冲洗废水排入废水收集池发酵处理后用于农田灌溉，锅炉排污水用于鸡舍</w:t>
      </w:r>
      <w:r>
        <w:rPr>
          <w:rFonts w:hint="eastAsia" w:ascii="Times New Roman" w:hAnsi="Times New Roman" w:cs="Times New Roman"/>
          <w:color w:val="FF0000"/>
          <w:sz w:val="24"/>
          <w:lang w:val="en-US" w:eastAsia="zh-CN"/>
        </w:rPr>
        <w:t>粪便传送带</w:t>
      </w:r>
      <w:r>
        <w:rPr>
          <w:rFonts w:hint="default" w:ascii="Times New Roman" w:hAnsi="Times New Roman" w:cs="Times New Roman"/>
          <w:color w:val="FF0000"/>
          <w:sz w:val="24"/>
          <w:lang w:val="en-US" w:eastAsia="zh-CN"/>
        </w:rPr>
        <w:t>清洗</w:t>
      </w:r>
      <w:r>
        <w:rPr>
          <w:rFonts w:hint="default" w:ascii="Times New Roman" w:hAnsi="Times New Roman" w:cs="Times New Roman"/>
          <w:color w:val="FF0000"/>
          <w:sz w:val="24"/>
          <w:lang w:eastAsia="zh-CN"/>
        </w:rPr>
        <w:t>。</w:t>
      </w:r>
    </w:p>
    <w:p w14:paraId="27395DF2">
      <w:pPr>
        <w:pStyle w:val="5"/>
        <w:numPr>
          <w:ilvl w:val="0"/>
          <w:numId w:val="0"/>
        </w:numPr>
        <w:bidi w:val="0"/>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5.2.2.2地下水环境影响分析</w:t>
      </w:r>
    </w:p>
    <w:p w14:paraId="4511CF48">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eastAsia="宋体" w:cs="Times New Roman"/>
          <w:color w:val="auto"/>
          <w:sz w:val="24"/>
          <w:szCs w:val="24"/>
          <w:highlight w:val="none"/>
          <w:lang w:val="en-US" w:eastAsia="zh-CN" w:bidi="zh-CN"/>
        </w:rPr>
        <w:t>根据</w:t>
      </w:r>
      <w:r>
        <w:rPr>
          <w:rFonts w:hint="default" w:ascii="Times New Roman" w:hAnsi="Times New Roman" w:eastAsia="宋体" w:cs="Times New Roman"/>
          <w:color w:val="auto"/>
          <w:sz w:val="24"/>
          <w:szCs w:val="24"/>
          <w:highlight w:val="none"/>
          <w:lang w:val="zh-CN" w:eastAsia="zh-CN" w:bidi="zh-CN"/>
        </w:rPr>
        <w:t>《环境影响评价技术导则地下水环境》（HJ610-2016</w:t>
      </w:r>
      <w:r>
        <w:rPr>
          <w:rFonts w:hint="default" w:ascii="Times New Roman" w:hAnsi="Times New Roman" w:cs="Times New Roman"/>
          <w:color w:val="auto"/>
          <w:sz w:val="24"/>
          <w:szCs w:val="24"/>
          <w:highlight w:val="none"/>
          <w:lang w:val="en-US" w:eastAsia="zh-CN" w:bidi="zh-CN"/>
        </w:rPr>
        <w:t>)</w:t>
      </w:r>
      <w:r>
        <w:rPr>
          <w:rFonts w:hint="default" w:ascii="Times New Roman" w:hAnsi="Times New Roman" w:eastAsia="宋体" w:cs="Times New Roman"/>
          <w:color w:val="auto"/>
          <w:sz w:val="24"/>
          <w:szCs w:val="24"/>
          <w:highlight w:val="none"/>
          <w:lang w:val="zh-CN" w:eastAsia="zh-CN" w:bidi="zh-CN"/>
        </w:rPr>
        <w:t>，</w:t>
      </w:r>
      <w:r>
        <w:rPr>
          <w:rFonts w:hint="default" w:ascii="Times New Roman" w:hAnsi="Times New Roman" w:eastAsia="宋体" w:cs="Times New Roman"/>
          <w:color w:val="auto"/>
          <w:sz w:val="24"/>
          <w:szCs w:val="24"/>
          <w:highlight w:val="none"/>
          <w:lang w:val="en-US" w:eastAsia="zh-CN" w:bidi="zh-CN"/>
        </w:rPr>
        <w:t>地下水</w:t>
      </w:r>
      <w:r>
        <w:rPr>
          <w:rFonts w:hint="default" w:ascii="Times New Roman" w:hAnsi="Times New Roman" w:eastAsia="宋体" w:cs="Times New Roman"/>
          <w:color w:val="auto"/>
          <w:sz w:val="24"/>
          <w:szCs w:val="24"/>
          <w:highlight w:val="none"/>
          <w:lang w:val="zh-CN" w:eastAsia="zh-CN" w:bidi="zh-CN"/>
        </w:rPr>
        <w:t>评价等级为三级。本次地下水环境影响分析根据区域水文地质，并查阅相关资料，分析本项目对地下水产生的影响。</w:t>
      </w:r>
    </w:p>
    <w:p w14:paraId="6A511A0E">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eastAsia="宋体" w:cs="Times New Roman"/>
          <w:color w:val="auto"/>
          <w:sz w:val="24"/>
          <w:szCs w:val="24"/>
          <w:highlight w:val="none"/>
          <w:lang w:val="zh-CN" w:eastAsia="zh-CN" w:bidi="zh-CN"/>
        </w:rPr>
        <w:t>本项目为蛋鸡养殖，运营期对地下水的影响主要为养殖粪污和废水</w:t>
      </w:r>
      <w:r>
        <w:rPr>
          <w:rFonts w:hint="default" w:ascii="Times New Roman" w:hAnsi="Times New Roman" w:eastAsia="宋体" w:cs="Times New Roman"/>
          <w:color w:val="auto"/>
          <w:sz w:val="24"/>
          <w:szCs w:val="24"/>
          <w:highlight w:val="none"/>
          <w:lang w:val="en-US" w:eastAsia="zh-CN" w:bidi="zh-CN"/>
        </w:rPr>
        <w:t>收集</w:t>
      </w:r>
      <w:r>
        <w:rPr>
          <w:rFonts w:hint="default" w:ascii="Times New Roman" w:hAnsi="Times New Roman" w:eastAsia="宋体" w:cs="Times New Roman"/>
          <w:color w:val="auto"/>
          <w:sz w:val="24"/>
          <w:szCs w:val="24"/>
          <w:highlight w:val="none"/>
          <w:lang w:val="zh-CN" w:eastAsia="zh-CN" w:bidi="zh-CN"/>
        </w:rPr>
        <w:t>系统防渗衬层达不到防渗效果导致污水泄漏对地下水的影响。</w:t>
      </w:r>
    </w:p>
    <w:p w14:paraId="5D2D14AC">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eastAsia="宋体" w:cs="Times New Roman"/>
          <w:color w:val="auto"/>
          <w:sz w:val="24"/>
          <w:szCs w:val="24"/>
          <w:highlight w:val="none"/>
          <w:lang w:val="zh-CN" w:eastAsia="zh-CN" w:bidi="zh-CN"/>
        </w:rPr>
        <w:t>（1）圈舍地面防渗措施达不到要求时，就会有污染物下渗污染地下水；</w:t>
      </w:r>
    </w:p>
    <w:p w14:paraId="38D1D823">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eastAsia="宋体" w:cs="Times New Roman"/>
          <w:color w:val="auto"/>
          <w:sz w:val="24"/>
          <w:szCs w:val="24"/>
          <w:highlight w:val="none"/>
          <w:lang w:val="zh-CN" w:eastAsia="zh-CN" w:bidi="zh-CN"/>
        </w:rPr>
        <w:t>（2）污水管道下渗，当污水管道达不到防渗要求时，污染物会逐渐下渗影响浅层地下水；</w:t>
      </w:r>
    </w:p>
    <w:p w14:paraId="7FC4D8D7">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eastAsia="宋体" w:cs="Times New Roman"/>
          <w:color w:val="auto"/>
          <w:sz w:val="24"/>
          <w:szCs w:val="24"/>
          <w:highlight w:val="none"/>
          <w:lang w:val="zh-CN" w:eastAsia="zh-CN" w:bidi="zh-CN"/>
        </w:rPr>
        <w:t>（3）</w:t>
      </w:r>
      <w:r>
        <w:rPr>
          <w:rFonts w:hint="default" w:ascii="Times New Roman" w:hAnsi="Times New Roman" w:eastAsia="宋体" w:cs="Times New Roman"/>
          <w:color w:val="auto"/>
          <w:sz w:val="24"/>
          <w:szCs w:val="24"/>
          <w:highlight w:val="none"/>
          <w:lang w:val="en-US" w:eastAsia="zh-CN" w:bidi="zh-CN"/>
        </w:rPr>
        <w:t>废水收集池</w:t>
      </w:r>
      <w:r>
        <w:rPr>
          <w:rFonts w:hint="default" w:ascii="Times New Roman" w:hAnsi="Times New Roman" w:eastAsia="宋体" w:cs="Times New Roman"/>
          <w:color w:val="auto"/>
          <w:sz w:val="24"/>
          <w:szCs w:val="24"/>
          <w:highlight w:val="none"/>
          <w:lang w:val="zh-CN" w:eastAsia="zh-CN" w:bidi="zh-CN"/>
        </w:rPr>
        <w:t>、鸡粪发酵</w:t>
      </w:r>
      <w:r>
        <w:rPr>
          <w:rFonts w:hint="eastAsia" w:ascii="Times New Roman" w:hAnsi="Times New Roman" w:cs="Times New Roman"/>
          <w:color w:val="auto"/>
          <w:sz w:val="24"/>
          <w:szCs w:val="24"/>
          <w:highlight w:val="none"/>
          <w:lang w:val="zh-CN" w:eastAsia="zh-CN" w:bidi="zh-CN"/>
        </w:rPr>
        <w:t>处理厂</w:t>
      </w:r>
      <w:r>
        <w:rPr>
          <w:rFonts w:hint="default" w:ascii="Times New Roman" w:hAnsi="Times New Roman" w:eastAsia="宋体" w:cs="Times New Roman"/>
          <w:color w:val="auto"/>
          <w:sz w:val="24"/>
          <w:szCs w:val="24"/>
          <w:highlight w:val="none"/>
          <w:lang w:val="zh-CN" w:eastAsia="zh-CN" w:bidi="zh-CN"/>
        </w:rPr>
        <w:t>、医疗危废暂存间等防渗措施不到位会下渗污染地下水。</w:t>
      </w:r>
    </w:p>
    <w:p w14:paraId="7D6D24F8">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eastAsia="宋体" w:cs="Times New Roman"/>
          <w:color w:val="auto"/>
          <w:sz w:val="24"/>
          <w:szCs w:val="24"/>
          <w:highlight w:val="none"/>
          <w:lang w:val="zh-CN" w:eastAsia="zh-CN" w:bidi="zh-CN"/>
        </w:rPr>
        <w:t>鸡粪的主要污染物为COD、氨氮等有机污染物，比较容易降解，无持久性有机污染和重金属等有毒有害物质。</w:t>
      </w:r>
    </w:p>
    <w:p w14:paraId="12F33CEC">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FF0000"/>
          <w:sz w:val="24"/>
          <w:szCs w:val="24"/>
          <w:highlight w:val="none"/>
          <w:lang w:val="en-US" w:eastAsia="zh-CN" w:bidi="zh-CN"/>
        </w:rPr>
      </w:pPr>
      <w:r>
        <w:rPr>
          <w:rFonts w:hint="default" w:ascii="Times New Roman" w:hAnsi="Times New Roman" w:eastAsia="宋体" w:cs="Times New Roman"/>
          <w:color w:val="auto"/>
          <w:sz w:val="24"/>
          <w:szCs w:val="24"/>
          <w:highlight w:val="none"/>
          <w:lang w:val="en-US" w:eastAsia="zh-CN" w:bidi="zh-CN"/>
        </w:rPr>
        <w:t>（4）锅炉废水</w:t>
      </w:r>
      <w:r>
        <w:rPr>
          <w:rFonts w:hint="default" w:ascii="Times New Roman" w:hAnsi="Times New Roman" w:eastAsia="宋体" w:cs="Times New Roman"/>
          <w:color w:val="auto"/>
          <w:sz w:val="24"/>
          <w:szCs w:val="24"/>
          <w:highlight w:val="none"/>
          <w:lang w:val="zh-CN" w:eastAsia="zh-CN" w:bidi="zh-CN"/>
        </w:rPr>
        <w:t>主要污染物为COD、</w:t>
      </w:r>
      <w:r>
        <w:rPr>
          <w:rFonts w:hint="default" w:ascii="Times New Roman" w:hAnsi="Times New Roman" w:eastAsia="宋体" w:cs="Times New Roman"/>
          <w:color w:val="auto"/>
          <w:sz w:val="24"/>
          <w:szCs w:val="24"/>
          <w:highlight w:val="none"/>
          <w:lang w:val="en-US" w:eastAsia="zh-CN" w:bidi="zh-CN"/>
        </w:rPr>
        <w:t>SS，水质简单，经沉淀处理后，</w:t>
      </w:r>
      <w:r>
        <w:rPr>
          <w:rFonts w:hint="default" w:ascii="Times New Roman" w:hAnsi="Times New Roman" w:eastAsia="宋体" w:cs="Times New Roman"/>
          <w:color w:val="FF0000"/>
          <w:sz w:val="24"/>
          <w:szCs w:val="24"/>
          <w:highlight w:val="none"/>
          <w:lang w:val="en-US" w:eastAsia="zh-CN" w:bidi="zh-CN"/>
        </w:rPr>
        <w:t>用于鸡舍</w:t>
      </w:r>
      <w:r>
        <w:rPr>
          <w:rFonts w:hint="eastAsia" w:ascii="Times New Roman" w:hAnsi="Times New Roman" w:cs="Times New Roman"/>
          <w:color w:val="FF0000"/>
          <w:sz w:val="24"/>
          <w:szCs w:val="24"/>
          <w:highlight w:val="none"/>
          <w:lang w:val="en-US" w:eastAsia="zh-CN" w:bidi="zh-CN"/>
        </w:rPr>
        <w:t>粪便传送带</w:t>
      </w:r>
      <w:r>
        <w:rPr>
          <w:rFonts w:hint="default" w:ascii="Times New Roman" w:hAnsi="Times New Roman" w:eastAsia="宋体" w:cs="Times New Roman"/>
          <w:color w:val="FF0000"/>
          <w:sz w:val="24"/>
          <w:szCs w:val="24"/>
          <w:highlight w:val="none"/>
          <w:lang w:val="en-US" w:eastAsia="zh-CN" w:bidi="zh-CN"/>
        </w:rPr>
        <w:t>清洗可行。</w:t>
      </w:r>
    </w:p>
    <w:p w14:paraId="4EABE410">
      <w:pPr>
        <w:pStyle w:val="5"/>
        <w:numPr>
          <w:ilvl w:val="0"/>
          <w:numId w:val="0"/>
        </w:numPr>
        <w:bidi w:val="0"/>
        <w:ind w:leftChars="0"/>
        <w:rPr>
          <w:rFonts w:hint="default" w:ascii="Times New Roman" w:hAnsi="Times New Roman" w:cs="Times New Roman"/>
          <w:color w:val="FF0000"/>
          <w:lang w:val="en-US" w:eastAsia="zh-CN"/>
        </w:rPr>
      </w:pPr>
      <w:r>
        <w:rPr>
          <w:rFonts w:hint="default" w:ascii="Times New Roman" w:hAnsi="Times New Roman" w:cs="Times New Roman"/>
          <w:lang w:val="en-US" w:eastAsia="zh-CN"/>
        </w:rPr>
        <w:t>5.2.2.3</w:t>
      </w:r>
      <w:r>
        <w:rPr>
          <w:rFonts w:hint="default" w:ascii="Times New Roman" w:hAnsi="Times New Roman" w:cs="Times New Roman"/>
          <w:color w:val="FF0000"/>
          <w:lang w:val="en-US" w:eastAsia="zh-CN"/>
        </w:rPr>
        <w:t>地下水预测</w:t>
      </w:r>
    </w:p>
    <w:p w14:paraId="587829D7">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本项目对地下水可能造成的污染源主要为鸡舍、</w:t>
      </w:r>
      <w:r>
        <w:rPr>
          <w:rFonts w:hint="default" w:ascii="Times New Roman" w:hAnsi="Times New Roman" w:eastAsia="宋体" w:cs="Times New Roman"/>
          <w:color w:val="FF0000"/>
          <w:sz w:val="24"/>
          <w:szCs w:val="24"/>
          <w:highlight w:val="none"/>
          <w:lang w:val="en-US" w:eastAsia="zh-CN" w:bidi="zh-CN"/>
        </w:rPr>
        <w:t>医疗废物暂存间</w:t>
      </w:r>
      <w:r>
        <w:rPr>
          <w:rFonts w:hint="default" w:ascii="Times New Roman" w:hAnsi="Times New Roman" w:eastAsia="宋体" w:cs="Times New Roman"/>
          <w:color w:val="FF0000"/>
          <w:sz w:val="24"/>
          <w:szCs w:val="24"/>
          <w:highlight w:val="none"/>
          <w:lang w:val="zh-CN" w:eastAsia="zh-CN" w:bidi="zh-CN"/>
        </w:rPr>
        <w:t>、</w:t>
      </w:r>
      <w:r>
        <w:rPr>
          <w:rFonts w:hint="default" w:ascii="Times New Roman" w:hAnsi="Times New Roman" w:eastAsia="宋体" w:cs="Times New Roman"/>
          <w:color w:val="FF0000"/>
          <w:sz w:val="24"/>
          <w:szCs w:val="24"/>
          <w:highlight w:val="none"/>
          <w:lang w:val="en-US" w:eastAsia="zh-CN" w:bidi="zh-CN"/>
        </w:rPr>
        <w:t>废水收集池、</w:t>
      </w:r>
      <w:r>
        <w:rPr>
          <w:rFonts w:hint="default" w:ascii="Times New Roman" w:hAnsi="Times New Roman" w:eastAsia="宋体" w:cs="Times New Roman"/>
          <w:color w:val="FF0000"/>
          <w:sz w:val="24"/>
          <w:szCs w:val="24"/>
          <w:highlight w:val="none"/>
          <w:lang w:val="zh-CN" w:eastAsia="zh-CN" w:bidi="zh-CN"/>
        </w:rPr>
        <w:t>鸡粪发酵</w:t>
      </w:r>
      <w:r>
        <w:rPr>
          <w:rFonts w:hint="eastAsia" w:ascii="Times New Roman" w:hAnsi="Times New Roman" w:cs="Times New Roman"/>
          <w:color w:val="FF0000"/>
          <w:sz w:val="24"/>
          <w:szCs w:val="24"/>
          <w:highlight w:val="none"/>
          <w:lang w:val="zh-CN" w:eastAsia="zh-CN" w:bidi="zh-CN"/>
        </w:rPr>
        <w:t>处理厂</w:t>
      </w:r>
      <w:r>
        <w:rPr>
          <w:rFonts w:hint="default" w:ascii="Times New Roman" w:hAnsi="Times New Roman" w:eastAsia="宋体" w:cs="Times New Roman"/>
          <w:color w:val="FF0000"/>
          <w:sz w:val="24"/>
          <w:szCs w:val="24"/>
          <w:lang w:val="en-US" w:eastAsia="zh-CN"/>
        </w:rPr>
        <w:t>，污废水中含有传染性病菌、病毒。如果建设期施工质量差或建成投产后管理不善，都有可能发生废水的无组织泄漏，造成地下水的污染，特别是同一地点的连续泄漏，造成的水环境污染会更严重。</w:t>
      </w:r>
    </w:p>
    <w:p w14:paraId="1EF64DA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非正常工况主要指鸡舍、</w:t>
      </w:r>
      <w:r>
        <w:rPr>
          <w:rFonts w:hint="default" w:ascii="Times New Roman" w:hAnsi="Times New Roman" w:eastAsia="宋体" w:cs="Times New Roman"/>
          <w:color w:val="FF0000"/>
          <w:sz w:val="24"/>
          <w:szCs w:val="24"/>
          <w:highlight w:val="none"/>
          <w:lang w:val="en-US" w:eastAsia="zh-CN" w:bidi="zh-CN"/>
        </w:rPr>
        <w:t>医疗废物暂存间</w:t>
      </w:r>
      <w:r>
        <w:rPr>
          <w:rFonts w:hint="default" w:ascii="Times New Roman" w:hAnsi="Times New Roman" w:eastAsia="宋体" w:cs="Times New Roman"/>
          <w:color w:val="FF0000"/>
          <w:sz w:val="24"/>
          <w:szCs w:val="24"/>
          <w:highlight w:val="none"/>
          <w:lang w:val="zh-CN" w:eastAsia="zh-CN" w:bidi="zh-CN"/>
        </w:rPr>
        <w:t>、</w:t>
      </w:r>
      <w:r>
        <w:rPr>
          <w:rFonts w:hint="default" w:ascii="Times New Roman" w:hAnsi="Times New Roman" w:eastAsia="宋体" w:cs="Times New Roman"/>
          <w:color w:val="FF0000"/>
          <w:sz w:val="24"/>
          <w:szCs w:val="24"/>
          <w:highlight w:val="none"/>
          <w:lang w:val="en-US" w:eastAsia="zh-CN" w:bidi="zh-CN"/>
        </w:rPr>
        <w:t>废水收集池、</w:t>
      </w:r>
      <w:r>
        <w:rPr>
          <w:rFonts w:hint="default" w:ascii="Times New Roman" w:hAnsi="Times New Roman" w:eastAsia="宋体" w:cs="Times New Roman"/>
          <w:color w:val="FF0000"/>
          <w:sz w:val="24"/>
          <w:szCs w:val="24"/>
          <w:highlight w:val="none"/>
          <w:lang w:val="zh-CN" w:eastAsia="zh-CN" w:bidi="zh-CN"/>
        </w:rPr>
        <w:t>鸡粪发酵处理场</w:t>
      </w:r>
      <w:r>
        <w:rPr>
          <w:rFonts w:hint="default" w:ascii="Times New Roman" w:hAnsi="Times New Roman" w:eastAsia="宋体" w:cs="Times New Roman"/>
          <w:color w:val="FF0000"/>
          <w:sz w:val="24"/>
          <w:szCs w:val="24"/>
          <w:lang w:val="en-US" w:eastAsia="zh-CN"/>
        </w:rPr>
        <w:t>等人工防渗材料破损出现渗漏等情景。根据企业的实际情况分析，项目鸡舍、</w:t>
      </w:r>
      <w:r>
        <w:rPr>
          <w:rFonts w:hint="default" w:ascii="Times New Roman" w:hAnsi="Times New Roman" w:eastAsia="宋体" w:cs="Times New Roman"/>
          <w:color w:val="FF0000"/>
          <w:sz w:val="24"/>
          <w:szCs w:val="24"/>
          <w:highlight w:val="none"/>
          <w:lang w:val="en-US" w:eastAsia="zh-CN" w:bidi="zh-CN"/>
        </w:rPr>
        <w:t>医疗废物暂存间</w:t>
      </w:r>
      <w:r>
        <w:rPr>
          <w:rFonts w:hint="default" w:ascii="Times New Roman" w:hAnsi="Times New Roman" w:eastAsia="宋体" w:cs="Times New Roman"/>
          <w:color w:val="FF0000"/>
          <w:sz w:val="24"/>
          <w:szCs w:val="24"/>
          <w:highlight w:val="none"/>
          <w:lang w:val="zh-CN" w:eastAsia="zh-CN" w:bidi="zh-CN"/>
        </w:rPr>
        <w:t>、</w:t>
      </w:r>
      <w:r>
        <w:rPr>
          <w:rFonts w:hint="default" w:ascii="Times New Roman" w:hAnsi="Times New Roman" w:eastAsia="宋体" w:cs="Times New Roman"/>
          <w:color w:val="FF0000"/>
          <w:sz w:val="24"/>
          <w:szCs w:val="24"/>
          <w:highlight w:val="none"/>
          <w:lang w:val="en-US" w:eastAsia="zh-CN" w:bidi="zh-CN"/>
        </w:rPr>
        <w:t>废水收集池、</w:t>
      </w:r>
      <w:r>
        <w:rPr>
          <w:rFonts w:hint="default" w:ascii="Times New Roman" w:hAnsi="Times New Roman" w:eastAsia="宋体" w:cs="Times New Roman"/>
          <w:color w:val="FF0000"/>
          <w:sz w:val="24"/>
          <w:szCs w:val="24"/>
          <w:highlight w:val="none"/>
          <w:lang w:val="zh-CN" w:eastAsia="zh-CN" w:bidi="zh-CN"/>
        </w:rPr>
        <w:t>鸡粪发酵处理场</w:t>
      </w:r>
      <w:r>
        <w:rPr>
          <w:rFonts w:hint="default" w:ascii="Times New Roman" w:hAnsi="Times New Roman" w:eastAsia="宋体" w:cs="Times New Roman"/>
          <w:color w:val="FF0000"/>
          <w:sz w:val="24"/>
          <w:szCs w:val="24"/>
          <w:lang w:val="en-US" w:eastAsia="zh-CN"/>
        </w:rPr>
        <w:t>均进行了防渗处理，采用干清粪养殖工艺，粪便日产日清，</w:t>
      </w:r>
      <w:r>
        <w:rPr>
          <w:rFonts w:hint="default" w:ascii="Times New Roman" w:hAnsi="Times New Roman" w:cs="Times New Roman"/>
          <w:color w:val="FF0000"/>
          <w:sz w:val="24"/>
          <w:szCs w:val="24"/>
          <w:lang w:val="en-US" w:eastAsia="zh-CN"/>
        </w:rPr>
        <w:t>鸡粪发酵处理场粪便暂存后发酵后外售农户综合利用</w:t>
      </w:r>
      <w:r>
        <w:rPr>
          <w:rFonts w:hint="default" w:ascii="Times New Roman" w:hAnsi="Times New Roman" w:eastAsia="宋体" w:cs="Times New Roman"/>
          <w:color w:val="FF0000"/>
          <w:sz w:val="24"/>
          <w:szCs w:val="24"/>
          <w:lang w:val="en-US" w:eastAsia="zh-CN"/>
        </w:rPr>
        <w:t>，鸡舍、</w:t>
      </w:r>
      <w:r>
        <w:rPr>
          <w:rFonts w:hint="default" w:ascii="Times New Roman" w:hAnsi="Times New Roman" w:eastAsia="宋体" w:cs="Times New Roman"/>
          <w:color w:val="FF0000"/>
          <w:sz w:val="24"/>
          <w:szCs w:val="24"/>
          <w:highlight w:val="none"/>
          <w:lang w:val="en-US" w:eastAsia="zh-CN" w:bidi="zh-CN"/>
        </w:rPr>
        <w:t>医疗废物暂存间</w:t>
      </w:r>
      <w:r>
        <w:rPr>
          <w:rFonts w:hint="default" w:ascii="Times New Roman" w:hAnsi="Times New Roman" w:eastAsia="宋体" w:cs="Times New Roman"/>
          <w:color w:val="FF0000"/>
          <w:sz w:val="24"/>
          <w:szCs w:val="24"/>
          <w:highlight w:val="none"/>
          <w:lang w:val="zh-CN" w:eastAsia="zh-CN" w:bidi="zh-CN"/>
        </w:rPr>
        <w:t>、</w:t>
      </w:r>
      <w:r>
        <w:rPr>
          <w:rFonts w:hint="default" w:ascii="Times New Roman" w:hAnsi="Times New Roman" w:eastAsia="宋体" w:cs="Times New Roman"/>
          <w:color w:val="FF0000"/>
          <w:sz w:val="24"/>
          <w:szCs w:val="24"/>
          <w:highlight w:val="none"/>
          <w:lang w:val="en-US" w:eastAsia="zh-CN" w:bidi="zh-CN"/>
        </w:rPr>
        <w:t>废水收集池、</w:t>
      </w:r>
      <w:r>
        <w:rPr>
          <w:rFonts w:hint="default" w:ascii="Times New Roman" w:hAnsi="Times New Roman" w:eastAsia="宋体" w:cs="Times New Roman"/>
          <w:color w:val="FF0000"/>
          <w:sz w:val="24"/>
          <w:szCs w:val="24"/>
          <w:highlight w:val="none"/>
          <w:lang w:val="zh-CN" w:eastAsia="zh-CN" w:bidi="zh-CN"/>
        </w:rPr>
        <w:t>鸡粪发酵处理场</w:t>
      </w:r>
      <w:r>
        <w:rPr>
          <w:rFonts w:hint="default" w:ascii="Times New Roman" w:hAnsi="Times New Roman" w:eastAsia="宋体" w:cs="Times New Roman"/>
          <w:color w:val="FF0000"/>
          <w:sz w:val="24"/>
          <w:szCs w:val="24"/>
          <w:lang w:val="en-US" w:eastAsia="zh-CN"/>
        </w:rPr>
        <w:t>对地下水的影响较小。根据项目实际情况，综合考虑环保池防渗措施破损等在非正常工况下的影响。</w:t>
      </w:r>
    </w:p>
    <w:p w14:paraId="62A2ED5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非正常工况下，渗漏量参照《给水排水构筑物工程施工及验收规范》（GB50141-2008）正常渗漏系数为2L/（m</w:t>
      </w:r>
      <w:r>
        <w:rPr>
          <w:rFonts w:hint="default" w:ascii="Times New Roman" w:hAnsi="Times New Roman" w:eastAsia="宋体" w:cs="Times New Roman"/>
          <w:color w:val="FF0000"/>
          <w:sz w:val="24"/>
          <w:szCs w:val="24"/>
          <w:vertAlign w:val="superscript"/>
          <w:lang w:val="en-US" w:eastAsia="zh-CN"/>
        </w:rPr>
        <w:t>2</w:t>
      </w:r>
      <w:r>
        <w:rPr>
          <w:rFonts w:hint="default" w:ascii="Times New Roman" w:hAnsi="Times New Roman" w:eastAsia="宋体" w:cs="Times New Roman"/>
          <w:color w:val="FF0000"/>
          <w:sz w:val="24"/>
          <w:szCs w:val="24"/>
          <w:lang w:val="en-US" w:eastAsia="zh-CN"/>
        </w:rPr>
        <w:t>.d）的100倍计算，并假定企业污水处理站发生渗漏10天后被发现并修复，</w:t>
      </w:r>
      <w:r>
        <w:rPr>
          <w:rFonts w:hint="default" w:ascii="Times New Roman" w:hAnsi="Times New Roman" w:eastAsia="宋体" w:cs="Times New Roman"/>
          <w:color w:val="FF0000"/>
          <w:sz w:val="24"/>
          <w:szCs w:val="24"/>
          <w:highlight w:val="none"/>
          <w:lang w:val="en-US" w:eastAsia="zh-CN" w:bidi="zh-CN"/>
        </w:rPr>
        <w:t>废水收集池</w:t>
      </w:r>
      <w:r>
        <w:rPr>
          <w:rFonts w:hint="default" w:ascii="Times New Roman" w:hAnsi="Times New Roman" w:eastAsia="宋体" w:cs="Times New Roman"/>
          <w:color w:val="FF0000"/>
          <w:sz w:val="24"/>
          <w:szCs w:val="24"/>
          <w:lang w:val="en-US" w:eastAsia="zh-CN"/>
        </w:rPr>
        <w:t>泄漏面积为防渗面积的0.1%，根据工程分析，</w:t>
      </w:r>
      <w:r>
        <w:rPr>
          <w:rFonts w:hint="default" w:ascii="Times New Roman" w:hAnsi="Times New Roman" w:eastAsia="宋体" w:cs="Times New Roman"/>
          <w:color w:val="FF0000"/>
          <w:sz w:val="24"/>
          <w:szCs w:val="24"/>
          <w:highlight w:val="none"/>
          <w:lang w:val="en-US" w:eastAsia="zh-CN" w:bidi="zh-CN"/>
        </w:rPr>
        <w:t>废水收集池</w:t>
      </w:r>
      <w:r>
        <w:rPr>
          <w:rFonts w:hint="default" w:ascii="Times New Roman" w:hAnsi="Times New Roman" w:eastAsia="宋体" w:cs="Times New Roman"/>
          <w:color w:val="FF0000"/>
          <w:sz w:val="24"/>
          <w:szCs w:val="24"/>
          <w:lang w:val="en-US" w:eastAsia="zh-CN"/>
        </w:rPr>
        <w:t>污染物浓度按COD</w:t>
      </w:r>
      <w:r>
        <w:rPr>
          <w:rFonts w:hint="default" w:ascii="Times New Roman" w:hAnsi="Times New Roman" w:eastAsia="宋体" w:cs="Times New Roman"/>
          <w:color w:val="FF0000"/>
          <w:sz w:val="24"/>
          <w:szCs w:val="24"/>
          <w:vertAlign w:val="subscript"/>
          <w:lang w:val="en-US" w:eastAsia="zh-CN"/>
        </w:rPr>
        <w:t>Cr</w:t>
      </w:r>
      <w:r>
        <w:rPr>
          <w:rFonts w:hint="default" w:ascii="Times New Roman" w:hAnsi="Times New Roman" w:eastAsia="宋体" w:cs="Times New Roman"/>
          <w:color w:val="FF0000"/>
          <w:sz w:val="24"/>
          <w:szCs w:val="24"/>
          <w:lang w:val="en-US" w:eastAsia="zh-CN"/>
        </w:rPr>
        <w:t>1415mg/L、氨氮236mg/L，则废水渗漏量为5m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lang w:val="en-US" w:eastAsia="zh-CN"/>
        </w:rPr>
        <w:t>，CODCr渗漏量7.075kg，氨氮渗漏量1.18kg。</w:t>
      </w:r>
    </w:p>
    <w:p w14:paraId="51F1507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（3）预测时段及预测因子</w:t>
      </w:r>
    </w:p>
    <w:p w14:paraId="1B472A1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lang w:val="en-US" w:eastAsia="zh-CN"/>
        </w:rPr>
        <w:t>根据《环境影响评价技术导则地下水环境》（HJ610-2016）要求，地下水三级评价可采用数值法或解析法，本次地下水环境影响预测评价采用解析法。通过模拟典型污染因子在地下水中的迁移过程，进一步分析污染物影响范围和超标范围。本报告选取在非正常工况条件下，废水收集池废水泄漏对地下水的影响。</w:t>
      </w:r>
    </w:p>
    <w:p w14:paraId="697B17F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lang w:val="en-US" w:eastAsia="zh-CN"/>
        </w:rPr>
        <w:t>本项目废水排放因子主要有COD</w:t>
      </w:r>
      <w:r>
        <w:rPr>
          <w:rFonts w:hint="default" w:ascii="Times New Roman" w:hAnsi="Times New Roman" w:eastAsia="宋体" w:cs="Times New Roman"/>
          <w:color w:val="FF0000"/>
          <w:sz w:val="24"/>
          <w:vertAlign w:val="subscript"/>
          <w:lang w:val="en-US" w:eastAsia="zh-CN"/>
        </w:rPr>
        <w:t>Cr</w:t>
      </w:r>
      <w:r>
        <w:rPr>
          <w:rFonts w:hint="default" w:ascii="Times New Roman" w:hAnsi="Times New Roman" w:eastAsia="宋体" w:cs="Times New Roman"/>
          <w:color w:val="FF0000"/>
          <w:sz w:val="24"/>
          <w:lang w:val="en-US" w:eastAsia="zh-CN"/>
        </w:rPr>
        <w:t>、BOD</w:t>
      </w:r>
      <w:r>
        <w:rPr>
          <w:rFonts w:hint="default" w:ascii="Times New Roman" w:hAnsi="Times New Roman" w:eastAsia="宋体" w:cs="Times New Roman"/>
          <w:color w:val="FF0000"/>
          <w:sz w:val="24"/>
          <w:vertAlign w:val="subscript"/>
          <w:lang w:val="en-US" w:eastAsia="zh-CN"/>
        </w:rPr>
        <w:t>5</w:t>
      </w:r>
      <w:r>
        <w:rPr>
          <w:rFonts w:hint="default" w:ascii="Times New Roman" w:hAnsi="Times New Roman" w:eastAsia="宋体" w:cs="Times New Roman"/>
          <w:color w:val="FF0000"/>
          <w:sz w:val="24"/>
          <w:lang w:val="en-US" w:eastAsia="zh-CN"/>
        </w:rPr>
        <w:t>、SS、NH</w:t>
      </w:r>
      <w:r>
        <w:rPr>
          <w:rFonts w:hint="default" w:ascii="Times New Roman" w:hAnsi="Times New Roman" w:eastAsia="宋体" w:cs="Times New Roman"/>
          <w:color w:val="FF0000"/>
          <w:sz w:val="24"/>
          <w:vertAlign w:val="subscript"/>
          <w:lang w:val="en-US" w:eastAsia="zh-CN"/>
        </w:rPr>
        <w:t>3</w:t>
      </w:r>
      <w:r>
        <w:rPr>
          <w:rFonts w:hint="default" w:ascii="Times New Roman" w:hAnsi="Times New Roman" w:eastAsia="宋体" w:cs="Times New Roman"/>
          <w:color w:val="FF0000"/>
          <w:sz w:val="24"/>
          <w:lang w:val="en-US" w:eastAsia="zh-CN"/>
        </w:rPr>
        <w:t>-N等，本次评价选取对地下水环境质量影响有代表性且污染负荷较大的COD</w:t>
      </w:r>
      <w:r>
        <w:rPr>
          <w:rFonts w:hint="default" w:ascii="Times New Roman" w:hAnsi="Times New Roman" w:eastAsia="宋体" w:cs="Times New Roman"/>
          <w:color w:val="FF0000"/>
          <w:sz w:val="24"/>
          <w:vertAlign w:val="subscript"/>
          <w:lang w:val="en-US" w:eastAsia="zh-CN"/>
        </w:rPr>
        <w:t>Cr</w:t>
      </w:r>
      <w:r>
        <w:rPr>
          <w:rFonts w:hint="default" w:ascii="Times New Roman" w:hAnsi="Times New Roman" w:eastAsia="宋体" w:cs="Times New Roman"/>
          <w:color w:val="FF0000"/>
          <w:sz w:val="24"/>
          <w:lang w:val="en-US" w:eastAsia="zh-CN"/>
        </w:rPr>
        <w:t>、氨氮作为污染因子进行预测，COD</w:t>
      </w:r>
      <w:r>
        <w:rPr>
          <w:rFonts w:hint="default" w:ascii="Times New Roman" w:hAnsi="Times New Roman" w:eastAsia="宋体" w:cs="Times New Roman"/>
          <w:color w:val="FF0000"/>
          <w:sz w:val="24"/>
          <w:vertAlign w:val="subscript"/>
          <w:lang w:val="en-US" w:eastAsia="zh-CN"/>
        </w:rPr>
        <w:t>Cr</w:t>
      </w:r>
      <w:r>
        <w:rPr>
          <w:rFonts w:hint="default" w:ascii="Times New Roman" w:hAnsi="Times New Roman" w:eastAsia="宋体" w:cs="Times New Roman"/>
          <w:color w:val="FF0000"/>
          <w:sz w:val="24"/>
          <w:lang w:val="en-US" w:eastAsia="zh-CN"/>
        </w:rPr>
        <w:t>浓度为1415mg/L，NH</w:t>
      </w:r>
      <w:r>
        <w:rPr>
          <w:rFonts w:hint="default" w:ascii="Times New Roman" w:hAnsi="Times New Roman" w:eastAsia="宋体" w:cs="Times New Roman"/>
          <w:color w:val="FF0000"/>
          <w:sz w:val="24"/>
          <w:vertAlign w:val="subscript"/>
          <w:lang w:val="en-US" w:eastAsia="zh-CN"/>
        </w:rPr>
        <w:t>3</w:t>
      </w:r>
      <w:r>
        <w:rPr>
          <w:rFonts w:hint="default" w:ascii="Times New Roman" w:hAnsi="Times New Roman" w:eastAsia="宋体" w:cs="Times New Roman"/>
          <w:color w:val="FF0000"/>
          <w:sz w:val="24"/>
          <w:lang w:val="en-US" w:eastAsia="zh-CN"/>
        </w:rPr>
        <w:t>-N浓度为236mg/L。COD</w:t>
      </w:r>
      <w:r>
        <w:rPr>
          <w:rFonts w:hint="default" w:ascii="Times New Roman" w:hAnsi="Times New Roman" w:eastAsia="宋体" w:cs="Times New Roman"/>
          <w:color w:val="FF0000"/>
          <w:sz w:val="24"/>
          <w:vertAlign w:val="subscript"/>
          <w:lang w:val="en-US" w:eastAsia="zh-CN"/>
        </w:rPr>
        <w:t>Cr</w:t>
      </w:r>
      <w:r>
        <w:rPr>
          <w:rFonts w:hint="default" w:ascii="Times New Roman" w:hAnsi="Times New Roman" w:eastAsia="宋体" w:cs="Times New Roman"/>
          <w:color w:val="FF0000"/>
          <w:sz w:val="24"/>
          <w:lang w:val="en-US" w:eastAsia="zh-CN"/>
        </w:rPr>
        <w:t>、氨氮执行《地下水质量标准》（GB/T14848-2017）Ⅲ类标准，将COD</w:t>
      </w:r>
      <w:r>
        <w:rPr>
          <w:rFonts w:hint="default" w:ascii="Times New Roman" w:hAnsi="Times New Roman" w:eastAsia="宋体" w:cs="Times New Roman"/>
          <w:color w:val="FF0000"/>
          <w:sz w:val="24"/>
          <w:vertAlign w:val="subscript"/>
          <w:lang w:val="en-US" w:eastAsia="zh-CN"/>
        </w:rPr>
        <w:t>Cr</w:t>
      </w:r>
      <w:r>
        <w:rPr>
          <w:rFonts w:hint="default" w:ascii="Times New Roman" w:hAnsi="Times New Roman" w:eastAsia="宋体" w:cs="Times New Roman"/>
          <w:color w:val="FF0000"/>
          <w:sz w:val="24"/>
          <w:lang w:val="en-US" w:eastAsia="zh-CN"/>
        </w:rPr>
        <w:t>＞3mg/L、氨氮＞0.5mgL的浓度定为超标范围。本次选择COD</w:t>
      </w:r>
      <w:r>
        <w:rPr>
          <w:rFonts w:hint="default" w:ascii="Times New Roman" w:hAnsi="Times New Roman" w:eastAsia="宋体" w:cs="Times New Roman"/>
          <w:color w:val="FF0000"/>
          <w:sz w:val="24"/>
          <w:vertAlign w:val="subscript"/>
          <w:lang w:val="en-US" w:eastAsia="zh-CN"/>
        </w:rPr>
        <w:t>Cr</w:t>
      </w:r>
      <w:r>
        <w:rPr>
          <w:rFonts w:hint="default" w:ascii="Times New Roman" w:hAnsi="Times New Roman" w:eastAsia="宋体" w:cs="Times New Roman"/>
          <w:color w:val="FF0000"/>
          <w:sz w:val="24"/>
          <w:lang w:val="en-US" w:eastAsia="zh-CN"/>
        </w:rPr>
        <w:t>及NH</w:t>
      </w:r>
      <w:r>
        <w:rPr>
          <w:rFonts w:hint="default" w:ascii="Times New Roman" w:hAnsi="Times New Roman" w:eastAsia="宋体" w:cs="Times New Roman"/>
          <w:color w:val="FF0000"/>
          <w:sz w:val="24"/>
          <w:vertAlign w:val="subscript"/>
          <w:lang w:val="en-US" w:eastAsia="zh-CN"/>
        </w:rPr>
        <w:t>3</w:t>
      </w:r>
      <w:r>
        <w:rPr>
          <w:rFonts w:hint="default" w:ascii="Times New Roman" w:hAnsi="Times New Roman" w:eastAsia="宋体" w:cs="Times New Roman"/>
          <w:color w:val="FF0000"/>
          <w:sz w:val="24"/>
          <w:lang w:val="en-US" w:eastAsia="zh-CN"/>
        </w:rPr>
        <w:t>-N为代表泄漏100d、1000d分别进行预测。</w:t>
      </w:r>
    </w:p>
    <w:p w14:paraId="571C16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highlight w:val="none"/>
          <w:lang w:val="en-US" w:eastAsia="zh-CN"/>
        </w:rPr>
      </w:pPr>
      <w:r>
        <w:rPr>
          <w:rFonts w:hint="default" w:ascii="Times New Roman" w:hAnsi="Times New Roman" w:cs="Times New Roman"/>
          <w:color w:val="FF0000"/>
          <w:sz w:val="24"/>
          <w:highlight w:val="none"/>
          <w:lang w:eastAsia="zh-CN"/>
        </w:rPr>
        <w:t>（</w:t>
      </w:r>
      <w:r>
        <w:rPr>
          <w:rFonts w:hint="default" w:ascii="Times New Roman" w:hAnsi="Times New Roman" w:cs="Times New Roman"/>
          <w:color w:val="FF0000"/>
          <w:sz w:val="24"/>
          <w:highlight w:val="none"/>
          <w:lang w:val="en-US" w:eastAsia="zh-CN"/>
        </w:rPr>
        <w:t>4</w:t>
      </w:r>
      <w:r>
        <w:rPr>
          <w:rFonts w:hint="default" w:ascii="Times New Roman" w:hAnsi="Times New Roman" w:cs="Times New Roman"/>
          <w:color w:val="FF0000"/>
          <w:sz w:val="24"/>
          <w:highlight w:val="none"/>
          <w:lang w:eastAsia="zh-CN"/>
        </w:rPr>
        <w:t>）</w:t>
      </w:r>
      <w:r>
        <w:rPr>
          <w:rFonts w:hint="default" w:ascii="Times New Roman" w:hAnsi="Times New Roman" w:cs="Times New Roman"/>
          <w:color w:val="FF0000"/>
          <w:sz w:val="24"/>
          <w:highlight w:val="none"/>
          <w:lang w:val="en-US" w:eastAsia="zh-CN"/>
        </w:rPr>
        <w:t>预测模型</w:t>
      </w:r>
    </w:p>
    <w:p w14:paraId="6A38C4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rPr>
        <w:t>根据评价区域水文地质资料，区域水文地质条件较简单，地下水位动态稳定，因此污染物在浅层含水层中的运移，可概化为一维半无限长多孔介质柱体，一端为定浓度边界的一维稳定流动一维水动力弥散问题，预测模型如下：</w:t>
      </w:r>
    </w:p>
    <w:p w14:paraId="033F1484">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rPr>
          <w:rFonts w:hint="default" w:ascii="Times New Roman" w:hAnsi="Times New Roman" w:cs="Times New Roman"/>
          <w:color w:val="FF0000"/>
          <w:sz w:val="24"/>
          <w:highlight w:val="none"/>
          <w:lang w:eastAsia="zh-CN"/>
        </w:rPr>
      </w:pPr>
      <w:r>
        <w:rPr>
          <w:rFonts w:hint="default" w:ascii="Times New Roman" w:hAnsi="Times New Roman" w:cs="Times New Roman"/>
          <w:color w:val="FF0000"/>
        </w:rPr>
        <w:drawing>
          <wp:inline distT="0" distB="0" distL="114300" distR="114300">
            <wp:extent cx="3119120" cy="622300"/>
            <wp:effectExtent l="0" t="0" r="5080" b="6350"/>
            <wp:docPr id="59"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3"/>
                    <pic:cNvPicPr>
                      <a:picLocks noChangeAspect="1"/>
                    </pic:cNvPicPr>
                  </pic:nvPicPr>
                  <pic:blipFill>
                    <a:blip r:embed="rId23"/>
                    <a:stretch>
                      <a:fillRect/>
                    </a:stretch>
                  </pic:blipFill>
                  <pic:spPr>
                    <a:xfrm>
                      <a:off x="0" y="0"/>
                      <a:ext cx="3119120" cy="622300"/>
                    </a:xfrm>
                    <a:prstGeom prst="rect">
                      <a:avLst/>
                    </a:prstGeom>
                    <a:noFill/>
                    <a:ln>
                      <a:noFill/>
                    </a:ln>
                  </pic:spPr>
                </pic:pic>
              </a:graphicData>
            </a:graphic>
          </wp:inline>
        </w:drawing>
      </w:r>
    </w:p>
    <w:p w14:paraId="1150F7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lang w:val="en-US" w:eastAsia="zh-CN"/>
        </w:rPr>
        <w:t>式中：x—距注入点的距离，m；</w:t>
      </w:r>
    </w:p>
    <w:p w14:paraId="1C6095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lang w:val="en-US" w:eastAsia="zh-CN"/>
        </w:rPr>
        <w:t>t—时间，d；</w:t>
      </w:r>
    </w:p>
    <w:p w14:paraId="19BE84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lang w:val="en-US" w:eastAsia="zh-CN"/>
        </w:rPr>
        <w:t>C（x，t）—t时刻x处的示踪剂浓度，g/L；</w:t>
      </w:r>
    </w:p>
    <w:p w14:paraId="04D1DC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lang w:val="en-US" w:eastAsia="zh-CN"/>
        </w:rPr>
        <w:t>C0——注入的示踪剂浓度，g/L；</w:t>
      </w:r>
    </w:p>
    <w:p w14:paraId="6448F7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lang w:val="en-US" w:eastAsia="zh-CN"/>
        </w:rPr>
        <w:t>u-水流速度，m/d；</w:t>
      </w:r>
    </w:p>
    <w:p w14:paraId="5164D1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lang w:val="en-US" w:eastAsia="zh-CN"/>
        </w:rPr>
        <w:t>n—有效孔隙度，无量纲；</w:t>
      </w:r>
    </w:p>
    <w:p w14:paraId="77EC6F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lang w:val="en-US" w:eastAsia="zh-CN"/>
        </w:rPr>
        <w:t>DL—纵向弥散系数，m</w:t>
      </w:r>
      <w:r>
        <w:rPr>
          <w:rFonts w:hint="default" w:ascii="Times New Roman" w:hAnsi="Times New Roman" w:cs="Times New Roman"/>
          <w:color w:val="FF0000"/>
          <w:sz w:val="24"/>
          <w:highlight w:val="none"/>
          <w:vertAlign w:val="superscript"/>
          <w:lang w:val="en-US" w:eastAsia="zh-CN"/>
        </w:rPr>
        <w:t>2</w:t>
      </w:r>
      <w:r>
        <w:rPr>
          <w:rFonts w:hint="default" w:ascii="Times New Roman" w:hAnsi="Times New Roman" w:cs="Times New Roman"/>
          <w:color w:val="FF0000"/>
          <w:sz w:val="24"/>
          <w:highlight w:val="none"/>
          <w:lang w:val="en-US" w:eastAsia="zh-CN"/>
        </w:rPr>
        <w:t>/d；</w:t>
      </w:r>
    </w:p>
    <w:p w14:paraId="0AAF05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lang w:val="en-US" w:eastAsia="zh-CN"/>
        </w:rPr>
        <w:t>erfc</w:t>
      </w:r>
      <w:r>
        <w:rPr>
          <w:rFonts w:hint="eastAsia" w:ascii="Times New Roman" w:hAnsi="Times New Roman" w:cs="Times New Roman"/>
          <w:color w:val="FF0000"/>
          <w:sz w:val="24"/>
          <w:highlight w:val="none"/>
          <w:lang w:val="en-US" w:eastAsia="zh-CN"/>
        </w:rPr>
        <w:t>（</w:t>
      </w:r>
      <w:r>
        <w:rPr>
          <w:rFonts w:hint="default" w:ascii="Times New Roman" w:hAnsi="Times New Roman" w:cs="Times New Roman"/>
          <w:color w:val="FF0000"/>
          <w:sz w:val="24"/>
          <w:highlight w:val="none"/>
          <w:lang w:val="en-US" w:eastAsia="zh-CN"/>
        </w:rPr>
        <w:t>)—余误差函数。</w:t>
      </w:r>
    </w:p>
    <w:p w14:paraId="1BB233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yellow"/>
        </w:rPr>
      </w:pPr>
      <w:r>
        <w:rPr>
          <w:rFonts w:hint="default" w:ascii="Times New Roman" w:hAnsi="Times New Roman" w:cs="Times New Roman"/>
          <w:color w:val="FF0000"/>
          <w:sz w:val="24"/>
          <w:highlight w:val="none"/>
        </w:rPr>
        <w:t>各预测参数选取详见表</w:t>
      </w:r>
      <w:r>
        <w:rPr>
          <w:rFonts w:hint="default" w:ascii="Times New Roman" w:hAnsi="Times New Roman" w:cs="Times New Roman"/>
          <w:color w:val="FF0000"/>
          <w:sz w:val="24"/>
          <w:highlight w:val="none"/>
          <w:lang w:val="en-US" w:eastAsia="zh-CN"/>
        </w:rPr>
        <w:t>5</w:t>
      </w:r>
      <w:r>
        <w:rPr>
          <w:rFonts w:hint="default" w:ascii="Times New Roman" w:hAnsi="Times New Roman" w:cs="Times New Roman"/>
          <w:color w:val="FF0000"/>
          <w:sz w:val="24"/>
          <w:highlight w:val="none"/>
        </w:rPr>
        <w:t>.2-</w:t>
      </w:r>
      <w:r>
        <w:rPr>
          <w:rFonts w:hint="default" w:ascii="Times New Roman" w:hAnsi="Times New Roman" w:cs="Times New Roman"/>
          <w:color w:val="FF0000"/>
          <w:sz w:val="24"/>
          <w:highlight w:val="none"/>
          <w:lang w:val="en-US" w:eastAsia="zh-CN"/>
        </w:rPr>
        <w:t>10</w:t>
      </w:r>
      <w:r>
        <w:rPr>
          <w:rFonts w:hint="default" w:ascii="Times New Roman" w:hAnsi="Times New Roman" w:cs="Times New Roman"/>
          <w:color w:val="FF0000"/>
          <w:sz w:val="24"/>
          <w:highlight w:val="none"/>
        </w:rPr>
        <w:t>。</w:t>
      </w:r>
    </w:p>
    <w:p w14:paraId="21ABD8F6">
      <w:pPr>
        <w:pStyle w:val="14"/>
        <w:tabs>
          <w:tab w:val="left" w:pos="3311"/>
        </w:tabs>
        <w:spacing w:before="36"/>
        <w:jc w:val="center"/>
        <w:rPr>
          <w:rFonts w:hint="default" w:ascii="Times New Roman" w:hAnsi="Times New Roman" w:cs="Times New Roman"/>
          <w:b/>
          <w:bCs/>
          <w:color w:val="FF0000"/>
          <w:sz w:val="7"/>
          <w:szCs w:val="7"/>
        </w:rPr>
      </w:pPr>
      <w:r>
        <w:rPr>
          <w:rFonts w:hint="default" w:ascii="Times New Roman" w:hAnsi="Times New Roman" w:cs="Times New Roman"/>
          <w:color w:val="FF0000"/>
          <w:highlight w:val="none"/>
        </w:rPr>
        <w:t>表</w:t>
      </w:r>
      <w:r>
        <w:rPr>
          <w:rFonts w:hint="default" w:ascii="Times New Roman" w:hAnsi="Times New Roman" w:cs="Times New Roman"/>
          <w:color w:val="FF0000"/>
          <w:highlight w:val="none"/>
        </w:rPr>
        <w:fldChar w:fldCharType="begin"/>
      </w:r>
      <w:r>
        <w:rPr>
          <w:rFonts w:hint="default" w:ascii="Times New Roman" w:hAnsi="Times New Roman" w:cs="Times New Roman"/>
          <w:color w:val="FF0000"/>
          <w:highlight w:val="none"/>
        </w:rPr>
        <w:instrText xml:space="preserve"> STYLEREF 2 \s </w:instrText>
      </w:r>
      <w:r>
        <w:rPr>
          <w:rFonts w:hint="default" w:ascii="Times New Roman" w:hAnsi="Times New Roman" w:cs="Times New Roman"/>
          <w:color w:val="FF0000"/>
          <w:highlight w:val="none"/>
        </w:rPr>
        <w:fldChar w:fldCharType="separate"/>
      </w:r>
      <w:r>
        <w:rPr>
          <w:rFonts w:hint="default" w:ascii="Times New Roman" w:hAnsi="Times New Roman" w:cs="Times New Roman"/>
          <w:color w:val="FF0000"/>
          <w:highlight w:val="none"/>
        </w:rPr>
        <w:t>5.2</w:t>
      </w:r>
      <w:r>
        <w:rPr>
          <w:rFonts w:hint="default" w:ascii="Times New Roman" w:hAnsi="Times New Roman" w:cs="Times New Roman"/>
          <w:color w:val="FF0000"/>
          <w:highlight w:val="none"/>
        </w:rPr>
        <w:fldChar w:fldCharType="end"/>
      </w:r>
      <w:r>
        <w:rPr>
          <w:rFonts w:hint="default" w:ascii="Times New Roman" w:hAnsi="Times New Roman" w:cs="Times New Roman"/>
          <w:color w:val="FF0000"/>
          <w:highlight w:val="none"/>
          <w:lang w:eastAsia="zh-CN"/>
        </w:rPr>
        <w:t>-</w:t>
      </w:r>
      <w:r>
        <w:rPr>
          <w:rFonts w:hint="default" w:ascii="Times New Roman" w:hAnsi="Times New Roman" w:cs="Times New Roman"/>
          <w:color w:val="FF0000"/>
          <w:highlight w:val="none"/>
        </w:rPr>
        <w:fldChar w:fldCharType="begin"/>
      </w:r>
      <w:r>
        <w:rPr>
          <w:rFonts w:hint="default" w:ascii="Times New Roman" w:hAnsi="Times New Roman" w:cs="Times New Roman"/>
          <w:color w:val="FF0000"/>
          <w:highlight w:val="none"/>
        </w:rPr>
        <w:instrText xml:space="preserve"> SEQ 表 \* ARABIC \s 2 </w:instrText>
      </w:r>
      <w:r>
        <w:rPr>
          <w:rFonts w:hint="default" w:ascii="Times New Roman" w:hAnsi="Times New Roman" w:cs="Times New Roman"/>
          <w:color w:val="FF0000"/>
          <w:highlight w:val="none"/>
        </w:rPr>
        <w:fldChar w:fldCharType="separate"/>
      </w:r>
      <w:r>
        <w:rPr>
          <w:rFonts w:hint="default" w:ascii="Times New Roman" w:hAnsi="Times New Roman" w:cs="Times New Roman"/>
          <w:color w:val="FF0000"/>
          <w:highlight w:val="none"/>
        </w:rPr>
        <w:t>11</w:t>
      </w:r>
      <w:r>
        <w:rPr>
          <w:rFonts w:hint="default" w:ascii="Times New Roman" w:hAnsi="Times New Roman" w:cs="Times New Roman"/>
          <w:color w:val="FF0000"/>
          <w:highlight w:val="none"/>
        </w:rPr>
        <w:fldChar w:fldCharType="end"/>
      </w:r>
      <w:r>
        <w:rPr>
          <w:rFonts w:hint="default" w:ascii="Times New Roman" w:hAnsi="Times New Roman" w:eastAsia="宋体" w:cs="Times New Roman"/>
          <w:b/>
          <w:bCs/>
          <w:color w:val="FF0000"/>
          <w:szCs w:val="21"/>
          <w:highlight w:val="none"/>
          <w:lang w:val="en-US" w:eastAsia="zh-CN"/>
        </w:rPr>
        <w:t>预</w:t>
      </w:r>
      <w:r>
        <w:rPr>
          <w:rFonts w:hint="default" w:ascii="Times New Roman" w:hAnsi="Times New Roman" w:eastAsia="宋体" w:cs="Times New Roman"/>
          <w:b/>
          <w:bCs/>
          <w:color w:val="FF0000"/>
          <w:szCs w:val="21"/>
          <w:lang w:val="en-US" w:eastAsia="zh-CN"/>
        </w:rPr>
        <w:t>测参数一览</w:t>
      </w:r>
      <w:r>
        <w:rPr>
          <w:rFonts w:hint="default" w:ascii="Times New Roman" w:hAnsi="Times New Roman" w:cs="Times New Roman"/>
          <w:b/>
          <w:bCs/>
          <w:color w:val="FF0000"/>
          <w:szCs w:val="21"/>
        </w:rPr>
        <w:t>表</w:t>
      </w:r>
    </w:p>
    <w:tbl>
      <w:tblPr>
        <w:tblStyle w:val="3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427"/>
        <w:gridCol w:w="2442"/>
        <w:gridCol w:w="2660"/>
      </w:tblGrid>
      <w:tr w14:paraId="2D1A8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0" w:type="pct"/>
            <w:gridSpan w:val="2"/>
            <w:tcBorders>
              <w:tl2br w:val="nil"/>
              <w:tr2bl w:val="nil"/>
            </w:tcBorders>
            <w:noWrap w:val="0"/>
            <w:vAlign w:val="center"/>
          </w:tcPr>
          <w:p w14:paraId="139B3102">
            <w:pPr>
              <w:pStyle w:val="69"/>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lang w:val="en-US" w:eastAsia="zh-CN"/>
              </w:rPr>
              <w:t>计算参数</w:t>
            </w:r>
          </w:p>
        </w:tc>
        <w:tc>
          <w:tcPr>
            <w:tcW w:w="1559" w:type="pct"/>
            <w:tcBorders>
              <w:tl2br w:val="nil"/>
              <w:tr2bl w:val="nil"/>
            </w:tcBorders>
            <w:noWrap w:val="0"/>
            <w:vAlign w:val="center"/>
          </w:tcPr>
          <w:p w14:paraId="2AA3A781">
            <w:pPr>
              <w:pStyle w:val="69"/>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取值</w:t>
            </w:r>
          </w:p>
        </w:tc>
      </w:tr>
      <w:tr w14:paraId="51F1E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0" w:type="pct"/>
            <w:gridSpan w:val="2"/>
            <w:tcBorders>
              <w:tl2br w:val="nil"/>
              <w:tr2bl w:val="nil"/>
            </w:tcBorders>
            <w:noWrap w:val="0"/>
            <w:vAlign w:val="center"/>
          </w:tcPr>
          <w:p w14:paraId="6CBF0546">
            <w:pPr>
              <w:pStyle w:val="69"/>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t（d）</w:t>
            </w:r>
          </w:p>
        </w:tc>
        <w:tc>
          <w:tcPr>
            <w:tcW w:w="1559" w:type="pct"/>
            <w:tcBorders>
              <w:tl2br w:val="nil"/>
              <w:tr2bl w:val="nil"/>
            </w:tcBorders>
            <w:noWrap w:val="0"/>
            <w:vAlign w:val="center"/>
          </w:tcPr>
          <w:p w14:paraId="251DB6B9">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lang w:val="en-US" w:eastAsia="zh-CN"/>
              </w:rPr>
              <w:t>100、1000</w:t>
            </w:r>
          </w:p>
        </w:tc>
      </w:tr>
      <w:tr w14:paraId="108F9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09" w:type="pct"/>
            <w:vMerge w:val="restart"/>
            <w:tcBorders>
              <w:tl2br w:val="nil"/>
              <w:tr2bl w:val="nil"/>
            </w:tcBorders>
            <w:noWrap w:val="0"/>
            <w:vAlign w:val="center"/>
          </w:tcPr>
          <w:p w14:paraId="542D9168">
            <w:pPr>
              <w:jc w:val="center"/>
              <w:rPr>
                <w:rFonts w:hint="default" w:ascii="Times New Roman" w:hAnsi="Times New Roman" w:eastAsia="宋体" w:cs="Times New Roman"/>
                <w:color w:val="FF0000"/>
                <w:w w:val="99"/>
                <w:sz w:val="21"/>
                <w:szCs w:val="21"/>
                <w:lang w:val="en-US" w:eastAsia="zh-CN"/>
              </w:rPr>
            </w:pPr>
            <w:r>
              <w:rPr>
                <w:rFonts w:hint="default" w:ascii="Times New Roman" w:hAnsi="Times New Roman" w:eastAsia="宋体" w:cs="Times New Roman"/>
                <w:color w:val="FF0000"/>
                <w:w w:val="99"/>
                <w:sz w:val="21"/>
                <w:szCs w:val="21"/>
                <w:lang w:val="en-US" w:eastAsia="zh-CN"/>
              </w:rPr>
              <w:t>C</w:t>
            </w:r>
            <w:r>
              <w:rPr>
                <w:rFonts w:hint="default" w:ascii="Times New Roman" w:hAnsi="Times New Roman" w:eastAsia="宋体" w:cs="Times New Roman"/>
                <w:color w:val="FF0000"/>
                <w:w w:val="99"/>
                <w:sz w:val="21"/>
                <w:szCs w:val="21"/>
                <w:vertAlign w:val="subscript"/>
                <w:lang w:val="en-US" w:eastAsia="zh-CN"/>
              </w:rPr>
              <w:t>o</w:t>
            </w:r>
            <w:r>
              <w:rPr>
                <w:rFonts w:hint="default" w:ascii="Times New Roman" w:hAnsi="Times New Roman" w:eastAsia="宋体" w:cs="Times New Roman"/>
                <w:color w:val="FF0000"/>
                <w:w w:val="99"/>
                <w:sz w:val="21"/>
                <w:szCs w:val="21"/>
                <w:lang w:val="en-US" w:eastAsia="zh-CN"/>
              </w:rPr>
              <w:t>（g/L）</w:t>
            </w:r>
          </w:p>
        </w:tc>
        <w:tc>
          <w:tcPr>
            <w:tcW w:w="1431" w:type="pct"/>
            <w:tcBorders>
              <w:tl2br w:val="nil"/>
              <w:tr2bl w:val="nil"/>
            </w:tcBorders>
            <w:noWrap w:val="0"/>
            <w:vAlign w:val="center"/>
          </w:tcPr>
          <w:p w14:paraId="5C3E6311">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COD</w:t>
            </w:r>
          </w:p>
        </w:tc>
        <w:tc>
          <w:tcPr>
            <w:tcW w:w="1559" w:type="pct"/>
            <w:tcBorders>
              <w:tl2br w:val="nil"/>
              <w:tr2bl w:val="nil"/>
            </w:tcBorders>
            <w:noWrap w:val="0"/>
            <w:vAlign w:val="center"/>
          </w:tcPr>
          <w:p w14:paraId="70CD2BDA">
            <w:pPr>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1.415</w:t>
            </w:r>
          </w:p>
        </w:tc>
      </w:tr>
      <w:tr w14:paraId="2BE57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09" w:type="pct"/>
            <w:vMerge w:val="continue"/>
            <w:tcBorders>
              <w:tl2br w:val="nil"/>
              <w:tr2bl w:val="nil"/>
            </w:tcBorders>
            <w:noWrap w:val="0"/>
            <w:vAlign w:val="center"/>
          </w:tcPr>
          <w:p w14:paraId="1933EFC0">
            <w:pPr>
              <w:jc w:val="center"/>
              <w:rPr>
                <w:rFonts w:hint="default" w:ascii="Times New Roman" w:hAnsi="Times New Roman" w:eastAsia="宋体" w:cs="Times New Roman"/>
                <w:color w:val="FF0000"/>
                <w:w w:val="99"/>
                <w:sz w:val="21"/>
                <w:szCs w:val="21"/>
                <w:lang w:val="en-US" w:eastAsia="zh-CN"/>
              </w:rPr>
            </w:pPr>
          </w:p>
        </w:tc>
        <w:tc>
          <w:tcPr>
            <w:tcW w:w="1431" w:type="pct"/>
            <w:tcBorders>
              <w:tl2br w:val="nil"/>
              <w:tr2bl w:val="nil"/>
            </w:tcBorders>
            <w:noWrap w:val="0"/>
            <w:vAlign w:val="center"/>
          </w:tcPr>
          <w:p w14:paraId="681AF321">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NH</w:t>
            </w:r>
            <w:r>
              <w:rPr>
                <w:rFonts w:hint="default" w:ascii="Times New Roman" w:hAnsi="Times New Roman" w:cs="Times New Roman"/>
                <w:color w:val="FF0000"/>
                <w:position w:val="2"/>
                <w:sz w:val="21"/>
                <w:szCs w:val="21"/>
                <w:vertAlign w:val="subscript"/>
                <w:lang w:val="en-US" w:eastAsia="zh-CN"/>
              </w:rPr>
              <w:t>3</w:t>
            </w:r>
            <w:r>
              <w:rPr>
                <w:rFonts w:hint="default" w:ascii="Times New Roman" w:hAnsi="Times New Roman" w:cs="Times New Roman"/>
                <w:color w:val="FF0000"/>
                <w:position w:val="2"/>
                <w:sz w:val="21"/>
                <w:szCs w:val="21"/>
                <w:lang w:val="en-US" w:eastAsia="zh-CN"/>
              </w:rPr>
              <w:t>-N</w:t>
            </w:r>
          </w:p>
        </w:tc>
        <w:tc>
          <w:tcPr>
            <w:tcW w:w="1559" w:type="pct"/>
            <w:tcBorders>
              <w:tl2br w:val="nil"/>
              <w:tr2bl w:val="nil"/>
            </w:tcBorders>
            <w:noWrap w:val="0"/>
            <w:vAlign w:val="center"/>
          </w:tcPr>
          <w:p w14:paraId="1954CB7F">
            <w:pPr>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0.236</w:t>
            </w:r>
          </w:p>
        </w:tc>
      </w:tr>
      <w:tr w14:paraId="269D6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0" w:type="pct"/>
            <w:gridSpan w:val="2"/>
            <w:tcBorders>
              <w:tl2br w:val="nil"/>
              <w:tr2bl w:val="nil"/>
            </w:tcBorders>
            <w:noWrap w:val="0"/>
            <w:vAlign w:val="center"/>
          </w:tcPr>
          <w:p w14:paraId="5B914DB0">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eastAsia="宋体" w:cs="Times New Roman"/>
                <w:color w:val="FF0000"/>
                <w:w w:val="99"/>
                <w:sz w:val="21"/>
                <w:szCs w:val="21"/>
                <w:lang w:val="en-US" w:eastAsia="zh-CN"/>
              </w:rPr>
              <w:t>U（m/d）</w:t>
            </w:r>
          </w:p>
        </w:tc>
        <w:tc>
          <w:tcPr>
            <w:tcW w:w="1559" w:type="pct"/>
            <w:tcBorders>
              <w:tl2br w:val="nil"/>
              <w:tr2bl w:val="nil"/>
            </w:tcBorders>
            <w:noWrap w:val="0"/>
            <w:vAlign w:val="center"/>
          </w:tcPr>
          <w:p w14:paraId="5E1BFE01">
            <w:pPr>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1.2</w:t>
            </w:r>
          </w:p>
        </w:tc>
      </w:tr>
      <w:tr w14:paraId="64FCC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0" w:type="pct"/>
            <w:gridSpan w:val="2"/>
            <w:tcBorders>
              <w:tl2br w:val="nil"/>
              <w:tr2bl w:val="nil"/>
            </w:tcBorders>
            <w:noWrap w:val="0"/>
            <w:vAlign w:val="center"/>
          </w:tcPr>
          <w:p w14:paraId="01C2775D">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eastAsia="宋体" w:cs="Times New Roman"/>
                <w:color w:val="FF0000"/>
                <w:w w:val="99"/>
                <w:sz w:val="21"/>
                <w:szCs w:val="21"/>
                <w:lang w:val="en-US" w:eastAsia="zh-CN"/>
              </w:rPr>
              <w:t>D</w:t>
            </w:r>
            <w:r>
              <w:rPr>
                <w:rFonts w:hint="default" w:ascii="Times New Roman" w:hAnsi="Times New Roman" w:eastAsia="宋体" w:cs="Times New Roman"/>
                <w:color w:val="FF0000"/>
                <w:w w:val="99"/>
                <w:sz w:val="21"/>
                <w:szCs w:val="21"/>
                <w:vertAlign w:val="subscript"/>
                <w:lang w:val="en-US" w:eastAsia="zh-CN"/>
              </w:rPr>
              <w:t>L</w:t>
            </w:r>
            <w:r>
              <w:rPr>
                <w:rFonts w:hint="default" w:ascii="Times New Roman" w:hAnsi="Times New Roman" w:eastAsia="宋体" w:cs="Times New Roman"/>
                <w:color w:val="FF0000"/>
                <w:w w:val="99"/>
                <w:sz w:val="21"/>
                <w:szCs w:val="21"/>
                <w:lang w:val="en-US" w:eastAsia="zh-CN"/>
              </w:rPr>
              <w:t>（m</w:t>
            </w:r>
            <w:r>
              <w:rPr>
                <w:rFonts w:hint="default" w:ascii="Times New Roman" w:hAnsi="Times New Roman" w:eastAsia="宋体" w:cs="Times New Roman"/>
                <w:color w:val="FF0000"/>
                <w:w w:val="99"/>
                <w:sz w:val="21"/>
                <w:szCs w:val="21"/>
                <w:vertAlign w:val="superscript"/>
                <w:lang w:val="en-US" w:eastAsia="zh-CN"/>
              </w:rPr>
              <w:t>2</w:t>
            </w:r>
            <w:r>
              <w:rPr>
                <w:rFonts w:hint="default" w:ascii="Times New Roman" w:hAnsi="Times New Roman" w:eastAsia="宋体" w:cs="Times New Roman"/>
                <w:color w:val="FF0000"/>
                <w:w w:val="99"/>
                <w:sz w:val="21"/>
                <w:szCs w:val="21"/>
                <w:lang w:val="en-US" w:eastAsia="zh-CN"/>
              </w:rPr>
              <w:t>/d）</w:t>
            </w:r>
          </w:p>
        </w:tc>
        <w:tc>
          <w:tcPr>
            <w:tcW w:w="1559" w:type="pct"/>
            <w:tcBorders>
              <w:tl2br w:val="nil"/>
              <w:tr2bl w:val="nil"/>
            </w:tcBorders>
            <w:noWrap w:val="0"/>
            <w:vAlign w:val="center"/>
          </w:tcPr>
          <w:p w14:paraId="42997E97">
            <w:pPr>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6.32</w:t>
            </w:r>
          </w:p>
        </w:tc>
      </w:tr>
    </w:tbl>
    <w:p w14:paraId="6BB1AC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highlight w:val="none"/>
          <w:lang w:val="en-US" w:eastAsia="zh-CN"/>
        </w:rPr>
      </w:pPr>
      <w:r>
        <w:rPr>
          <w:rFonts w:hint="default" w:ascii="Times New Roman" w:hAnsi="Times New Roman" w:cs="Times New Roman"/>
          <w:color w:val="FF0000"/>
          <w:sz w:val="24"/>
          <w:highlight w:val="none"/>
          <w:lang w:eastAsia="zh-CN"/>
        </w:rPr>
        <w:t>（</w:t>
      </w:r>
      <w:r>
        <w:rPr>
          <w:rFonts w:hint="default" w:ascii="Times New Roman" w:hAnsi="Times New Roman" w:cs="Times New Roman"/>
          <w:color w:val="FF0000"/>
          <w:sz w:val="24"/>
          <w:highlight w:val="none"/>
          <w:lang w:val="en-US" w:eastAsia="zh-CN"/>
        </w:rPr>
        <w:t>5</w:t>
      </w:r>
      <w:r>
        <w:rPr>
          <w:rFonts w:hint="default" w:ascii="Times New Roman" w:hAnsi="Times New Roman" w:cs="Times New Roman"/>
          <w:color w:val="FF0000"/>
          <w:sz w:val="24"/>
          <w:highlight w:val="none"/>
          <w:lang w:eastAsia="zh-CN"/>
        </w:rPr>
        <w:t>）</w:t>
      </w:r>
      <w:r>
        <w:rPr>
          <w:rFonts w:hint="default" w:ascii="Times New Roman" w:hAnsi="Times New Roman" w:cs="Times New Roman"/>
          <w:color w:val="FF0000"/>
          <w:sz w:val="24"/>
          <w:highlight w:val="none"/>
          <w:lang w:val="en-US" w:eastAsia="zh-CN"/>
        </w:rPr>
        <w:t>预测结果</w:t>
      </w:r>
    </w:p>
    <w:p w14:paraId="503A53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rPr>
        <w:t>本次预测时间为100、1000天，通过计算，污染物随时间在含水层中运移距离以及浓度统计见表</w:t>
      </w:r>
      <w:r>
        <w:rPr>
          <w:rFonts w:hint="default" w:ascii="Times New Roman" w:hAnsi="Times New Roman" w:cs="Times New Roman"/>
          <w:color w:val="FF0000"/>
          <w:sz w:val="24"/>
          <w:highlight w:val="none"/>
          <w:lang w:val="en-US" w:eastAsia="zh-CN"/>
        </w:rPr>
        <w:t>5</w:t>
      </w:r>
      <w:r>
        <w:rPr>
          <w:rFonts w:hint="default" w:ascii="Times New Roman" w:hAnsi="Times New Roman" w:cs="Times New Roman"/>
          <w:color w:val="FF0000"/>
          <w:sz w:val="24"/>
          <w:highlight w:val="none"/>
        </w:rPr>
        <w:t>.2-</w:t>
      </w:r>
      <w:r>
        <w:rPr>
          <w:rFonts w:hint="default" w:ascii="Times New Roman" w:hAnsi="Times New Roman" w:cs="Times New Roman"/>
          <w:color w:val="FF0000"/>
          <w:sz w:val="24"/>
          <w:highlight w:val="none"/>
          <w:lang w:val="en-US" w:eastAsia="zh-CN"/>
        </w:rPr>
        <w:t>11</w:t>
      </w:r>
      <w:r>
        <w:rPr>
          <w:rFonts w:hint="default" w:ascii="Times New Roman" w:hAnsi="Times New Roman" w:cs="Times New Roman"/>
          <w:color w:val="FF0000"/>
          <w:sz w:val="24"/>
          <w:highlight w:val="none"/>
        </w:rPr>
        <w:t>、表</w:t>
      </w:r>
      <w:r>
        <w:rPr>
          <w:rFonts w:hint="default" w:ascii="Times New Roman" w:hAnsi="Times New Roman" w:cs="Times New Roman"/>
          <w:color w:val="FF0000"/>
          <w:sz w:val="24"/>
          <w:highlight w:val="none"/>
          <w:lang w:val="en-US" w:eastAsia="zh-CN"/>
        </w:rPr>
        <w:t>5</w:t>
      </w:r>
      <w:r>
        <w:rPr>
          <w:rFonts w:hint="default" w:ascii="Times New Roman" w:hAnsi="Times New Roman" w:cs="Times New Roman"/>
          <w:color w:val="FF0000"/>
          <w:sz w:val="24"/>
          <w:highlight w:val="none"/>
        </w:rPr>
        <w:t>.2-</w:t>
      </w:r>
      <w:r>
        <w:rPr>
          <w:rFonts w:hint="default" w:ascii="Times New Roman" w:hAnsi="Times New Roman" w:cs="Times New Roman"/>
          <w:color w:val="FF0000"/>
          <w:sz w:val="24"/>
          <w:highlight w:val="none"/>
          <w:lang w:val="en-US" w:eastAsia="zh-CN"/>
        </w:rPr>
        <w:t>12</w:t>
      </w:r>
      <w:r>
        <w:rPr>
          <w:rFonts w:hint="default" w:ascii="Times New Roman" w:hAnsi="Times New Roman" w:cs="Times New Roman"/>
          <w:color w:val="FF0000"/>
          <w:sz w:val="24"/>
          <w:highlight w:val="none"/>
        </w:rPr>
        <w:t>。</w:t>
      </w:r>
    </w:p>
    <w:p w14:paraId="17F54A0D">
      <w:pPr>
        <w:pStyle w:val="14"/>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FF0000"/>
          <w:sz w:val="7"/>
          <w:szCs w:val="7"/>
          <w:lang w:val="en-US"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12</w:t>
      </w:r>
      <w:r>
        <w:rPr>
          <w:rFonts w:hint="default" w:ascii="Times New Roman" w:hAnsi="Times New Roman" w:cs="Times New Roman"/>
          <w:color w:val="FF0000"/>
        </w:rPr>
        <w:fldChar w:fldCharType="end"/>
      </w:r>
      <w:r>
        <w:rPr>
          <w:rFonts w:hint="default" w:ascii="Times New Roman" w:hAnsi="Times New Roman" w:eastAsia="宋体" w:cs="Times New Roman"/>
          <w:b/>
          <w:bCs/>
          <w:color w:val="FF0000"/>
          <w:szCs w:val="21"/>
          <w:lang w:val="en-US" w:eastAsia="zh-CN"/>
        </w:rPr>
        <w:t>溶质在含水层中浓度随时间、距离的变化一览</w:t>
      </w:r>
      <w:r>
        <w:rPr>
          <w:rFonts w:hint="default" w:ascii="Times New Roman" w:hAnsi="Times New Roman" w:cs="Times New Roman"/>
          <w:b/>
          <w:bCs/>
          <w:color w:val="FF0000"/>
          <w:szCs w:val="21"/>
        </w:rPr>
        <w:t>表</w:t>
      </w:r>
      <w:r>
        <w:rPr>
          <w:rFonts w:hint="default" w:ascii="Times New Roman" w:hAnsi="Times New Roman" w:cs="Times New Roman"/>
          <w:b/>
          <w:bCs/>
          <w:color w:val="FF0000"/>
          <w:szCs w:val="21"/>
          <w:lang w:eastAsia="zh-CN"/>
        </w:rPr>
        <w:t>（</w:t>
      </w:r>
      <w:r>
        <w:rPr>
          <w:rFonts w:hint="default" w:ascii="Times New Roman" w:hAnsi="Times New Roman" w:cs="Times New Roman"/>
          <w:b/>
          <w:bCs/>
          <w:color w:val="FF0000"/>
          <w:szCs w:val="21"/>
          <w:lang w:val="en-US" w:eastAsia="zh-CN"/>
        </w:rPr>
        <w:t>预测值</w:t>
      </w:r>
      <w:r>
        <w:rPr>
          <w:rFonts w:hint="default" w:ascii="Times New Roman" w:hAnsi="Times New Roman" w:cs="Times New Roman"/>
          <w:b/>
          <w:bCs/>
          <w:color w:val="FF0000"/>
          <w:szCs w:val="21"/>
          <w:lang w:eastAsia="zh-CN"/>
        </w:rPr>
        <w:t>）</w:t>
      </w:r>
      <w:r>
        <w:rPr>
          <w:rFonts w:hint="default" w:ascii="Times New Roman" w:hAnsi="Times New Roman" w:cs="Times New Roman"/>
          <w:b/>
          <w:bCs/>
          <w:color w:val="FF0000"/>
          <w:szCs w:val="21"/>
          <w:lang w:val="en-US" w:eastAsia="zh-CN"/>
        </w:rPr>
        <w:t>mg/L</w:t>
      </w:r>
    </w:p>
    <w:tbl>
      <w:tblPr>
        <w:tblStyle w:val="33"/>
        <w:tblW w:w="4998" w:type="pct"/>
        <w:tblInd w:w="0" w:type="dxa"/>
        <w:tblLayout w:type="autofit"/>
        <w:tblCellMar>
          <w:top w:w="0" w:type="dxa"/>
          <w:left w:w="108" w:type="dxa"/>
          <w:bottom w:w="0" w:type="dxa"/>
          <w:right w:w="108" w:type="dxa"/>
        </w:tblCellMar>
      </w:tblPr>
      <w:tblGrid>
        <w:gridCol w:w="2837"/>
        <w:gridCol w:w="2832"/>
        <w:gridCol w:w="2860"/>
      </w:tblGrid>
      <w:tr w14:paraId="67C14A97">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6F934339">
            <w:pPr>
              <w:pStyle w:val="69"/>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lang w:val="en-US" w:eastAsia="zh-CN"/>
              </w:rPr>
              <w:t>时间</w:t>
            </w:r>
          </w:p>
        </w:tc>
        <w:tc>
          <w:tcPr>
            <w:tcW w:w="1660" w:type="pct"/>
            <w:tcBorders>
              <w:top w:val="single" w:color="000000" w:sz="4" w:space="0"/>
              <w:left w:val="single" w:color="000000" w:sz="4" w:space="0"/>
              <w:bottom w:val="single" w:color="000000" w:sz="4" w:space="0"/>
              <w:right w:val="single" w:color="auto" w:sz="4" w:space="0"/>
            </w:tcBorders>
            <w:noWrap w:val="0"/>
            <w:vAlign w:val="center"/>
          </w:tcPr>
          <w:p w14:paraId="0CE8F47B">
            <w:pPr>
              <w:pStyle w:val="69"/>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COD浓度</w:t>
            </w:r>
          </w:p>
        </w:tc>
        <w:tc>
          <w:tcPr>
            <w:tcW w:w="1676" w:type="pct"/>
            <w:tcBorders>
              <w:top w:val="single" w:color="000000" w:sz="4" w:space="0"/>
              <w:left w:val="single" w:color="auto" w:sz="4" w:space="0"/>
              <w:bottom w:val="single" w:color="000000" w:sz="4" w:space="0"/>
              <w:right w:val="single" w:color="auto" w:sz="4" w:space="0"/>
            </w:tcBorders>
            <w:noWrap w:val="0"/>
            <w:vAlign w:val="center"/>
          </w:tcPr>
          <w:p w14:paraId="7CBA125A">
            <w:pPr>
              <w:pStyle w:val="69"/>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NH</w:t>
            </w:r>
            <w:r>
              <w:rPr>
                <w:rFonts w:hint="default" w:ascii="Times New Roman" w:hAnsi="Times New Roman" w:cs="Times New Roman"/>
                <w:color w:val="FF0000"/>
                <w:sz w:val="21"/>
                <w:szCs w:val="21"/>
                <w:vertAlign w:val="subscript"/>
                <w:lang w:val="en-US" w:eastAsia="zh-CN"/>
              </w:rPr>
              <w:t>3</w:t>
            </w:r>
            <w:r>
              <w:rPr>
                <w:rFonts w:hint="default" w:ascii="Times New Roman" w:hAnsi="Times New Roman" w:cs="Times New Roman"/>
                <w:color w:val="FF0000"/>
                <w:sz w:val="21"/>
                <w:szCs w:val="21"/>
                <w:lang w:val="en-US" w:eastAsia="zh-CN"/>
              </w:rPr>
              <w:t>-N浓度</w:t>
            </w:r>
          </w:p>
        </w:tc>
      </w:tr>
      <w:tr w14:paraId="6AEE45A5">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1B2833DE">
            <w:pPr>
              <w:pStyle w:val="69"/>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距离（m）</w:t>
            </w:r>
          </w:p>
        </w:tc>
        <w:tc>
          <w:tcPr>
            <w:tcW w:w="1660" w:type="pct"/>
            <w:tcBorders>
              <w:top w:val="single" w:color="000000" w:sz="4" w:space="0"/>
              <w:left w:val="single" w:color="000000" w:sz="4" w:space="0"/>
              <w:bottom w:val="single" w:color="000000" w:sz="4" w:space="0"/>
              <w:right w:val="single" w:color="auto" w:sz="4" w:space="0"/>
            </w:tcBorders>
            <w:noWrap w:val="0"/>
            <w:vAlign w:val="center"/>
          </w:tcPr>
          <w:p w14:paraId="250A7737">
            <w:pPr>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100天</w:t>
            </w:r>
          </w:p>
        </w:tc>
        <w:tc>
          <w:tcPr>
            <w:tcW w:w="1676" w:type="pct"/>
            <w:tcBorders>
              <w:top w:val="single" w:color="000000" w:sz="4" w:space="0"/>
              <w:left w:val="single" w:color="auto" w:sz="4" w:space="0"/>
              <w:bottom w:val="single" w:color="000000" w:sz="4" w:space="0"/>
              <w:right w:val="single" w:color="auto" w:sz="4" w:space="0"/>
            </w:tcBorders>
            <w:noWrap w:val="0"/>
            <w:vAlign w:val="center"/>
          </w:tcPr>
          <w:p w14:paraId="37EC1BF2">
            <w:pPr>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100天</w:t>
            </w:r>
          </w:p>
        </w:tc>
      </w:tr>
      <w:tr w14:paraId="7B8FE4F3">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5600EA57">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0</w:t>
            </w:r>
          </w:p>
        </w:tc>
        <w:tc>
          <w:tcPr>
            <w:tcW w:w="1660" w:type="pct"/>
            <w:tcBorders>
              <w:top w:val="single" w:color="000000" w:sz="4" w:space="0"/>
              <w:left w:val="single" w:color="000000" w:sz="4" w:space="0"/>
              <w:bottom w:val="single" w:color="000000" w:sz="4" w:space="0"/>
              <w:right w:val="single" w:color="000000" w:sz="4" w:space="0"/>
            </w:tcBorders>
            <w:noWrap w:val="0"/>
            <w:vAlign w:val="center"/>
          </w:tcPr>
          <w:p w14:paraId="347D71EA">
            <w:pPr>
              <w:jc w:val="center"/>
              <w:rPr>
                <w:rFonts w:hint="default" w:ascii="Times New Roman" w:hAnsi="Times New Roman" w:cs="Times New Roman"/>
                <w:color w:val="FF0000"/>
                <w:szCs w:val="21"/>
                <w:lang w:val="en-US" w:eastAsia="zh-CN"/>
              </w:rPr>
            </w:pPr>
            <w:r>
              <w:rPr>
                <w:rFonts w:hint="default" w:ascii="Times New Roman" w:hAnsi="Times New Roman" w:cs="Times New Roman"/>
                <w:color w:val="FF0000"/>
                <w:szCs w:val="21"/>
                <w:lang w:val="en-US" w:eastAsia="zh-CN"/>
              </w:rPr>
              <w:t>1415</w:t>
            </w:r>
          </w:p>
        </w:tc>
        <w:tc>
          <w:tcPr>
            <w:tcW w:w="1676" w:type="pct"/>
            <w:tcBorders>
              <w:top w:val="single" w:color="000000" w:sz="4" w:space="0"/>
              <w:left w:val="single" w:color="auto" w:sz="4" w:space="0"/>
              <w:bottom w:val="single" w:color="000000" w:sz="4" w:space="0"/>
              <w:right w:val="single" w:color="auto" w:sz="4" w:space="0"/>
            </w:tcBorders>
            <w:noWrap w:val="0"/>
            <w:vAlign w:val="center"/>
          </w:tcPr>
          <w:p w14:paraId="799B2E00">
            <w:pPr>
              <w:jc w:val="center"/>
              <w:rPr>
                <w:rFonts w:hint="default" w:ascii="Times New Roman" w:hAnsi="Times New Roman" w:cs="Times New Roman"/>
                <w:color w:val="FF0000"/>
                <w:szCs w:val="21"/>
                <w:lang w:val="en-US" w:eastAsia="zh-CN"/>
              </w:rPr>
            </w:pPr>
            <w:r>
              <w:rPr>
                <w:rFonts w:hint="default" w:ascii="Times New Roman" w:hAnsi="Times New Roman" w:cs="Times New Roman"/>
                <w:color w:val="FF0000"/>
                <w:szCs w:val="21"/>
                <w:lang w:val="en-US" w:eastAsia="zh-CN"/>
              </w:rPr>
              <w:t>236</w:t>
            </w:r>
          </w:p>
        </w:tc>
      </w:tr>
      <w:tr w14:paraId="729A354F">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501DC7DF">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50</w:t>
            </w:r>
          </w:p>
        </w:tc>
        <w:tc>
          <w:tcPr>
            <w:tcW w:w="1660" w:type="pct"/>
            <w:tcBorders>
              <w:top w:val="single" w:color="000000" w:sz="4" w:space="0"/>
              <w:left w:val="single" w:color="000000" w:sz="4" w:space="0"/>
              <w:bottom w:val="single" w:color="000000" w:sz="4" w:space="0"/>
              <w:right w:val="single" w:color="000000" w:sz="4" w:space="0"/>
            </w:tcBorders>
            <w:noWrap w:val="0"/>
            <w:vAlign w:val="center"/>
          </w:tcPr>
          <w:p w14:paraId="44BDC39F">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1396.749</w:t>
            </w:r>
          </w:p>
        </w:tc>
        <w:tc>
          <w:tcPr>
            <w:tcW w:w="1676" w:type="pct"/>
            <w:tcBorders>
              <w:top w:val="single" w:color="000000" w:sz="4" w:space="0"/>
              <w:left w:val="single" w:color="000000" w:sz="4" w:space="0"/>
              <w:bottom w:val="single" w:color="000000" w:sz="4" w:space="0"/>
              <w:right w:val="single" w:color="000000" w:sz="4" w:space="0"/>
            </w:tcBorders>
            <w:noWrap w:val="0"/>
            <w:vAlign w:val="center"/>
          </w:tcPr>
          <w:p w14:paraId="72F90F62">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232.9561</w:t>
            </w:r>
          </w:p>
        </w:tc>
      </w:tr>
      <w:tr w14:paraId="20D689D7">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1307D355">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100</w:t>
            </w:r>
          </w:p>
        </w:tc>
        <w:tc>
          <w:tcPr>
            <w:tcW w:w="1660" w:type="pct"/>
            <w:tcBorders>
              <w:top w:val="single" w:color="000000" w:sz="4" w:space="0"/>
              <w:left w:val="single" w:color="000000" w:sz="4" w:space="0"/>
              <w:bottom w:val="single" w:color="000000" w:sz="4" w:space="0"/>
              <w:right w:val="single" w:color="000000" w:sz="4" w:space="0"/>
            </w:tcBorders>
            <w:noWrap w:val="0"/>
            <w:vAlign w:val="center"/>
          </w:tcPr>
          <w:p w14:paraId="7D99C4E6">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1086.066</w:t>
            </w:r>
          </w:p>
        </w:tc>
        <w:tc>
          <w:tcPr>
            <w:tcW w:w="1676" w:type="pct"/>
            <w:tcBorders>
              <w:top w:val="single" w:color="000000" w:sz="4" w:space="0"/>
              <w:left w:val="single" w:color="000000" w:sz="4" w:space="0"/>
              <w:bottom w:val="single" w:color="000000" w:sz="4" w:space="0"/>
              <w:right w:val="single" w:color="000000" w:sz="4" w:space="0"/>
            </w:tcBorders>
            <w:noWrap w:val="0"/>
            <w:vAlign w:val="center"/>
          </w:tcPr>
          <w:p w14:paraId="3CBE59FE">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181.1388</w:t>
            </w:r>
          </w:p>
        </w:tc>
      </w:tr>
      <w:tr w14:paraId="0D0040CC">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6808C55C">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150</w:t>
            </w:r>
          </w:p>
        </w:tc>
        <w:tc>
          <w:tcPr>
            <w:tcW w:w="1660" w:type="pct"/>
            <w:tcBorders>
              <w:top w:val="single" w:color="000000" w:sz="4" w:space="0"/>
              <w:left w:val="single" w:color="000000" w:sz="4" w:space="0"/>
              <w:bottom w:val="single" w:color="000000" w:sz="4" w:space="0"/>
              <w:right w:val="single" w:color="000000" w:sz="4" w:space="0"/>
            </w:tcBorders>
            <w:noWrap w:val="0"/>
            <w:vAlign w:val="center"/>
          </w:tcPr>
          <w:p w14:paraId="59994DDE">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339.5485</w:t>
            </w:r>
          </w:p>
        </w:tc>
        <w:tc>
          <w:tcPr>
            <w:tcW w:w="1676" w:type="pct"/>
            <w:tcBorders>
              <w:top w:val="single" w:color="000000" w:sz="4" w:space="0"/>
              <w:left w:val="single" w:color="000000" w:sz="4" w:space="0"/>
              <w:bottom w:val="single" w:color="000000" w:sz="4" w:space="0"/>
              <w:right w:val="single" w:color="000000" w:sz="4" w:space="0"/>
            </w:tcBorders>
            <w:noWrap w:val="0"/>
            <w:vAlign w:val="center"/>
          </w:tcPr>
          <w:p w14:paraId="41171B9E">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56.63113</w:t>
            </w:r>
          </w:p>
        </w:tc>
      </w:tr>
      <w:tr w14:paraId="7A1572C5">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12EDFDCC">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200</w:t>
            </w:r>
          </w:p>
        </w:tc>
        <w:tc>
          <w:tcPr>
            <w:tcW w:w="1660" w:type="pct"/>
            <w:tcBorders>
              <w:top w:val="single" w:color="000000" w:sz="4" w:space="0"/>
              <w:left w:val="single" w:color="000000" w:sz="4" w:space="0"/>
              <w:bottom w:val="single" w:color="000000" w:sz="4" w:space="0"/>
              <w:right w:val="single" w:color="000000" w:sz="4" w:space="0"/>
            </w:tcBorders>
            <w:noWrap w:val="0"/>
            <w:vAlign w:val="center"/>
          </w:tcPr>
          <w:p w14:paraId="39EB170F">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20.25303</w:t>
            </w:r>
          </w:p>
        </w:tc>
        <w:tc>
          <w:tcPr>
            <w:tcW w:w="1676" w:type="pct"/>
            <w:tcBorders>
              <w:top w:val="single" w:color="000000" w:sz="4" w:space="0"/>
              <w:left w:val="single" w:color="000000" w:sz="4" w:space="0"/>
              <w:bottom w:val="single" w:color="000000" w:sz="4" w:space="0"/>
              <w:right w:val="single" w:color="000000" w:sz="4" w:space="0"/>
            </w:tcBorders>
            <w:noWrap w:val="0"/>
            <w:vAlign w:val="center"/>
          </w:tcPr>
          <w:p w14:paraId="552EA30B">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3.377542</w:t>
            </w:r>
          </w:p>
        </w:tc>
      </w:tr>
      <w:tr w14:paraId="71AD59D1">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3F3D200E">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250</w:t>
            </w:r>
          </w:p>
        </w:tc>
        <w:tc>
          <w:tcPr>
            <w:tcW w:w="1660" w:type="pct"/>
            <w:tcBorders>
              <w:top w:val="single" w:color="000000" w:sz="4" w:space="0"/>
              <w:left w:val="single" w:color="000000" w:sz="4" w:space="0"/>
              <w:bottom w:val="single" w:color="000000" w:sz="4" w:space="0"/>
              <w:right w:val="single" w:color="000000" w:sz="4" w:space="0"/>
            </w:tcBorders>
            <w:noWrap w:val="0"/>
            <w:vAlign w:val="center"/>
          </w:tcPr>
          <w:p w14:paraId="19B4BCE0">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3.180534</w:t>
            </w:r>
          </w:p>
        </w:tc>
        <w:tc>
          <w:tcPr>
            <w:tcW w:w="1676" w:type="pct"/>
            <w:tcBorders>
              <w:top w:val="single" w:color="000000" w:sz="4" w:space="0"/>
              <w:left w:val="single" w:color="000000" w:sz="4" w:space="0"/>
              <w:bottom w:val="single" w:color="000000" w:sz="4" w:space="0"/>
              <w:right w:val="single" w:color="000000" w:sz="4" w:space="0"/>
            </w:tcBorders>
            <w:noWrap w:val="0"/>
            <w:vAlign w:val="center"/>
          </w:tcPr>
          <w:p w14:paraId="54D33DF1">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0.53011103</w:t>
            </w:r>
          </w:p>
        </w:tc>
      </w:tr>
      <w:tr w14:paraId="19C094C3">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6A58E1DF">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300</w:t>
            </w:r>
          </w:p>
        </w:tc>
        <w:tc>
          <w:tcPr>
            <w:tcW w:w="1660" w:type="pct"/>
            <w:tcBorders>
              <w:top w:val="single" w:color="000000" w:sz="4" w:space="0"/>
              <w:left w:val="single" w:color="000000" w:sz="4" w:space="0"/>
              <w:bottom w:val="single" w:color="000000" w:sz="4" w:space="0"/>
              <w:right w:val="single" w:color="000000" w:sz="4" w:space="0"/>
            </w:tcBorders>
            <w:noWrap w:val="0"/>
            <w:vAlign w:val="center"/>
          </w:tcPr>
          <w:p w14:paraId="5B7F6946">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i w:val="0"/>
                <w:iCs w:val="0"/>
                <w:color w:val="FF0000"/>
                <w:kern w:val="0"/>
                <w:sz w:val="21"/>
                <w:szCs w:val="21"/>
                <w:u w:val="none"/>
                <w:lang w:val="en-US" w:eastAsia="zh-CN" w:bidi="ar"/>
              </w:rPr>
              <w:t>3.000292</w:t>
            </w:r>
          </w:p>
        </w:tc>
        <w:tc>
          <w:tcPr>
            <w:tcW w:w="1676" w:type="pct"/>
            <w:tcBorders>
              <w:top w:val="single" w:color="000000" w:sz="4" w:space="0"/>
              <w:left w:val="single" w:color="000000" w:sz="4" w:space="0"/>
              <w:bottom w:val="single" w:color="000000" w:sz="4" w:space="0"/>
              <w:right w:val="single" w:color="000000" w:sz="4" w:space="0"/>
            </w:tcBorders>
            <w:noWrap w:val="0"/>
            <w:vAlign w:val="center"/>
          </w:tcPr>
          <w:p w14:paraId="586A787A">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0.000487</w:t>
            </w:r>
          </w:p>
        </w:tc>
      </w:tr>
      <w:tr w14:paraId="3B5B8652">
        <w:tblPrEx>
          <w:tblCellMar>
            <w:top w:w="0" w:type="dxa"/>
            <w:left w:w="108" w:type="dxa"/>
            <w:bottom w:w="0" w:type="dxa"/>
            <w:right w:w="108" w:type="dxa"/>
          </w:tblCellMar>
        </w:tblPrEx>
        <w:trPr>
          <w:trHeight w:val="340" w:hRule="exact"/>
        </w:trPr>
        <w:tc>
          <w:tcPr>
            <w:tcW w:w="1663" w:type="pct"/>
            <w:tcBorders>
              <w:top w:val="single" w:color="000000" w:sz="4" w:space="0"/>
              <w:left w:val="single" w:color="000000" w:sz="4" w:space="0"/>
              <w:bottom w:val="single" w:color="000000" w:sz="4" w:space="0"/>
              <w:right w:val="single" w:color="000000" w:sz="4" w:space="0"/>
            </w:tcBorders>
            <w:noWrap w:val="0"/>
            <w:vAlign w:val="center"/>
          </w:tcPr>
          <w:p w14:paraId="2AC54727">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350</w:t>
            </w:r>
          </w:p>
        </w:tc>
        <w:tc>
          <w:tcPr>
            <w:tcW w:w="1660" w:type="pct"/>
            <w:tcBorders>
              <w:top w:val="single" w:color="000000" w:sz="4" w:space="0"/>
              <w:left w:val="single" w:color="000000" w:sz="4" w:space="0"/>
              <w:bottom w:val="single" w:color="000000" w:sz="4" w:space="0"/>
              <w:right w:val="single" w:color="000000" w:sz="4" w:space="0"/>
            </w:tcBorders>
            <w:noWrap w:val="0"/>
            <w:vAlign w:val="center"/>
          </w:tcPr>
          <w:p w14:paraId="1482F485">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i w:val="0"/>
                <w:iCs w:val="0"/>
                <w:color w:val="FF0000"/>
                <w:kern w:val="0"/>
                <w:sz w:val="21"/>
                <w:szCs w:val="21"/>
                <w:u w:val="none"/>
                <w:lang w:val="en-US" w:eastAsia="zh-CN" w:bidi="ar"/>
              </w:rPr>
              <w:t>3.0</w:t>
            </w:r>
          </w:p>
        </w:tc>
        <w:tc>
          <w:tcPr>
            <w:tcW w:w="1676" w:type="pct"/>
            <w:tcBorders>
              <w:top w:val="single" w:color="000000" w:sz="4" w:space="0"/>
              <w:left w:val="single" w:color="000000" w:sz="4" w:space="0"/>
              <w:bottom w:val="single" w:color="000000" w:sz="4" w:space="0"/>
              <w:right w:val="single" w:color="000000" w:sz="4" w:space="0"/>
            </w:tcBorders>
            <w:noWrap w:val="0"/>
            <w:vAlign w:val="center"/>
          </w:tcPr>
          <w:p w14:paraId="3CBEFF7B">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i w:val="0"/>
                <w:iCs w:val="0"/>
                <w:color w:val="FF0000"/>
                <w:kern w:val="0"/>
                <w:sz w:val="21"/>
                <w:szCs w:val="21"/>
                <w:u w:val="none"/>
                <w:lang w:val="en-US" w:eastAsia="zh-CN" w:bidi="ar"/>
              </w:rPr>
              <w:t>0.5</w:t>
            </w:r>
          </w:p>
        </w:tc>
      </w:tr>
    </w:tbl>
    <w:p w14:paraId="4EC701E9">
      <w:pPr>
        <w:pStyle w:val="14"/>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FF0000"/>
          <w:sz w:val="7"/>
          <w:szCs w:val="7"/>
          <w:lang w:val="en-US"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13</w:t>
      </w:r>
      <w:r>
        <w:rPr>
          <w:rFonts w:hint="default" w:ascii="Times New Roman" w:hAnsi="Times New Roman" w:cs="Times New Roman"/>
          <w:color w:val="FF0000"/>
        </w:rPr>
        <w:fldChar w:fldCharType="end"/>
      </w:r>
      <w:r>
        <w:rPr>
          <w:rFonts w:hint="default" w:ascii="Times New Roman" w:hAnsi="Times New Roman" w:eastAsia="宋体" w:cs="Times New Roman"/>
          <w:b/>
          <w:bCs/>
          <w:color w:val="FF0000"/>
          <w:szCs w:val="21"/>
          <w:lang w:val="en-US" w:eastAsia="zh-CN"/>
        </w:rPr>
        <w:t>溶质在含水层中浓度随时间、距离的变化一览</w:t>
      </w:r>
      <w:r>
        <w:rPr>
          <w:rFonts w:hint="default" w:ascii="Times New Roman" w:hAnsi="Times New Roman" w:cs="Times New Roman"/>
          <w:b/>
          <w:bCs/>
          <w:color w:val="FF0000"/>
          <w:szCs w:val="21"/>
        </w:rPr>
        <w:t>表</w:t>
      </w:r>
      <w:r>
        <w:rPr>
          <w:rFonts w:hint="default" w:ascii="Times New Roman" w:hAnsi="Times New Roman" w:cs="Times New Roman"/>
          <w:b/>
          <w:bCs/>
          <w:color w:val="FF0000"/>
          <w:szCs w:val="21"/>
          <w:lang w:eastAsia="zh-CN"/>
        </w:rPr>
        <w:t>（</w:t>
      </w:r>
      <w:r>
        <w:rPr>
          <w:rFonts w:hint="default" w:ascii="Times New Roman" w:hAnsi="Times New Roman" w:cs="Times New Roman"/>
          <w:b/>
          <w:bCs/>
          <w:color w:val="FF0000"/>
          <w:szCs w:val="21"/>
          <w:lang w:val="en-US" w:eastAsia="zh-CN"/>
        </w:rPr>
        <w:t>预测值</w:t>
      </w:r>
      <w:r>
        <w:rPr>
          <w:rFonts w:hint="default" w:ascii="Times New Roman" w:hAnsi="Times New Roman" w:cs="Times New Roman"/>
          <w:b/>
          <w:bCs/>
          <w:color w:val="FF0000"/>
          <w:szCs w:val="21"/>
          <w:lang w:eastAsia="zh-CN"/>
        </w:rPr>
        <w:t>）</w:t>
      </w:r>
      <w:r>
        <w:rPr>
          <w:rFonts w:hint="default" w:ascii="Times New Roman" w:hAnsi="Times New Roman" w:cs="Times New Roman"/>
          <w:b/>
          <w:bCs/>
          <w:color w:val="FF0000"/>
          <w:szCs w:val="21"/>
          <w:lang w:val="en-US" w:eastAsia="zh-CN"/>
        </w:rPr>
        <w:t>mg/L</w:t>
      </w:r>
    </w:p>
    <w:tbl>
      <w:tblPr>
        <w:tblStyle w:val="33"/>
        <w:tblW w:w="4998" w:type="pct"/>
        <w:tblInd w:w="0" w:type="dxa"/>
        <w:tblLayout w:type="autofit"/>
        <w:tblCellMar>
          <w:top w:w="0" w:type="dxa"/>
          <w:left w:w="108" w:type="dxa"/>
          <w:bottom w:w="0" w:type="dxa"/>
          <w:right w:w="108" w:type="dxa"/>
        </w:tblCellMar>
      </w:tblPr>
      <w:tblGrid>
        <w:gridCol w:w="2877"/>
        <w:gridCol w:w="2769"/>
        <w:gridCol w:w="2883"/>
      </w:tblGrid>
      <w:tr w14:paraId="26FE4571">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0934C532">
            <w:pPr>
              <w:pStyle w:val="69"/>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lang w:val="en-US" w:eastAsia="zh-CN"/>
              </w:rPr>
              <w:t>时间</w:t>
            </w:r>
          </w:p>
        </w:tc>
        <w:tc>
          <w:tcPr>
            <w:tcW w:w="1623" w:type="pct"/>
            <w:tcBorders>
              <w:top w:val="single" w:color="000000" w:sz="4" w:space="0"/>
              <w:left w:val="single" w:color="000000" w:sz="4" w:space="0"/>
              <w:bottom w:val="single" w:color="000000" w:sz="4" w:space="0"/>
              <w:right w:val="single" w:color="auto" w:sz="4" w:space="0"/>
            </w:tcBorders>
            <w:noWrap w:val="0"/>
            <w:vAlign w:val="center"/>
          </w:tcPr>
          <w:p w14:paraId="3FE7670D">
            <w:pPr>
              <w:pStyle w:val="69"/>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COD浓度</w:t>
            </w:r>
          </w:p>
        </w:tc>
        <w:tc>
          <w:tcPr>
            <w:tcW w:w="1690" w:type="pct"/>
            <w:tcBorders>
              <w:top w:val="single" w:color="000000" w:sz="4" w:space="0"/>
              <w:left w:val="single" w:color="auto" w:sz="4" w:space="0"/>
              <w:bottom w:val="single" w:color="000000" w:sz="4" w:space="0"/>
              <w:right w:val="single" w:color="000000" w:sz="4" w:space="0"/>
            </w:tcBorders>
            <w:noWrap w:val="0"/>
            <w:vAlign w:val="center"/>
          </w:tcPr>
          <w:p w14:paraId="36F7052D">
            <w:pPr>
              <w:pStyle w:val="69"/>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NH</w:t>
            </w:r>
            <w:r>
              <w:rPr>
                <w:rFonts w:hint="default" w:ascii="Times New Roman" w:hAnsi="Times New Roman" w:cs="Times New Roman"/>
                <w:color w:val="FF0000"/>
                <w:sz w:val="21"/>
                <w:szCs w:val="21"/>
                <w:vertAlign w:val="subscript"/>
                <w:lang w:val="en-US" w:eastAsia="zh-CN"/>
              </w:rPr>
              <w:t>3</w:t>
            </w:r>
            <w:r>
              <w:rPr>
                <w:rFonts w:hint="default" w:ascii="Times New Roman" w:hAnsi="Times New Roman" w:cs="Times New Roman"/>
                <w:color w:val="FF0000"/>
                <w:sz w:val="21"/>
                <w:szCs w:val="21"/>
                <w:lang w:val="en-US" w:eastAsia="zh-CN"/>
              </w:rPr>
              <w:t>-N浓度</w:t>
            </w:r>
          </w:p>
        </w:tc>
      </w:tr>
      <w:tr w14:paraId="60BE38D5">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2104F76B">
            <w:pPr>
              <w:pStyle w:val="69"/>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距离（m）</w:t>
            </w:r>
          </w:p>
        </w:tc>
        <w:tc>
          <w:tcPr>
            <w:tcW w:w="1623" w:type="pct"/>
            <w:tcBorders>
              <w:top w:val="single" w:color="000000" w:sz="4" w:space="0"/>
              <w:left w:val="single" w:color="000000" w:sz="4" w:space="0"/>
              <w:bottom w:val="single" w:color="000000" w:sz="4" w:space="0"/>
              <w:right w:val="single" w:color="auto" w:sz="4" w:space="0"/>
            </w:tcBorders>
            <w:noWrap w:val="0"/>
            <w:vAlign w:val="center"/>
          </w:tcPr>
          <w:p w14:paraId="3783D244">
            <w:pPr>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1000天</w:t>
            </w:r>
          </w:p>
        </w:tc>
        <w:tc>
          <w:tcPr>
            <w:tcW w:w="1690" w:type="pct"/>
            <w:tcBorders>
              <w:top w:val="single" w:color="000000" w:sz="4" w:space="0"/>
              <w:left w:val="single" w:color="auto" w:sz="4" w:space="0"/>
              <w:bottom w:val="single" w:color="000000" w:sz="4" w:space="0"/>
              <w:right w:val="single" w:color="auto" w:sz="4" w:space="0"/>
            </w:tcBorders>
            <w:noWrap w:val="0"/>
            <w:vAlign w:val="center"/>
          </w:tcPr>
          <w:p w14:paraId="1BA71879">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lang w:val="en-US" w:eastAsia="zh-CN"/>
              </w:rPr>
              <w:t>1000天</w:t>
            </w:r>
          </w:p>
        </w:tc>
      </w:tr>
      <w:tr w14:paraId="04B91951">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24235FB2">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4D367219">
            <w:pPr>
              <w:jc w:val="center"/>
              <w:rPr>
                <w:rFonts w:hint="default" w:ascii="Times New Roman" w:hAnsi="Times New Roman" w:cs="Times New Roman"/>
                <w:color w:val="FF0000"/>
                <w:szCs w:val="21"/>
                <w:lang w:val="en-US" w:eastAsia="zh-CN"/>
              </w:rPr>
            </w:pPr>
            <w:r>
              <w:rPr>
                <w:rFonts w:hint="default" w:ascii="Times New Roman" w:hAnsi="Times New Roman" w:cs="Times New Roman"/>
                <w:color w:val="FF0000"/>
                <w:szCs w:val="21"/>
                <w:lang w:val="en-US" w:eastAsia="zh-CN"/>
              </w:rPr>
              <w:t>1415</w:t>
            </w:r>
          </w:p>
        </w:tc>
        <w:tc>
          <w:tcPr>
            <w:tcW w:w="1690" w:type="pct"/>
            <w:tcBorders>
              <w:top w:val="single" w:color="000000" w:sz="4" w:space="0"/>
              <w:left w:val="single" w:color="auto" w:sz="4" w:space="0"/>
              <w:bottom w:val="single" w:color="000000" w:sz="4" w:space="0"/>
              <w:right w:val="single" w:color="auto" w:sz="4" w:space="0"/>
            </w:tcBorders>
            <w:noWrap w:val="0"/>
            <w:vAlign w:val="center"/>
          </w:tcPr>
          <w:p w14:paraId="5446D85F">
            <w:pPr>
              <w:jc w:val="center"/>
              <w:rPr>
                <w:rFonts w:hint="default" w:ascii="Times New Roman" w:hAnsi="Times New Roman" w:cs="Times New Roman"/>
                <w:color w:val="FF0000"/>
                <w:szCs w:val="21"/>
                <w:lang w:val="en-US" w:eastAsia="zh-CN"/>
              </w:rPr>
            </w:pPr>
            <w:r>
              <w:rPr>
                <w:rFonts w:hint="default" w:ascii="Times New Roman" w:hAnsi="Times New Roman" w:cs="Times New Roman"/>
                <w:color w:val="FF0000"/>
                <w:szCs w:val="21"/>
                <w:lang w:val="en-US" w:eastAsia="zh-CN"/>
              </w:rPr>
              <w:t>236</w:t>
            </w:r>
          </w:p>
        </w:tc>
      </w:tr>
      <w:tr w14:paraId="17E60C7C">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6D99B7E3">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56EBE198">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1415</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74B76520">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236</w:t>
            </w:r>
          </w:p>
        </w:tc>
      </w:tr>
      <w:tr w14:paraId="1F0C53CC">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7681F7D2">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200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31E7D3DF">
            <w:pPr>
              <w:keepNext w:val="0"/>
              <w:keepLines w:val="0"/>
              <w:widowControl/>
              <w:suppressLineNumbers w:val="0"/>
              <w:jc w:val="center"/>
              <w:textAlignment w:val="center"/>
              <w:rPr>
                <w:rFonts w:hint="default" w:ascii="Times New Roman" w:hAnsi="Times New Roman" w:eastAsia="宋体" w:cs="Times New Roman"/>
                <w:i w:val="0"/>
                <w:iCs w:val="0"/>
                <w:color w:val="FF0000"/>
                <w:kern w:val="2"/>
                <w:sz w:val="21"/>
                <w:szCs w:val="21"/>
                <w:u w:val="none"/>
                <w:lang w:val="en-US" w:eastAsia="zh-CN" w:bidi="ar-SA"/>
              </w:rPr>
            </w:pPr>
            <w:r>
              <w:rPr>
                <w:rFonts w:hint="default" w:ascii="Times New Roman" w:hAnsi="Times New Roman" w:eastAsia="宋体" w:cs="Times New Roman"/>
                <w:i w:val="0"/>
                <w:iCs w:val="0"/>
                <w:color w:val="FF0000"/>
                <w:kern w:val="2"/>
                <w:sz w:val="21"/>
                <w:szCs w:val="21"/>
                <w:u w:val="none"/>
                <w:lang w:val="en-US" w:eastAsia="zh-CN" w:bidi="ar-SA"/>
              </w:rPr>
              <w:t>1415</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7575C6F8">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236</w:t>
            </w:r>
          </w:p>
        </w:tc>
      </w:tr>
      <w:tr w14:paraId="389E00A9">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613FE22B">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300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1C52F77E">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1415</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43D3ED73">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236</w:t>
            </w:r>
          </w:p>
        </w:tc>
      </w:tr>
      <w:tr w14:paraId="13EA3695">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072E66D1">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400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254BC797">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1415</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0C546E89">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236</w:t>
            </w:r>
          </w:p>
        </w:tc>
      </w:tr>
      <w:tr w14:paraId="2E659BBC">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26079988">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500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024A9A1D">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1415</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7AAFFB51">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236</w:t>
            </w:r>
          </w:p>
        </w:tc>
      </w:tr>
      <w:tr w14:paraId="763E7D43">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30A2B280">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600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7F1D629A">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1415</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2D34C064">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236</w:t>
            </w:r>
          </w:p>
        </w:tc>
      </w:tr>
      <w:tr w14:paraId="1B86FFA7">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3E7FCB73">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700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68A3B4FC">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1414.994</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3B257361">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235.999</w:t>
            </w:r>
          </w:p>
        </w:tc>
      </w:tr>
      <w:tr w14:paraId="7E269AFD">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4673D80C">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800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7FEABCAE">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1414.736</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60C65D14">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235.956</w:t>
            </w:r>
          </w:p>
        </w:tc>
      </w:tr>
      <w:tr w14:paraId="6F3F68BF">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4BDCF6B9">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900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01AC04FE">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1409.619</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52168BCF">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235.1025</w:t>
            </w:r>
          </w:p>
        </w:tc>
      </w:tr>
      <w:tr w14:paraId="21AF170E">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592B0801">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1000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5763895E">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1361.872</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579B141D">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i w:val="0"/>
                <w:iCs w:val="0"/>
                <w:color w:val="FF0000"/>
                <w:kern w:val="0"/>
                <w:sz w:val="21"/>
                <w:szCs w:val="21"/>
                <w:u w:val="none"/>
                <w:lang w:val="en-US" w:eastAsia="zh-CN" w:bidi="ar"/>
              </w:rPr>
              <w:t>227.139</w:t>
            </w:r>
          </w:p>
        </w:tc>
      </w:tr>
      <w:tr w14:paraId="3394DC82">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26204370">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1100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5191423C">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1151.129</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702048DE">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191.9903</w:t>
            </w:r>
          </w:p>
        </w:tc>
      </w:tr>
      <w:tr w14:paraId="73CA4BF9">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25B46854">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1200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578AB16C">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709.0002</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6123E17D">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118.25</w:t>
            </w:r>
          </w:p>
        </w:tc>
      </w:tr>
      <w:tr w14:paraId="5B0D8839">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237AA793">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1300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704E1105">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266.8718</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296C2F3A">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44.50977</w:t>
            </w:r>
          </w:p>
        </w:tc>
      </w:tr>
      <w:tr w14:paraId="4E6BDA2D">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2D5F4502">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1400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7BBDD629">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56.1285</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1A2860C5">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9.36102</w:t>
            </w:r>
          </w:p>
        </w:tc>
      </w:tr>
      <w:tr w14:paraId="17362763">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03D8949F">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1500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108C9D2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8.381058</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79D3A9A5">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1.397478</w:t>
            </w:r>
          </w:p>
        </w:tc>
      </w:tr>
      <w:tr w14:paraId="1DBE8C5F">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0EF9A5BC">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1600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041CB14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3.264042</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18EC7AEE">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0.5440382</w:t>
            </w:r>
          </w:p>
        </w:tc>
      </w:tr>
      <w:tr w14:paraId="747A2AC3">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168404AA">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1700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61435480">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3.006145</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7FD3ECEB">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0.5010248</w:t>
            </w:r>
          </w:p>
        </w:tc>
      </w:tr>
      <w:tr w14:paraId="4E70F3A5">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2458A241">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1800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47257F96">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3.000067</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5AFDCFE0">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0.5000111</w:t>
            </w:r>
          </w:p>
        </w:tc>
      </w:tr>
      <w:tr w14:paraId="70280395">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2EA0FAAF">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1900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3461879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3</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7753B165">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0.5</w:t>
            </w:r>
          </w:p>
        </w:tc>
      </w:tr>
      <w:tr w14:paraId="7A8D6DF7">
        <w:tblPrEx>
          <w:tblCellMar>
            <w:top w:w="0" w:type="dxa"/>
            <w:left w:w="108" w:type="dxa"/>
            <w:bottom w:w="0" w:type="dxa"/>
            <w:right w:w="108" w:type="dxa"/>
          </w:tblCellMar>
        </w:tblPrEx>
        <w:trPr>
          <w:trHeight w:val="340" w:hRule="exact"/>
        </w:trPr>
        <w:tc>
          <w:tcPr>
            <w:tcW w:w="1686" w:type="pct"/>
            <w:tcBorders>
              <w:top w:val="single" w:color="000000" w:sz="4" w:space="0"/>
              <w:left w:val="single" w:color="000000" w:sz="4" w:space="0"/>
              <w:bottom w:val="single" w:color="000000" w:sz="4" w:space="0"/>
              <w:right w:val="single" w:color="000000" w:sz="4" w:space="0"/>
            </w:tcBorders>
            <w:noWrap w:val="0"/>
            <w:vAlign w:val="center"/>
          </w:tcPr>
          <w:p w14:paraId="3FA151E6">
            <w:pPr>
              <w:pStyle w:val="69"/>
              <w:jc w:val="center"/>
              <w:rPr>
                <w:rFonts w:hint="default" w:ascii="Times New Roman" w:hAnsi="Times New Roman" w:cs="Times New Roman"/>
                <w:color w:val="FF0000"/>
                <w:position w:val="2"/>
                <w:sz w:val="21"/>
                <w:szCs w:val="21"/>
                <w:lang w:val="en-US" w:eastAsia="zh-CN"/>
              </w:rPr>
            </w:pPr>
            <w:r>
              <w:rPr>
                <w:rFonts w:hint="default" w:ascii="Times New Roman" w:hAnsi="Times New Roman" w:cs="Times New Roman"/>
                <w:color w:val="FF0000"/>
                <w:position w:val="2"/>
                <w:sz w:val="21"/>
                <w:szCs w:val="21"/>
                <w:lang w:val="en-US" w:eastAsia="zh-CN"/>
              </w:rPr>
              <w:t>2000</w:t>
            </w:r>
          </w:p>
        </w:tc>
        <w:tc>
          <w:tcPr>
            <w:tcW w:w="1623" w:type="pct"/>
            <w:tcBorders>
              <w:top w:val="single" w:color="000000" w:sz="4" w:space="0"/>
              <w:left w:val="single" w:color="000000" w:sz="4" w:space="0"/>
              <w:bottom w:val="single" w:color="000000" w:sz="4" w:space="0"/>
              <w:right w:val="single" w:color="000000" w:sz="4" w:space="0"/>
            </w:tcBorders>
            <w:noWrap w:val="0"/>
            <w:vAlign w:val="center"/>
          </w:tcPr>
          <w:p w14:paraId="64A8834B">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3</w:t>
            </w:r>
          </w:p>
        </w:tc>
        <w:tc>
          <w:tcPr>
            <w:tcW w:w="1690" w:type="pct"/>
            <w:tcBorders>
              <w:top w:val="single" w:color="000000" w:sz="4" w:space="0"/>
              <w:left w:val="single" w:color="000000" w:sz="4" w:space="0"/>
              <w:bottom w:val="single" w:color="000000" w:sz="4" w:space="0"/>
              <w:right w:val="single" w:color="000000" w:sz="4" w:space="0"/>
            </w:tcBorders>
            <w:noWrap w:val="0"/>
            <w:vAlign w:val="center"/>
          </w:tcPr>
          <w:p w14:paraId="6924D4D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0.5</w:t>
            </w:r>
          </w:p>
        </w:tc>
      </w:tr>
    </w:tbl>
    <w:p w14:paraId="098C3C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lang w:val="en-US" w:eastAsia="zh-CN"/>
        </w:rPr>
        <w:t>项目废水池事故渗漏情况下，COD、NH</w:t>
      </w:r>
      <w:r>
        <w:rPr>
          <w:rFonts w:hint="default" w:ascii="Times New Roman" w:hAnsi="Times New Roman" w:cs="Times New Roman"/>
          <w:color w:val="FF0000"/>
          <w:sz w:val="24"/>
          <w:highlight w:val="none"/>
          <w:vertAlign w:val="subscript"/>
          <w:lang w:val="en-US" w:eastAsia="zh-CN"/>
        </w:rPr>
        <w:t>3</w:t>
      </w:r>
      <w:r>
        <w:rPr>
          <w:rFonts w:hint="default" w:ascii="Times New Roman" w:hAnsi="Times New Roman" w:cs="Times New Roman"/>
          <w:color w:val="FF0000"/>
          <w:sz w:val="24"/>
          <w:highlight w:val="none"/>
          <w:lang w:val="en-US" w:eastAsia="zh-CN"/>
        </w:rPr>
        <w:t>-N对评价区地下水环境会造成一定的影响，预测结果显示，</w:t>
      </w:r>
      <w:r>
        <w:rPr>
          <w:rFonts w:hint="default" w:ascii="Times New Roman" w:hAnsi="Times New Roman" w:cs="Times New Roman"/>
          <w:color w:val="FF0000"/>
          <w:sz w:val="24"/>
          <w:highlight w:val="none"/>
        </w:rPr>
        <w:t>在非正常工况下，在污染发生后100d时，COD在含水层中超标距离为</w:t>
      </w:r>
      <w:r>
        <w:rPr>
          <w:rFonts w:hint="default" w:ascii="Times New Roman" w:hAnsi="Times New Roman" w:cs="Times New Roman"/>
          <w:color w:val="FF0000"/>
          <w:sz w:val="24"/>
          <w:highlight w:val="none"/>
          <w:lang w:val="en-US" w:eastAsia="zh-CN"/>
        </w:rPr>
        <w:t>310</w:t>
      </w:r>
      <w:r>
        <w:rPr>
          <w:rFonts w:hint="default" w:ascii="Times New Roman" w:hAnsi="Times New Roman" w:cs="Times New Roman"/>
          <w:color w:val="FF0000"/>
          <w:sz w:val="24"/>
          <w:highlight w:val="none"/>
        </w:rPr>
        <w:t>m；NH</w:t>
      </w:r>
      <w:r>
        <w:rPr>
          <w:rFonts w:hint="default" w:ascii="Times New Roman" w:hAnsi="Times New Roman" w:cs="Times New Roman"/>
          <w:color w:val="FF0000"/>
          <w:sz w:val="24"/>
          <w:highlight w:val="none"/>
          <w:vertAlign w:val="subscript"/>
        </w:rPr>
        <w:t>3</w:t>
      </w:r>
      <w:r>
        <w:rPr>
          <w:rFonts w:hint="default" w:ascii="Times New Roman" w:hAnsi="Times New Roman" w:cs="Times New Roman"/>
          <w:color w:val="FF0000"/>
          <w:sz w:val="24"/>
          <w:highlight w:val="none"/>
        </w:rPr>
        <w:t>-N在含水层中超标距离为</w:t>
      </w:r>
      <w:r>
        <w:rPr>
          <w:rFonts w:hint="default" w:ascii="Times New Roman" w:hAnsi="Times New Roman" w:cs="Times New Roman"/>
          <w:color w:val="FF0000"/>
          <w:sz w:val="24"/>
          <w:highlight w:val="none"/>
          <w:lang w:val="en-US" w:eastAsia="zh-CN"/>
        </w:rPr>
        <w:t>280</w:t>
      </w:r>
      <w:r>
        <w:rPr>
          <w:rFonts w:hint="default" w:ascii="Times New Roman" w:hAnsi="Times New Roman" w:cs="Times New Roman"/>
          <w:color w:val="FF0000"/>
          <w:sz w:val="24"/>
          <w:highlight w:val="none"/>
        </w:rPr>
        <w:t>m。在污染发生后1000d时，COD在含水层中超标距离为</w:t>
      </w:r>
      <w:r>
        <w:rPr>
          <w:rFonts w:hint="default" w:ascii="Times New Roman" w:hAnsi="Times New Roman" w:cs="Times New Roman"/>
          <w:color w:val="FF0000"/>
          <w:sz w:val="24"/>
          <w:highlight w:val="none"/>
          <w:lang w:val="en-US" w:eastAsia="zh-CN"/>
        </w:rPr>
        <w:t>1800</w:t>
      </w:r>
      <w:r>
        <w:rPr>
          <w:rFonts w:hint="default" w:ascii="Times New Roman" w:hAnsi="Times New Roman" w:cs="Times New Roman"/>
          <w:color w:val="FF0000"/>
          <w:sz w:val="24"/>
          <w:highlight w:val="none"/>
        </w:rPr>
        <w:t>m；NH</w:t>
      </w:r>
      <w:r>
        <w:rPr>
          <w:rFonts w:hint="default" w:ascii="Times New Roman" w:hAnsi="Times New Roman" w:cs="Times New Roman"/>
          <w:color w:val="FF0000"/>
          <w:sz w:val="24"/>
          <w:highlight w:val="none"/>
          <w:vertAlign w:val="subscript"/>
        </w:rPr>
        <w:t>3</w:t>
      </w:r>
      <w:r>
        <w:rPr>
          <w:rFonts w:hint="default" w:ascii="Times New Roman" w:hAnsi="Times New Roman" w:cs="Times New Roman"/>
          <w:color w:val="FF0000"/>
          <w:sz w:val="24"/>
          <w:highlight w:val="none"/>
        </w:rPr>
        <w:t>-N在含水层中超标距离为</w:t>
      </w:r>
      <w:r>
        <w:rPr>
          <w:rFonts w:hint="default" w:ascii="Times New Roman" w:hAnsi="Times New Roman" w:cs="Times New Roman"/>
          <w:color w:val="FF0000"/>
          <w:sz w:val="24"/>
          <w:highlight w:val="none"/>
          <w:lang w:val="en-US" w:eastAsia="zh-CN"/>
        </w:rPr>
        <w:t>1800</w:t>
      </w:r>
      <w:r>
        <w:rPr>
          <w:rFonts w:hint="default" w:ascii="Times New Roman" w:hAnsi="Times New Roman" w:cs="Times New Roman"/>
          <w:color w:val="FF0000"/>
          <w:sz w:val="24"/>
          <w:highlight w:val="none"/>
        </w:rPr>
        <w:t>m。</w:t>
      </w:r>
      <w:r>
        <w:rPr>
          <w:rFonts w:hint="default" w:ascii="Times New Roman" w:hAnsi="Times New Roman" w:cs="Times New Roman"/>
          <w:color w:val="FF0000"/>
          <w:sz w:val="24"/>
          <w:highlight w:val="none"/>
          <w:lang w:val="en-US" w:eastAsia="zh-CN"/>
        </w:rPr>
        <w:t>随着时间的推移，废水中各污染物事故泄漏对地下水的影响范围不断扩大。</w:t>
      </w:r>
    </w:p>
    <w:p w14:paraId="352F76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val="en-US" w:eastAsia="zh-CN" w:bidi="zh-CN"/>
        </w:rPr>
      </w:pPr>
      <w:r>
        <w:rPr>
          <w:rFonts w:hint="default" w:ascii="Times New Roman" w:hAnsi="Times New Roman" w:cs="Times New Roman"/>
          <w:color w:val="FF0000"/>
          <w:sz w:val="24"/>
          <w:highlight w:val="none"/>
        </w:rPr>
        <w:t>由此可知，项目应做好</w:t>
      </w:r>
      <w:r>
        <w:rPr>
          <w:rFonts w:hint="default" w:ascii="Times New Roman" w:hAnsi="Times New Roman" w:cs="Times New Roman"/>
          <w:color w:val="FF0000"/>
          <w:sz w:val="24"/>
          <w:highlight w:val="none"/>
          <w:lang w:val="en-US" w:eastAsia="zh-CN"/>
        </w:rPr>
        <w:t>环保池</w:t>
      </w:r>
      <w:r>
        <w:rPr>
          <w:rFonts w:hint="default" w:ascii="Times New Roman" w:hAnsi="Times New Roman" w:cs="Times New Roman"/>
          <w:color w:val="FF0000"/>
          <w:sz w:val="24"/>
          <w:highlight w:val="none"/>
        </w:rPr>
        <w:t>的防渗工作，并严格执行定期对各防渗设施进行检查，并及时修补池底及池壁的破损，防止</w:t>
      </w:r>
      <w:r>
        <w:rPr>
          <w:rFonts w:hint="default" w:ascii="Times New Roman" w:hAnsi="Times New Roman" w:cs="Times New Roman"/>
          <w:color w:val="FF0000"/>
          <w:sz w:val="24"/>
          <w:highlight w:val="none"/>
          <w:lang w:val="en-US" w:eastAsia="zh-CN"/>
        </w:rPr>
        <w:t>环保池内</w:t>
      </w:r>
      <w:r>
        <w:rPr>
          <w:rFonts w:hint="default" w:ascii="Times New Roman" w:hAnsi="Times New Roman" w:cs="Times New Roman"/>
          <w:color w:val="FF0000"/>
          <w:sz w:val="24"/>
          <w:highlight w:val="none"/>
        </w:rPr>
        <w:t>废水泄漏对地下水造成污染。</w:t>
      </w:r>
    </w:p>
    <w:p w14:paraId="36A9C1EA">
      <w:pPr>
        <w:pStyle w:val="5"/>
        <w:numPr>
          <w:ilvl w:val="0"/>
          <w:numId w:val="0"/>
        </w:numPr>
        <w:bidi w:val="0"/>
        <w:ind w:leftChars="0"/>
        <w:rPr>
          <w:rFonts w:hint="default" w:ascii="Times New Roman" w:hAnsi="Times New Roman" w:cs="Times New Roman"/>
          <w:color w:val="FF0000"/>
          <w:lang w:val="en-US" w:eastAsia="zh-CN"/>
        </w:rPr>
      </w:pPr>
      <w:r>
        <w:rPr>
          <w:rFonts w:hint="default" w:ascii="Times New Roman" w:hAnsi="Times New Roman" w:cs="Times New Roman"/>
          <w:lang w:val="en-US" w:eastAsia="zh-CN"/>
        </w:rPr>
        <w:t>5.2.2.4</w:t>
      </w:r>
      <w:r>
        <w:rPr>
          <w:rFonts w:hint="default" w:ascii="Times New Roman" w:hAnsi="Times New Roman" w:cs="Times New Roman"/>
          <w:color w:val="FF0000"/>
        </w:rPr>
        <w:t>地下水</w:t>
      </w:r>
      <w:r>
        <w:rPr>
          <w:rFonts w:hint="default" w:ascii="Times New Roman" w:hAnsi="Times New Roman" w:cs="Times New Roman"/>
          <w:color w:val="FF0000"/>
          <w:lang w:val="en-US" w:eastAsia="zh-CN"/>
        </w:rPr>
        <w:t>污染防治措施</w:t>
      </w:r>
    </w:p>
    <w:p w14:paraId="5E63A4DC">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①重点防渗区</w:t>
      </w:r>
    </w:p>
    <w:p w14:paraId="5C4C5BCE">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重点防渗区主要为</w:t>
      </w:r>
      <w:r>
        <w:rPr>
          <w:rFonts w:hint="default" w:ascii="Times New Roman" w:hAnsi="Times New Roman" w:eastAsia="宋体" w:cs="Times New Roman"/>
          <w:color w:val="FF0000"/>
          <w:sz w:val="24"/>
          <w:szCs w:val="24"/>
          <w:highlight w:val="none"/>
          <w:lang w:val="en-US" w:eastAsia="zh-CN" w:bidi="zh-CN"/>
        </w:rPr>
        <w:t>医疗废物暂存间</w:t>
      </w:r>
      <w:r>
        <w:rPr>
          <w:rFonts w:hint="default" w:ascii="Times New Roman" w:hAnsi="Times New Roman" w:eastAsia="宋体" w:cs="Times New Roman"/>
          <w:color w:val="FF0000"/>
          <w:sz w:val="24"/>
          <w:szCs w:val="24"/>
          <w:highlight w:val="none"/>
          <w:lang w:val="zh-CN" w:eastAsia="zh-CN" w:bidi="zh-CN"/>
        </w:rPr>
        <w:t>、</w:t>
      </w:r>
      <w:r>
        <w:rPr>
          <w:rFonts w:hint="default" w:ascii="Times New Roman" w:hAnsi="Times New Roman" w:eastAsia="宋体" w:cs="Times New Roman"/>
          <w:color w:val="FF0000"/>
          <w:sz w:val="24"/>
          <w:szCs w:val="24"/>
          <w:highlight w:val="none"/>
          <w:lang w:val="en-US" w:eastAsia="zh-CN" w:bidi="zh-CN"/>
        </w:rPr>
        <w:t>废水收集池、</w:t>
      </w:r>
      <w:r>
        <w:rPr>
          <w:rFonts w:hint="default" w:ascii="Times New Roman" w:hAnsi="Times New Roman" w:eastAsia="宋体" w:cs="Times New Roman"/>
          <w:color w:val="FF0000"/>
          <w:sz w:val="24"/>
          <w:szCs w:val="24"/>
          <w:highlight w:val="none"/>
          <w:lang w:val="zh-CN" w:eastAsia="zh-CN" w:bidi="zh-CN"/>
        </w:rPr>
        <w:t>鸡粪发酵处理场</w:t>
      </w:r>
      <w:r>
        <w:rPr>
          <w:rFonts w:hint="default" w:ascii="Times New Roman" w:hAnsi="Times New Roman" w:cs="Times New Roman"/>
          <w:color w:val="FF0000"/>
          <w:kern w:val="0"/>
          <w:sz w:val="24"/>
          <w:highlight w:val="none"/>
        </w:rPr>
        <w:t>、</w:t>
      </w:r>
      <w:r>
        <w:rPr>
          <w:rFonts w:hint="default" w:ascii="Times New Roman" w:hAnsi="Times New Roman" w:cs="Times New Roman"/>
          <w:color w:val="FF0000"/>
          <w:kern w:val="0"/>
          <w:sz w:val="24"/>
          <w:highlight w:val="none"/>
          <w:lang w:val="en-US" w:eastAsia="zh-CN"/>
        </w:rPr>
        <w:t>安全填埋井</w:t>
      </w:r>
      <w:r>
        <w:rPr>
          <w:rFonts w:hint="default" w:ascii="Times New Roman" w:hAnsi="Times New Roman" w:eastAsia="宋体" w:cs="Times New Roman"/>
          <w:color w:val="FF0000"/>
          <w:sz w:val="24"/>
          <w:szCs w:val="24"/>
          <w:highlight w:val="none"/>
          <w:lang w:val="zh-CN" w:eastAsia="zh-CN" w:bidi="zh-CN"/>
        </w:rPr>
        <w:t>。</w:t>
      </w:r>
      <w:r>
        <w:rPr>
          <w:rFonts w:hint="default" w:ascii="Times New Roman" w:hAnsi="Times New Roman" w:eastAsia="宋体" w:cs="Times New Roman"/>
          <w:color w:val="FF0000"/>
          <w:sz w:val="24"/>
          <w:szCs w:val="24"/>
          <w:highlight w:val="none"/>
          <w:lang w:val="en-US" w:eastAsia="zh-CN" w:bidi="zh-CN"/>
        </w:rPr>
        <w:t>医疗废物暂存间</w:t>
      </w:r>
      <w:r>
        <w:rPr>
          <w:rFonts w:hint="default" w:ascii="Times New Roman" w:hAnsi="Times New Roman" w:eastAsia="宋体" w:cs="Times New Roman"/>
          <w:color w:val="FF0000"/>
          <w:sz w:val="24"/>
          <w:szCs w:val="24"/>
          <w:highlight w:val="none"/>
          <w:lang w:val="zh-CN" w:eastAsia="zh-CN" w:bidi="zh-CN"/>
        </w:rPr>
        <w:t>按《危险废物贮存污染控制标准》（GB18597-2023）的相关要求，防渗层为至少1m厚黏土层（渗透系数不大于10</w:t>
      </w:r>
      <w:r>
        <w:rPr>
          <w:rFonts w:hint="eastAsia" w:ascii="Times New Roman" w:hAnsi="Times New Roman" w:cs="Times New Roman"/>
          <w:color w:val="FF0000"/>
          <w:sz w:val="24"/>
          <w:szCs w:val="24"/>
          <w:highlight w:val="none"/>
          <w:vertAlign w:val="superscript"/>
          <w:lang w:val="en-US" w:eastAsia="zh-CN" w:bidi="zh-CN"/>
        </w:rPr>
        <w:t>-7</w:t>
      </w:r>
      <w:r>
        <w:rPr>
          <w:rFonts w:hint="default" w:ascii="Times New Roman" w:hAnsi="Times New Roman" w:eastAsia="宋体" w:cs="Times New Roman"/>
          <w:color w:val="FF0000"/>
          <w:sz w:val="24"/>
          <w:szCs w:val="24"/>
          <w:highlight w:val="none"/>
          <w:lang w:val="zh-CN" w:eastAsia="zh-CN" w:bidi="zh-CN"/>
        </w:rPr>
        <w:t>cm/s），或至少2mm厚高密度聚乙烯膜等人工防渗材料（渗透系数不大于10</w:t>
      </w:r>
      <w:r>
        <w:rPr>
          <w:rFonts w:hint="eastAsia" w:ascii="Times New Roman" w:hAnsi="Times New Roman" w:cs="Times New Roman"/>
          <w:color w:val="FF0000"/>
          <w:sz w:val="24"/>
          <w:szCs w:val="24"/>
          <w:highlight w:val="none"/>
          <w:vertAlign w:val="superscript"/>
          <w:lang w:val="en-US" w:eastAsia="zh-CN" w:bidi="zh-CN"/>
        </w:rPr>
        <w:t>-10</w:t>
      </w:r>
      <w:r>
        <w:rPr>
          <w:rFonts w:hint="default" w:ascii="Times New Roman" w:hAnsi="Times New Roman" w:eastAsia="宋体" w:cs="Times New Roman"/>
          <w:color w:val="FF0000"/>
          <w:sz w:val="24"/>
          <w:szCs w:val="24"/>
          <w:highlight w:val="none"/>
          <w:lang w:val="zh-CN" w:eastAsia="zh-CN" w:bidi="zh-CN"/>
        </w:rPr>
        <w:t>cm/s），或其他防渗性能等效的材料。</w:t>
      </w:r>
      <w:r>
        <w:rPr>
          <w:rFonts w:hint="default" w:ascii="Times New Roman" w:hAnsi="Times New Roman" w:eastAsia="宋体" w:cs="Times New Roman"/>
          <w:color w:val="FF0000"/>
          <w:sz w:val="24"/>
          <w:szCs w:val="24"/>
          <w:highlight w:val="none"/>
          <w:lang w:val="en-US" w:eastAsia="zh-CN" w:bidi="zh-CN"/>
        </w:rPr>
        <w:t>废水收集池、</w:t>
      </w:r>
      <w:r>
        <w:rPr>
          <w:rFonts w:hint="default" w:ascii="Times New Roman" w:hAnsi="Times New Roman" w:eastAsia="宋体" w:cs="Times New Roman"/>
          <w:color w:val="FF0000"/>
          <w:sz w:val="24"/>
          <w:szCs w:val="24"/>
          <w:highlight w:val="none"/>
          <w:lang w:val="zh-CN" w:eastAsia="zh-CN" w:bidi="zh-CN"/>
        </w:rPr>
        <w:t>鸡粪发酵</w:t>
      </w:r>
      <w:r>
        <w:rPr>
          <w:rFonts w:hint="eastAsia" w:ascii="Times New Roman" w:hAnsi="Times New Roman" w:cs="Times New Roman"/>
          <w:color w:val="FF0000"/>
          <w:sz w:val="24"/>
          <w:szCs w:val="24"/>
          <w:highlight w:val="none"/>
          <w:lang w:val="zh-CN" w:eastAsia="zh-CN" w:bidi="zh-CN"/>
        </w:rPr>
        <w:t>处理厂</w:t>
      </w:r>
      <w:r>
        <w:rPr>
          <w:rFonts w:hint="default" w:ascii="Times New Roman" w:hAnsi="Times New Roman" w:eastAsia="宋体" w:cs="Times New Roman"/>
          <w:color w:val="FF0000"/>
          <w:sz w:val="24"/>
          <w:szCs w:val="24"/>
          <w:highlight w:val="none"/>
          <w:lang w:val="zh-CN" w:eastAsia="zh-CN" w:bidi="zh-CN"/>
        </w:rPr>
        <w:t>采用防渗固化底面，等效黏土防渗层Mb≥6m，渗透系数≤1×10</w:t>
      </w:r>
      <w:r>
        <w:rPr>
          <w:rFonts w:hint="default" w:ascii="Times New Roman" w:hAnsi="Times New Roman" w:eastAsia="宋体" w:cs="Times New Roman"/>
          <w:color w:val="FF0000"/>
          <w:sz w:val="24"/>
          <w:szCs w:val="24"/>
          <w:highlight w:val="none"/>
          <w:vertAlign w:val="superscript"/>
          <w:lang w:val="zh-CN" w:eastAsia="zh-CN" w:bidi="zh-CN"/>
        </w:rPr>
        <w:t>-7</w:t>
      </w:r>
      <w:r>
        <w:rPr>
          <w:rFonts w:hint="default" w:ascii="Times New Roman" w:hAnsi="Times New Roman" w:eastAsia="宋体" w:cs="Times New Roman"/>
          <w:color w:val="FF0000"/>
          <w:sz w:val="24"/>
          <w:szCs w:val="24"/>
          <w:highlight w:val="none"/>
          <w:lang w:val="zh-CN" w:eastAsia="zh-CN" w:bidi="zh-CN"/>
        </w:rPr>
        <w:t>cm/s，对比防渗技术要求，本项目重点防渗区采取的防渗措施满足防渗技术要求。</w:t>
      </w:r>
    </w:p>
    <w:p w14:paraId="75BB639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②一般防渗区</w:t>
      </w:r>
    </w:p>
    <w:p w14:paraId="7F363410">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一般防渗区为各类鸡舍、消毒更衣室、</w:t>
      </w:r>
      <w:r>
        <w:rPr>
          <w:rFonts w:hint="default" w:ascii="Times New Roman" w:hAnsi="Times New Roman" w:eastAsia="宋体" w:cs="Times New Roman"/>
          <w:color w:val="FF0000"/>
          <w:sz w:val="24"/>
          <w:szCs w:val="24"/>
          <w:highlight w:val="none"/>
          <w:lang w:val="en-US" w:eastAsia="zh-CN" w:bidi="zh-CN"/>
        </w:rPr>
        <w:t>鸡蛋分级库</w:t>
      </w:r>
      <w:r>
        <w:rPr>
          <w:rFonts w:hint="default" w:ascii="Times New Roman" w:hAnsi="Times New Roman" w:eastAsia="宋体" w:cs="Times New Roman"/>
          <w:color w:val="FF0000"/>
          <w:sz w:val="24"/>
          <w:szCs w:val="24"/>
          <w:highlight w:val="none"/>
          <w:lang w:val="zh-CN" w:eastAsia="zh-CN" w:bidi="zh-CN"/>
        </w:rPr>
        <w:t>等，一般防渗区地面防渗，防渗技术要求为等效黏土防渗层Mb≥1.5m，渗透系数≤1×10</w:t>
      </w:r>
      <w:r>
        <w:rPr>
          <w:rFonts w:hint="default" w:ascii="Times New Roman" w:hAnsi="Times New Roman" w:eastAsia="宋体" w:cs="Times New Roman"/>
          <w:color w:val="FF0000"/>
          <w:sz w:val="24"/>
          <w:szCs w:val="24"/>
          <w:highlight w:val="none"/>
          <w:vertAlign w:val="superscript"/>
          <w:lang w:val="zh-CN" w:eastAsia="zh-CN" w:bidi="zh-CN"/>
        </w:rPr>
        <w:t>-7</w:t>
      </w:r>
      <w:r>
        <w:rPr>
          <w:rFonts w:hint="default" w:ascii="Times New Roman" w:hAnsi="Times New Roman" w:eastAsia="宋体" w:cs="Times New Roman"/>
          <w:color w:val="FF0000"/>
          <w:sz w:val="24"/>
          <w:szCs w:val="24"/>
          <w:highlight w:val="none"/>
          <w:lang w:val="zh-CN" w:eastAsia="zh-CN" w:bidi="zh-CN"/>
        </w:rPr>
        <w:t>cm/s，本项目一般防渗区采取的防渗措施满足防渗技术要求。</w:t>
      </w:r>
    </w:p>
    <w:p w14:paraId="06CFA618">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③简单防渗区</w:t>
      </w:r>
    </w:p>
    <w:p w14:paraId="3446CCBF">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简单防渗区为办公</w:t>
      </w:r>
      <w:r>
        <w:rPr>
          <w:rFonts w:hint="default" w:ascii="Times New Roman" w:hAnsi="Times New Roman" w:eastAsia="宋体" w:cs="Times New Roman"/>
          <w:color w:val="FF0000"/>
          <w:sz w:val="24"/>
          <w:szCs w:val="24"/>
          <w:highlight w:val="none"/>
          <w:lang w:val="en-US" w:eastAsia="zh-CN" w:bidi="zh-CN"/>
        </w:rPr>
        <w:t>区</w:t>
      </w:r>
      <w:r>
        <w:rPr>
          <w:rFonts w:hint="default" w:ascii="Times New Roman" w:hAnsi="Times New Roman" w:eastAsia="宋体" w:cs="Times New Roman"/>
          <w:color w:val="FF0000"/>
          <w:sz w:val="24"/>
          <w:szCs w:val="24"/>
          <w:highlight w:val="none"/>
          <w:lang w:val="zh-CN" w:eastAsia="zh-CN" w:bidi="zh-CN"/>
        </w:rPr>
        <w:t>、场区道路等，用混凝土硬化措施，满足防渗技术要求。</w:t>
      </w:r>
    </w:p>
    <w:p w14:paraId="478D9FF4">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cs="Times New Roman"/>
          <w:color w:val="FF0000"/>
          <w:highlight w:val="none"/>
          <w:lang w:val="zh-CN" w:eastAsia="zh-CN"/>
        </w:rPr>
      </w:pPr>
      <w:r>
        <w:rPr>
          <w:rFonts w:hint="default" w:ascii="Times New Roman" w:hAnsi="Times New Roman" w:eastAsia="宋体" w:cs="Times New Roman"/>
          <w:color w:val="FF0000"/>
          <w:sz w:val="24"/>
          <w:szCs w:val="24"/>
          <w:highlight w:val="none"/>
          <w:lang w:val="en-US" w:eastAsia="zh-CN" w:bidi="zh-CN"/>
        </w:rPr>
        <w:t>养殖场分区防渗图见图5-1。</w:t>
      </w:r>
    </w:p>
    <w:p w14:paraId="3507EF04">
      <w:pPr>
        <w:pStyle w:val="14"/>
        <w:bidi w:val="0"/>
        <w:rPr>
          <w:rFonts w:hint="default" w:ascii="Times New Roman" w:hAnsi="Times New Roman" w:cs="Times New Roman"/>
          <w:color w:val="FF0000"/>
          <w:lang w:val="zh-CN"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14</w:t>
      </w:r>
      <w:r>
        <w:rPr>
          <w:rFonts w:hint="default" w:ascii="Times New Roman" w:hAnsi="Times New Roman" w:cs="Times New Roman"/>
          <w:color w:val="FF0000"/>
        </w:rPr>
        <w:fldChar w:fldCharType="end"/>
      </w:r>
      <w:r>
        <w:rPr>
          <w:rFonts w:hint="default" w:ascii="Times New Roman" w:hAnsi="Times New Roman" w:cs="Times New Roman"/>
          <w:color w:val="FF0000"/>
          <w:lang w:val="zh-CN" w:eastAsia="zh-CN"/>
        </w:rPr>
        <w:t>本项目污染防渗分区情况表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600"/>
        <w:gridCol w:w="1978"/>
        <w:gridCol w:w="1275"/>
        <w:gridCol w:w="4255"/>
      </w:tblGrid>
      <w:tr w14:paraId="1E37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noWrap w:val="0"/>
            <w:vAlign w:val="center"/>
          </w:tcPr>
          <w:p w14:paraId="4288F9A2">
            <w:pPr>
              <w:autoSpaceDE/>
              <w:autoSpaceDN/>
              <w:adjustRightInd w:val="0"/>
              <w:snapToGrid w:val="0"/>
              <w:ind w:left="0" w:leftChars="0" w:right="-10" w:rightChars="0" w:firstLine="0" w:firstLineChars="0"/>
              <w:jc w:val="center"/>
              <w:rPr>
                <w:rFonts w:hint="default" w:ascii="Times New Roman" w:hAnsi="Times New Roman" w:cs="Times New Roman"/>
                <w:b w:val="0"/>
                <w:bCs w:val="0"/>
                <w:color w:val="FF0000"/>
                <w:kern w:val="2"/>
                <w:sz w:val="21"/>
                <w:szCs w:val="21"/>
                <w:highlight w:val="none"/>
                <w:lang w:val="en-US" w:bidi="ar-SA"/>
              </w:rPr>
            </w:pPr>
            <w:r>
              <w:rPr>
                <w:rFonts w:hint="default" w:ascii="Times New Roman" w:hAnsi="Times New Roman" w:cs="Times New Roman"/>
                <w:b w:val="0"/>
                <w:bCs w:val="0"/>
                <w:color w:val="FF0000"/>
                <w:kern w:val="2"/>
                <w:sz w:val="21"/>
                <w:szCs w:val="21"/>
                <w:highlight w:val="none"/>
                <w:lang w:val="en-US" w:bidi="ar-SA"/>
              </w:rPr>
              <w:t>序号</w:t>
            </w:r>
          </w:p>
        </w:tc>
        <w:tc>
          <w:tcPr>
            <w:tcW w:w="1511" w:type="pct"/>
            <w:gridSpan w:val="2"/>
            <w:noWrap w:val="0"/>
            <w:vAlign w:val="center"/>
          </w:tcPr>
          <w:p w14:paraId="70A0AC3F">
            <w:pPr>
              <w:autoSpaceDE/>
              <w:autoSpaceDN/>
              <w:adjustRightInd w:val="0"/>
              <w:snapToGrid w:val="0"/>
              <w:ind w:left="0" w:leftChars="0" w:right="-10" w:rightChars="0" w:firstLine="0" w:firstLineChars="0"/>
              <w:jc w:val="center"/>
              <w:rPr>
                <w:rFonts w:hint="default" w:ascii="Times New Roman" w:hAnsi="Times New Roman" w:cs="Times New Roman"/>
                <w:b w:val="0"/>
                <w:bCs w:val="0"/>
                <w:color w:val="FF0000"/>
                <w:kern w:val="2"/>
                <w:sz w:val="21"/>
                <w:szCs w:val="21"/>
                <w:highlight w:val="none"/>
                <w:lang w:val="en-US" w:bidi="ar-SA"/>
              </w:rPr>
            </w:pPr>
            <w:r>
              <w:rPr>
                <w:rFonts w:hint="default" w:ascii="Times New Roman" w:hAnsi="Times New Roman" w:cs="Times New Roman"/>
                <w:b w:val="0"/>
                <w:bCs w:val="0"/>
                <w:color w:val="FF0000"/>
                <w:kern w:val="2"/>
                <w:sz w:val="21"/>
                <w:szCs w:val="21"/>
                <w:highlight w:val="none"/>
                <w:lang w:val="en-US" w:bidi="ar-SA"/>
              </w:rPr>
              <w:t>名称</w:t>
            </w:r>
          </w:p>
        </w:tc>
        <w:tc>
          <w:tcPr>
            <w:tcW w:w="747" w:type="pct"/>
            <w:noWrap w:val="0"/>
            <w:vAlign w:val="center"/>
          </w:tcPr>
          <w:p w14:paraId="0CB4F2B5">
            <w:pPr>
              <w:autoSpaceDE/>
              <w:autoSpaceDN/>
              <w:adjustRightInd w:val="0"/>
              <w:snapToGrid w:val="0"/>
              <w:ind w:left="-99" w:leftChars="-45" w:right="-123" w:rightChars="0" w:firstLine="0" w:firstLineChars="0"/>
              <w:jc w:val="center"/>
              <w:rPr>
                <w:rFonts w:hint="default" w:ascii="Times New Roman" w:hAnsi="Times New Roman" w:cs="Times New Roman"/>
                <w:b w:val="0"/>
                <w:bCs w:val="0"/>
                <w:color w:val="FF0000"/>
                <w:kern w:val="2"/>
                <w:sz w:val="21"/>
                <w:szCs w:val="21"/>
                <w:highlight w:val="none"/>
                <w:lang w:val="en-US" w:bidi="ar-SA"/>
              </w:rPr>
            </w:pPr>
            <w:r>
              <w:rPr>
                <w:rFonts w:hint="default" w:ascii="Times New Roman" w:hAnsi="Times New Roman" w:cs="Times New Roman"/>
                <w:b w:val="0"/>
                <w:bCs w:val="0"/>
                <w:color w:val="FF0000"/>
                <w:kern w:val="2"/>
                <w:sz w:val="21"/>
                <w:szCs w:val="21"/>
                <w:highlight w:val="none"/>
                <w:lang w:val="en-US" w:bidi="ar-SA"/>
              </w:rPr>
              <w:t>分区类别</w:t>
            </w:r>
          </w:p>
        </w:tc>
        <w:tc>
          <w:tcPr>
            <w:tcW w:w="2494" w:type="pct"/>
            <w:noWrap w:val="0"/>
            <w:vAlign w:val="center"/>
          </w:tcPr>
          <w:p w14:paraId="17FC2366">
            <w:pPr>
              <w:autoSpaceDE/>
              <w:autoSpaceDN/>
              <w:adjustRightInd w:val="0"/>
              <w:snapToGrid w:val="0"/>
              <w:ind w:left="-119" w:leftChars="-54" w:right="-10" w:rightChars="0" w:firstLine="0" w:firstLineChars="0"/>
              <w:jc w:val="center"/>
              <w:rPr>
                <w:rFonts w:hint="default" w:ascii="Times New Roman" w:hAnsi="Times New Roman" w:cs="Times New Roman"/>
                <w:b w:val="0"/>
                <w:bCs w:val="0"/>
                <w:color w:val="FF0000"/>
                <w:kern w:val="2"/>
                <w:sz w:val="21"/>
                <w:szCs w:val="21"/>
                <w:highlight w:val="none"/>
                <w:lang w:val="en-US" w:bidi="ar-SA"/>
              </w:rPr>
            </w:pPr>
            <w:r>
              <w:rPr>
                <w:rFonts w:hint="default" w:ascii="Times New Roman" w:hAnsi="Times New Roman" w:cs="Times New Roman"/>
                <w:b w:val="0"/>
                <w:bCs w:val="0"/>
                <w:color w:val="FF0000"/>
                <w:kern w:val="2"/>
                <w:sz w:val="21"/>
                <w:szCs w:val="21"/>
                <w:highlight w:val="none"/>
                <w:lang w:val="en-US" w:bidi="ar-SA"/>
              </w:rPr>
              <w:t>防渗要求</w:t>
            </w:r>
          </w:p>
        </w:tc>
      </w:tr>
      <w:tr w14:paraId="742F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46" w:type="pct"/>
            <w:vMerge w:val="restart"/>
            <w:noWrap w:val="0"/>
            <w:vAlign w:val="center"/>
          </w:tcPr>
          <w:p w14:paraId="4D5CB4C7">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1</w:t>
            </w:r>
          </w:p>
        </w:tc>
        <w:tc>
          <w:tcPr>
            <w:tcW w:w="351" w:type="pct"/>
            <w:vMerge w:val="restart"/>
            <w:noWrap w:val="0"/>
            <w:vAlign w:val="center"/>
          </w:tcPr>
          <w:p w14:paraId="2C20DB5D">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bookmarkStart w:id="115" w:name="_Hlk63577535"/>
            <w:r>
              <w:rPr>
                <w:rFonts w:hint="default" w:ascii="Times New Roman" w:hAnsi="Times New Roman" w:cs="Times New Roman"/>
                <w:color w:val="FF0000"/>
                <w:highlight w:val="none"/>
                <w:lang w:val="en-US" w:eastAsia="zh-CN"/>
              </w:rPr>
              <w:t>养殖场</w:t>
            </w:r>
          </w:p>
          <w:bookmarkEnd w:id="115"/>
        </w:tc>
        <w:tc>
          <w:tcPr>
            <w:tcW w:w="1159" w:type="pct"/>
            <w:vMerge w:val="restart"/>
            <w:noWrap w:val="0"/>
            <w:vAlign w:val="center"/>
          </w:tcPr>
          <w:p w14:paraId="4A4A9274">
            <w:pPr>
              <w:autoSpaceDE/>
              <w:autoSpaceDN/>
              <w:adjustRightInd w:val="0"/>
              <w:snapToGrid w:val="0"/>
              <w:ind w:left="0" w:leftChars="0" w:right="-10" w:rightChars="0" w:firstLine="0" w:firstLineChars="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废水收集池、安全填埋井、鸡粪发酵处理场、医疗废物暂存间</w:t>
            </w:r>
          </w:p>
        </w:tc>
        <w:tc>
          <w:tcPr>
            <w:tcW w:w="747" w:type="pct"/>
            <w:vMerge w:val="restart"/>
            <w:noWrap w:val="0"/>
            <w:vAlign w:val="center"/>
          </w:tcPr>
          <w:p w14:paraId="39E86C6C">
            <w:pPr>
              <w:autoSpaceDE/>
              <w:autoSpaceDN/>
              <w:adjustRightInd w:val="0"/>
              <w:snapToGrid w:val="0"/>
              <w:ind w:left="-99" w:leftChars="-45" w:right="-123"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重点防渗区</w:t>
            </w:r>
          </w:p>
        </w:tc>
        <w:tc>
          <w:tcPr>
            <w:tcW w:w="2494" w:type="pct"/>
            <w:noWrap w:val="0"/>
            <w:vAlign w:val="center"/>
          </w:tcPr>
          <w:p w14:paraId="13F0441B">
            <w:pPr>
              <w:autoSpaceDE/>
              <w:autoSpaceDN/>
              <w:adjustRightInd w:val="0"/>
              <w:snapToGrid w:val="0"/>
              <w:ind w:left="-119" w:leftChars="-54" w:right="-117"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等效黏土防渗层Mb≥6.0m，K≤1×10</w:t>
            </w:r>
            <w:r>
              <w:rPr>
                <w:rFonts w:hint="default" w:ascii="Times New Roman" w:hAnsi="Times New Roman" w:cs="Times New Roman"/>
                <w:color w:val="FF0000"/>
                <w:kern w:val="2"/>
                <w:sz w:val="21"/>
                <w:szCs w:val="21"/>
                <w:highlight w:val="none"/>
                <w:vertAlign w:val="superscript"/>
                <w:lang w:val="en-US" w:bidi="ar-SA"/>
              </w:rPr>
              <w:t>-7</w:t>
            </w:r>
            <w:r>
              <w:rPr>
                <w:rFonts w:hint="default" w:ascii="Times New Roman" w:hAnsi="Times New Roman" w:cs="Times New Roman"/>
                <w:color w:val="FF0000"/>
                <w:kern w:val="2"/>
                <w:sz w:val="21"/>
                <w:szCs w:val="21"/>
                <w:highlight w:val="none"/>
                <w:lang w:val="en-US" w:bidi="ar-SA"/>
              </w:rPr>
              <w:t>cm/s</w:t>
            </w:r>
          </w:p>
        </w:tc>
      </w:tr>
      <w:tr w14:paraId="4C6F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46" w:type="pct"/>
            <w:vMerge w:val="continue"/>
            <w:noWrap w:val="0"/>
            <w:vAlign w:val="center"/>
          </w:tcPr>
          <w:p w14:paraId="16CA10C5">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bookmarkStart w:id="116" w:name="_Hlk63577550"/>
          </w:p>
        </w:tc>
        <w:tc>
          <w:tcPr>
            <w:tcW w:w="351" w:type="pct"/>
            <w:vMerge w:val="continue"/>
            <w:noWrap w:val="0"/>
            <w:vAlign w:val="center"/>
          </w:tcPr>
          <w:p w14:paraId="29021D1A">
            <w:pPr>
              <w:autoSpaceDE/>
              <w:autoSpaceDN/>
              <w:adjustRightInd w:val="0"/>
              <w:snapToGrid w:val="0"/>
              <w:ind w:left="0" w:leftChars="0" w:right="-10" w:rightChars="0" w:firstLine="0" w:firstLineChars="0"/>
              <w:jc w:val="center"/>
              <w:rPr>
                <w:rFonts w:hint="default" w:ascii="Times New Roman" w:hAnsi="Times New Roman" w:cs="Times New Roman"/>
                <w:color w:val="FF0000"/>
                <w:highlight w:val="none"/>
                <w:lang w:val="en-US" w:eastAsia="zh-CN"/>
              </w:rPr>
            </w:pPr>
          </w:p>
        </w:tc>
        <w:tc>
          <w:tcPr>
            <w:tcW w:w="1159" w:type="pct"/>
            <w:vMerge w:val="continue"/>
            <w:noWrap w:val="0"/>
            <w:vAlign w:val="center"/>
          </w:tcPr>
          <w:p w14:paraId="7D37F710">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p>
        </w:tc>
        <w:tc>
          <w:tcPr>
            <w:tcW w:w="747" w:type="pct"/>
            <w:vMerge w:val="continue"/>
            <w:noWrap w:val="0"/>
            <w:vAlign w:val="center"/>
          </w:tcPr>
          <w:p w14:paraId="77D25DD2">
            <w:pPr>
              <w:autoSpaceDE/>
              <w:autoSpaceDN/>
              <w:adjustRightInd w:val="0"/>
              <w:snapToGrid w:val="0"/>
              <w:ind w:left="-99" w:leftChars="-45" w:right="-123" w:rightChars="0" w:firstLine="0" w:firstLineChars="0"/>
              <w:jc w:val="center"/>
              <w:rPr>
                <w:rFonts w:hint="default" w:ascii="Times New Roman" w:hAnsi="Times New Roman" w:cs="Times New Roman"/>
                <w:color w:val="FF0000"/>
                <w:kern w:val="2"/>
                <w:sz w:val="21"/>
                <w:szCs w:val="21"/>
                <w:highlight w:val="none"/>
                <w:lang w:val="en-US" w:bidi="ar-SA"/>
              </w:rPr>
            </w:pPr>
          </w:p>
        </w:tc>
        <w:tc>
          <w:tcPr>
            <w:tcW w:w="2494" w:type="pct"/>
            <w:noWrap w:val="0"/>
            <w:vAlign w:val="center"/>
          </w:tcPr>
          <w:p w14:paraId="1E53712F">
            <w:pPr>
              <w:autoSpaceDE/>
              <w:autoSpaceDN/>
              <w:adjustRightInd w:val="0"/>
              <w:snapToGrid w:val="0"/>
              <w:ind w:left="-119" w:leftChars="-54" w:right="-117"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防渗层为至少1m厚黏土层（渗透系数不大于10</w:t>
            </w:r>
            <w:r>
              <w:rPr>
                <w:rFonts w:hint="default" w:ascii="Times New Roman" w:hAnsi="Times New Roman" w:cs="Times New Roman"/>
                <w:color w:val="FF0000"/>
                <w:kern w:val="2"/>
                <w:sz w:val="21"/>
                <w:szCs w:val="21"/>
                <w:highlight w:val="none"/>
                <w:vertAlign w:val="superscript"/>
                <w:lang w:val="en-US" w:bidi="ar-SA"/>
              </w:rPr>
              <w:t>-7</w:t>
            </w:r>
            <w:r>
              <w:rPr>
                <w:rFonts w:hint="default" w:ascii="Times New Roman" w:hAnsi="Times New Roman" w:cs="Times New Roman"/>
                <w:color w:val="FF0000"/>
                <w:kern w:val="2"/>
                <w:sz w:val="21"/>
                <w:szCs w:val="21"/>
                <w:highlight w:val="none"/>
                <w:lang w:val="en-US" w:bidi="ar-SA"/>
              </w:rPr>
              <w:t>cm/s），或至少2mm厚高密度聚乙烯膜等人工防渗材料（渗透系数不大于10</w:t>
            </w:r>
            <w:r>
              <w:rPr>
                <w:rFonts w:hint="default" w:ascii="Times New Roman" w:hAnsi="Times New Roman" w:cs="Times New Roman"/>
                <w:color w:val="FF0000"/>
                <w:kern w:val="2"/>
                <w:sz w:val="21"/>
                <w:szCs w:val="21"/>
                <w:highlight w:val="none"/>
                <w:vertAlign w:val="superscript"/>
                <w:lang w:val="en-US" w:bidi="ar-SA"/>
              </w:rPr>
              <w:t>-10</w:t>
            </w:r>
            <w:r>
              <w:rPr>
                <w:rFonts w:hint="default" w:ascii="Times New Roman" w:hAnsi="Times New Roman" w:cs="Times New Roman"/>
                <w:color w:val="FF0000"/>
                <w:kern w:val="2"/>
                <w:sz w:val="21"/>
                <w:szCs w:val="21"/>
                <w:highlight w:val="none"/>
                <w:lang w:val="en-US" w:bidi="ar-SA"/>
              </w:rPr>
              <w:t>cm/s）</w:t>
            </w:r>
          </w:p>
        </w:tc>
      </w:tr>
      <w:tr w14:paraId="15F8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noWrap w:val="0"/>
            <w:vAlign w:val="center"/>
          </w:tcPr>
          <w:p w14:paraId="42AD9CC6">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2</w:t>
            </w:r>
          </w:p>
        </w:tc>
        <w:tc>
          <w:tcPr>
            <w:tcW w:w="351" w:type="pct"/>
            <w:vMerge w:val="continue"/>
            <w:noWrap w:val="0"/>
            <w:vAlign w:val="center"/>
          </w:tcPr>
          <w:p w14:paraId="741201AB">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p>
        </w:tc>
        <w:tc>
          <w:tcPr>
            <w:tcW w:w="1159" w:type="pct"/>
            <w:noWrap w:val="0"/>
            <w:vAlign w:val="center"/>
          </w:tcPr>
          <w:p w14:paraId="488758C7">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eastAsia="zh-CN" w:bidi="ar-SA"/>
              </w:rPr>
              <w:t>鸡舍</w:t>
            </w:r>
            <w:r>
              <w:rPr>
                <w:rFonts w:hint="default" w:ascii="Times New Roman" w:hAnsi="Times New Roman" w:cs="Times New Roman"/>
                <w:color w:val="FF0000"/>
                <w:kern w:val="2"/>
                <w:sz w:val="21"/>
                <w:szCs w:val="21"/>
                <w:highlight w:val="none"/>
                <w:lang w:val="en-US" w:bidi="ar-SA"/>
              </w:rPr>
              <w:t>、消毒更衣室</w:t>
            </w:r>
          </w:p>
        </w:tc>
        <w:tc>
          <w:tcPr>
            <w:tcW w:w="747" w:type="pct"/>
            <w:noWrap w:val="0"/>
            <w:vAlign w:val="center"/>
          </w:tcPr>
          <w:p w14:paraId="7BA80281">
            <w:pPr>
              <w:autoSpaceDE/>
              <w:autoSpaceDN/>
              <w:adjustRightInd w:val="0"/>
              <w:snapToGrid w:val="0"/>
              <w:ind w:left="-99" w:leftChars="-45" w:right="-123"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一般防渗区</w:t>
            </w:r>
          </w:p>
        </w:tc>
        <w:tc>
          <w:tcPr>
            <w:tcW w:w="2494" w:type="pct"/>
            <w:noWrap w:val="0"/>
            <w:vAlign w:val="center"/>
          </w:tcPr>
          <w:p w14:paraId="31FF41D3">
            <w:pPr>
              <w:autoSpaceDE/>
              <w:autoSpaceDN/>
              <w:adjustRightInd w:val="0"/>
              <w:snapToGrid w:val="0"/>
              <w:ind w:left="-119" w:leftChars="-54" w:right="-117"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等效黏土防渗层Mb≥1.5m，K≤1×10</w:t>
            </w:r>
            <w:r>
              <w:rPr>
                <w:rFonts w:hint="default" w:ascii="Times New Roman" w:hAnsi="Times New Roman" w:cs="Times New Roman"/>
                <w:color w:val="FF0000"/>
                <w:kern w:val="2"/>
                <w:sz w:val="21"/>
                <w:szCs w:val="21"/>
                <w:highlight w:val="none"/>
                <w:vertAlign w:val="superscript"/>
                <w:lang w:val="en-US" w:bidi="ar-SA"/>
              </w:rPr>
              <w:t>-7</w:t>
            </w:r>
            <w:r>
              <w:rPr>
                <w:rFonts w:hint="default" w:ascii="Times New Roman" w:hAnsi="Times New Roman" w:cs="Times New Roman"/>
                <w:color w:val="FF0000"/>
                <w:kern w:val="2"/>
                <w:sz w:val="21"/>
                <w:szCs w:val="21"/>
                <w:highlight w:val="none"/>
                <w:lang w:val="en-US" w:bidi="ar-SA"/>
              </w:rPr>
              <w:t>cm/s</w:t>
            </w:r>
          </w:p>
        </w:tc>
      </w:tr>
      <w:bookmarkEnd w:id="116"/>
      <w:tr w14:paraId="58C1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46" w:type="pct"/>
            <w:noWrap w:val="0"/>
            <w:vAlign w:val="center"/>
          </w:tcPr>
          <w:p w14:paraId="46331CFA">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3</w:t>
            </w:r>
          </w:p>
        </w:tc>
        <w:tc>
          <w:tcPr>
            <w:tcW w:w="351" w:type="pct"/>
            <w:vMerge w:val="continue"/>
            <w:noWrap w:val="0"/>
            <w:vAlign w:val="center"/>
          </w:tcPr>
          <w:p w14:paraId="46C9835D">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p>
        </w:tc>
        <w:tc>
          <w:tcPr>
            <w:tcW w:w="1159" w:type="pct"/>
            <w:noWrap w:val="0"/>
            <w:vAlign w:val="center"/>
          </w:tcPr>
          <w:p w14:paraId="4B1338BA">
            <w:pPr>
              <w:autoSpaceDE/>
              <w:autoSpaceDN/>
              <w:adjustRightInd w:val="0"/>
              <w:snapToGrid w:val="0"/>
              <w:ind w:left="0" w:leftChars="0" w:right="-10"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办公</w:t>
            </w:r>
            <w:r>
              <w:rPr>
                <w:rFonts w:hint="default" w:ascii="Times New Roman" w:hAnsi="Times New Roman" w:cs="Times New Roman"/>
                <w:color w:val="FF0000"/>
                <w:kern w:val="2"/>
                <w:sz w:val="21"/>
                <w:szCs w:val="21"/>
                <w:highlight w:val="none"/>
                <w:lang w:val="en-US" w:eastAsia="zh-CN" w:bidi="ar-SA"/>
              </w:rPr>
              <w:t>区</w:t>
            </w:r>
            <w:r>
              <w:rPr>
                <w:rFonts w:hint="default" w:ascii="Times New Roman" w:hAnsi="Times New Roman" w:cs="Times New Roman"/>
                <w:color w:val="FF0000"/>
                <w:kern w:val="2"/>
                <w:sz w:val="21"/>
                <w:szCs w:val="21"/>
                <w:highlight w:val="none"/>
                <w:lang w:val="en-US" w:bidi="ar-SA"/>
              </w:rPr>
              <w:t>、</w:t>
            </w:r>
            <w:r>
              <w:rPr>
                <w:rFonts w:hint="default" w:ascii="Times New Roman" w:hAnsi="Times New Roman" w:cs="Times New Roman"/>
                <w:color w:val="FF0000"/>
                <w:kern w:val="2"/>
                <w:sz w:val="21"/>
                <w:szCs w:val="21"/>
                <w:highlight w:val="none"/>
                <w:lang w:val="en-US" w:eastAsia="zh-CN" w:bidi="ar-SA"/>
              </w:rPr>
              <w:t>厂区</w:t>
            </w:r>
            <w:r>
              <w:rPr>
                <w:rFonts w:hint="default" w:ascii="Times New Roman" w:hAnsi="Times New Roman" w:cs="Times New Roman"/>
                <w:color w:val="FF0000"/>
                <w:kern w:val="2"/>
                <w:sz w:val="21"/>
                <w:szCs w:val="21"/>
                <w:highlight w:val="none"/>
                <w:lang w:val="en-US" w:bidi="ar-SA"/>
              </w:rPr>
              <w:t>道路</w:t>
            </w:r>
          </w:p>
        </w:tc>
        <w:tc>
          <w:tcPr>
            <w:tcW w:w="747" w:type="pct"/>
            <w:noWrap w:val="0"/>
            <w:vAlign w:val="center"/>
          </w:tcPr>
          <w:p w14:paraId="520428EC">
            <w:pPr>
              <w:autoSpaceDE/>
              <w:autoSpaceDN/>
              <w:adjustRightInd w:val="0"/>
              <w:snapToGrid w:val="0"/>
              <w:ind w:left="-99" w:leftChars="-45" w:right="-123"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简单防渗区</w:t>
            </w:r>
          </w:p>
        </w:tc>
        <w:tc>
          <w:tcPr>
            <w:tcW w:w="2494" w:type="pct"/>
            <w:noWrap w:val="0"/>
            <w:vAlign w:val="center"/>
          </w:tcPr>
          <w:p w14:paraId="52358B09">
            <w:pPr>
              <w:autoSpaceDE/>
              <w:autoSpaceDN/>
              <w:adjustRightInd w:val="0"/>
              <w:snapToGrid w:val="0"/>
              <w:ind w:left="-119" w:leftChars="-54" w:right="-117" w:rightChars="0" w:firstLine="0" w:firstLineChars="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bidi="ar-SA"/>
              </w:rPr>
              <w:t>全部进行水泥硬化处理</w:t>
            </w:r>
          </w:p>
        </w:tc>
      </w:tr>
    </w:tbl>
    <w:p w14:paraId="6A02ADD9">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项目鸡舍、鸡粪</w:t>
      </w:r>
      <w:r>
        <w:rPr>
          <w:rFonts w:hint="default" w:ascii="Times New Roman" w:hAnsi="Times New Roman" w:eastAsia="宋体" w:cs="Times New Roman"/>
          <w:color w:val="FF0000"/>
          <w:sz w:val="24"/>
          <w:szCs w:val="24"/>
          <w:highlight w:val="none"/>
          <w:lang w:val="en-US" w:eastAsia="zh-CN" w:bidi="zh-CN"/>
        </w:rPr>
        <w:t>收集</w:t>
      </w:r>
      <w:r>
        <w:rPr>
          <w:rFonts w:hint="default" w:ascii="Times New Roman" w:hAnsi="Times New Roman" w:eastAsia="宋体" w:cs="Times New Roman"/>
          <w:color w:val="FF0000"/>
          <w:sz w:val="24"/>
          <w:szCs w:val="24"/>
          <w:highlight w:val="none"/>
          <w:lang w:val="zh-CN" w:eastAsia="zh-CN" w:bidi="zh-CN"/>
        </w:rPr>
        <w:t>系统构筑物做好防渗措施，构筑物防渗系数小于1×10</w:t>
      </w:r>
      <w:r>
        <w:rPr>
          <w:rFonts w:hint="default" w:ascii="Times New Roman" w:hAnsi="Times New Roman" w:eastAsia="宋体" w:cs="Times New Roman"/>
          <w:color w:val="FF0000"/>
          <w:sz w:val="24"/>
          <w:szCs w:val="24"/>
          <w:highlight w:val="none"/>
          <w:vertAlign w:val="superscript"/>
          <w:lang w:val="en-US" w:eastAsia="zh-CN" w:bidi="zh-CN"/>
        </w:rPr>
        <w:t>-</w:t>
      </w:r>
      <w:r>
        <w:rPr>
          <w:rFonts w:hint="default" w:ascii="Times New Roman" w:hAnsi="Times New Roman" w:eastAsia="宋体" w:cs="Times New Roman"/>
          <w:color w:val="FF0000"/>
          <w:sz w:val="24"/>
          <w:szCs w:val="24"/>
          <w:highlight w:val="none"/>
          <w:vertAlign w:val="superscript"/>
          <w:lang w:val="zh-CN" w:eastAsia="zh-CN" w:bidi="zh-CN"/>
        </w:rPr>
        <w:t>7</w:t>
      </w:r>
      <w:r>
        <w:rPr>
          <w:rFonts w:hint="default" w:ascii="Times New Roman" w:hAnsi="Times New Roman" w:eastAsia="宋体" w:cs="Times New Roman"/>
          <w:color w:val="FF0000"/>
          <w:sz w:val="24"/>
          <w:szCs w:val="24"/>
          <w:highlight w:val="none"/>
          <w:lang w:val="zh-CN" w:eastAsia="zh-CN" w:bidi="zh-CN"/>
        </w:rPr>
        <w:t>cm/s，可有效防止废水下渗；输送、排放管道应具有很好的密封性，地面均做水泥硬化处理，输水管、渠定期检查，尤其是管线连接处应做好封闭措施，可有效防止污染地下水。如出现污水渗漏或管道破裂等事故，应及时采取相应的事故处理措施，防止污染地下水。</w:t>
      </w:r>
    </w:p>
    <w:p w14:paraId="46F963EF">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为了确保防渗措施的防渗效果，建设单位应加强施工期的管理，严格按防渗设计要求进行施工，并加强防渗措施的日常维护，使防渗措施达到应有的防渗效果。</w:t>
      </w:r>
    </w:p>
    <w:p w14:paraId="624EA110">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综上所述，项目在采取防渗措施后，项目产生的废水污染物对地下水影响较小。</w:t>
      </w:r>
    </w:p>
    <w:p w14:paraId="2CBA385A">
      <w:pPr>
        <w:pStyle w:val="4"/>
        <w:bidi w:val="0"/>
        <w:rPr>
          <w:rFonts w:hint="default" w:ascii="Times New Roman" w:hAnsi="Times New Roman" w:cs="Times New Roman"/>
          <w:lang w:val="en-US"/>
        </w:rPr>
      </w:pPr>
      <w:r>
        <w:rPr>
          <w:rFonts w:hint="default" w:ascii="Times New Roman" w:hAnsi="Times New Roman" w:cs="Times New Roman"/>
          <w:lang w:val="en-US"/>
        </w:rPr>
        <w:t>声环境影响预测与评价</w:t>
      </w:r>
    </w:p>
    <w:p w14:paraId="57C2D1AC">
      <w:pPr>
        <w:pStyle w:val="16"/>
        <w:keepNext w:val="0"/>
        <w:keepLines w:val="0"/>
        <w:pageBreakBefore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lang w:eastAsia="zh-CN"/>
        </w:rPr>
      </w:pP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1</w:t>
      </w:r>
      <w:r>
        <w:rPr>
          <w:rFonts w:hint="default" w:ascii="Times New Roman" w:hAnsi="Times New Roman" w:cs="Times New Roman"/>
          <w:color w:val="FF0000"/>
          <w:lang w:eastAsia="zh-CN"/>
        </w:rPr>
        <w:t>）噪声源分析</w:t>
      </w:r>
    </w:p>
    <w:p w14:paraId="5205E329">
      <w:pPr>
        <w:keepNext w:val="0"/>
        <w:keepLines w:val="0"/>
        <w:pageBreakBefore w:val="0"/>
        <w:widowControl/>
        <w:kinsoku/>
        <w:wordWrap/>
        <w:overflowPunct/>
        <w:topLinePunct w:val="0"/>
        <w:autoSpaceDE w:val="0"/>
        <w:autoSpaceDN w:val="0"/>
        <w:bidi w:val="0"/>
        <w:adjustRightInd/>
        <w:snapToGrid/>
        <w:spacing w:line="360" w:lineRule="auto"/>
        <w:ind w:right="0" w:firstLine="480" w:firstLineChars="200"/>
        <w:jc w:val="left"/>
        <w:textAlignment w:val="auto"/>
        <w:rPr>
          <w:rFonts w:hint="default" w:ascii="Times New Roman" w:hAnsi="Times New Roman" w:cs="Times New Roman"/>
          <w:color w:val="FF0000"/>
          <w:sz w:val="24"/>
          <w:highlight w:val="yellow"/>
        </w:rPr>
      </w:pPr>
      <w:r>
        <w:rPr>
          <w:rFonts w:hint="default" w:ascii="Times New Roman" w:hAnsi="Times New Roman" w:cs="Times New Roman"/>
          <w:color w:val="FF0000"/>
          <w:kern w:val="0"/>
          <w:sz w:val="24"/>
        </w:rPr>
        <w:t>项目噪声源主要为鸣叫声、</w:t>
      </w:r>
      <w:r>
        <w:rPr>
          <w:rFonts w:hint="default" w:ascii="Times New Roman" w:hAnsi="Times New Roman" w:cs="Times New Roman"/>
          <w:color w:val="FF0000"/>
          <w:kern w:val="0"/>
          <w:sz w:val="24"/>
          <w:lang w:val="en-US" w:eastAsia="zh-CN"/>
        </w:rPr>
        <w:t>清粪机、</w:t>
      </w:r>
      <w:r>
        <w:rPr>
          <w:rFonts w:hint="default" w:ascii="Times New Roman" w:hAnsi="Times New Roman" w:cs="Times New Roman"/>
          <w:color w:val="FF0000"/>
          <w:kern w:val="0"/>
          <w:sz w:val="24"/>
        </w:rPr>
        <w:t>风机、水泵等。各噪声采取基础减振、隔声等措施，项目主要噪声源如</w:t>
      </w:r>
      <w:r>
        <w:rPr>
          <w:rFonts w:hint="default" w:ascii="Times New Roman" w:hAnsi="Times New Roman" w:cs="Times New Roman"/>
          <w:color w:val="FF0000"/>
          <w:kern w:val="0"/>
          <w:sz w:val="24"/>
          <w:highlight w:val="none"/>
        </w:rPr>
        <w:t>表5.2-</w:t>
      </w:r>
      <w:r>
        <w:rPr>
          <w:rFonts w:hint="default" w:ascii="Times New Roman" w:hAnsi="Times New Roman" w:cs="Times New Roman"/>
          <w:color w:val="FF0000"/>
          <w:kern w:val="0"/>
          <w:sz w:val="24"/>
          <w:highlight w:val="none"/>
          <w:lang w:val="en-US" w:eastAsia="zh-CN"/>
        </w:rPr>
        <w:t>13-5.1-14</w:t>
      </w:r>
      <w:r>
        <w:rPr>
          <w:rFonts w:hint="default" w:ascii="Times New Roman" w:hAnsi="Times New Roman" w:cs="Times New Roman"/>
          <w:color w:val="FF0000"/>
          <w:kern w:val="0"/>
          <w:sz w:val="24"/>
          <w:highlight w:val="none"/>
        </w:rPr>
        <w:t>所示。</w:t>
      </w:r>
    </w:p>
    <w:p w14:paraId="56E3E8F1">
      <w:pPr>
        <w:pStyle w:val="14"/>
        <w:spacing w:line="240" w:lineRule="auto"/>
        <w:jc w:val="center"/>
        <w:rPr>
          <w:rFonts w:hint="default" w:ascii="Times New Roman" w:hAnsi="Times New Roman" w:cs="Times New Roman"/>
          <w:b w:val="0"/>
          <w:bCs w:val="0"/>
          <w:color w:val="FF0000"/>
          <w:sz w:val="21"/>
          <w:szCs w:val="21"/>
        </w:rPr>
      </w:pPr>
      <w:r>
        <w:rPr>
          <w:rFonts w:hint="default" w:ascii="Times New Roman" w:hAnsi="Times New Roman" w:cs="Times New Roman"/>
          <w:color w:val="FF0000"/>
          <w:highlight w:val="none"/>
        </w:rPr>
        <w:t>表</w:t>
      </w:r>
      <w:r>
        <w:rPr>
          <w:rFonts w:hint="default" w:ascii="Times New Roman" w:hAnsi="Times New Roman" w:cs="Times New Roman"/>
          <w:color w:val="FF0000"/>
          <w:highlight w:val="none"/>
        </w:rPr>
        <w:fldChar w:fldCharType="begin"/>
      </w:r>
      <w:r>
        <w:rPr>
          <w:rFonts w:hint="default" w:ascii="Times New Roman" w:hAnsi="Times New Roman" w:cs="Times New Roman"/>
          <w:color w:val="FF0000"/>
          <w:highlight w:val="none"/>
        </w:rPr>
        <w:instrText xml:space="preserve"> STYLEREF 2 \s </w:instrText>
      </w:r>
      <w:r>
        <w:rPr>
          <w:rFonts w:hint="default" w:ascii="Times New Roman" w:hAnsi="Times New Roman" w:cs="Times New Roman"/>
          <w:color w:val="FF0000"/>
          <w:highlight w:val="none"/>
        </w:rPr>
        <w:fldChar w:fldCharType="separate"/>
      </w:r>
      <w:r>
        <w:rPr>
          <w:rFonts w:hint="default" w:ascii="Times New Roman" w:hAnsi="Times New Roman" w:cs="Times New Roman"/>
          <w:color w:val="FF0000"/>
          <w:highlight w:val="none"/>
        </w:rPr>
        <w:t>5.2</w:t>
      </w:r>
      <w:r>
        <w:rPr>
          <w:rFonts w:hint="default" w:ascii="Times New Roman" w:hAnsi="Times New Roman" w:cs="Times New Roman"/>
          <w:color w:val="FF0000"/>
          <w:highlight w:val="none"/>
        </w:rPr>
        <w:fldChar w:fldCharType="end"/>
      </w:r>
      <w:r>
        <w:rPr>
          <w:rFonts w:hint="default" w:ascii="Times New Roman" w:hAnsi="Times New Roman" w:cs="Times New Roman"/>
          <w:color w:val="FF0000"/>
          <w:highlight w:val="none"/>
          <w:lang w:eastAsia="zh-CN"/>
        </w:rPr>
        <w:t>-</w:t>
      </w:r>
      <w:r>
        <w:rPr>
          <w:rFonts w:hint="default" w:ascii="Times New Roman" w:hAnsi="Times New Roman" w:cs="Times New Roman"/>
          <w:color w:val="FF0000"/>
          <w:highlight w:val="none"/>
        </w:rPr>
        <w:fldChar w:fldCharType="begin"/>
      </w:r>
      <w:r>
        <w:rPr>
          <w:rFonts w:hint="default" w:ascii="Times New Roman" w:hAnsi="Times New Roman" w:cs="Times New Roman"/>
          <w:color w:val="FF0000"/>
          <w:highlight w:val="none"/>
        </w:rPr>
        <w:instrText xml:space="preserve"> SEQ 表 \* ARABIC \s 2 </w:instrText>
      </w:r>
      <w:r>
        <w:rPr>
          <w:rFonts w:hint="default" w:ascii="Times New Roman" w:hAnsi="Times New Roman" w:cs="Times New Roman"/>
          <w:color w:val="FF0000"/>
          <w:highlight w:val="none"/>
        </w:rPr>
        <w:fldChar w:fldCharType="separate"/>
      </w:r>
      <w:r>
        <w:rPr>
          <w:rFonts w:hint="default" w:ascii="Times New Roman" w:hAnsi="Times New Roman" w:cs="Times New Roman"/>
          <w:color w:val="FF0000"/>
          <w:highlight w:val="none"/>
        </w:rPr>
        <w:t>15</w:t>
      </w:r>
      <w:r>
        <w:rPr>
          <w:rFonts w:hint="default" w:ascii="Times New Roman" w:hAnsi="Times New Roman" w:cs="Times New Roman"/>
          <w:color w:val="FF0000"/>
          <w:highlight w:val="none"/>
        </w:rPr>
        <w:fldChar w:fldCharType="end"/>
      </w:r>
      <w:r>
        <w:rPr>
          <w:rFonts w:hint="default" w:ascii="Times New Roman" w:hAnsi="Times New Roman" w:cs="Times New Roman"/>
          <w:color w:val="FF0000"/>
          <w:highlight w:val="none"/>
        </w:rPr>
        <w:t>项目工业企业噪声源强调查清单（室外声源）</w:t>
      </w:r>
    </w:p>
    <w:tbl>
      <w:tblPr>
        <w:tblStyle w:val="76"/>
        <w:tblW w:w="5002"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297"/>
        <w:gridCol w:w="803"/>
        <w:gridCol w:w="428"/>
        <w:gridCol w:w="595"/>
        <w:gridCol w:w="608"/>
        <w:gridCol w:w="1520"/>
        <w:gridCol w:w="985"/>
        <w:gridCol w:w="613"/>
        <w:gridCol w:w="1696"/>
        <w:gridCol w:w="778"/>
      </w:tblGrid>
      <w:tr w14:paraId="03B6975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178" w:type="pct"/>
            <w:vMerge w:val="restart"/>
            <w:tcBorders>
              <w:tl2br w:val="nil"/>
              <w:tr2bl w:val="nil"/>
            </w:tcBorders>
            <w:vAlign w:val="center"/>
          </w:tcPr>
          <w:p w14:paraId="31FEFFA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4"/>
                <w:sz w:val="21"/>
                <w:szCs w:val="21"/>
              </w:rPr>
              <w:t>序号</w:t>
            </w:r>
          </w:p>
        </w:tc>
        <w:tc>
          <w:tcPr>
            <w:tcW w:w="482" w:type="pct"/>
            <w:vMerge w:val="restart"/>
            <w:tcBorders>
              <w:tl2br w:val="nil"/>
              <w:tr2bl w:val="nil"/>
            </w:tcBorders>
            <w:vAlign w:val="center"/>
          </w:tcPr>
          <w:p w14:paraId="7680515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建筑物名称</w:t>
            </w:r>
          </w:p>
        </w:tc>
        <w:tc>
          <w:tcPr>
            <w:tcW w:w="257" w:type="pct"/>
            <w:vMerge w:val="restart"/>
            <w:tcBorders>
              <w:tl2br w:val="nil"/>
              <w:tr2bl w:val="nil"/>
            </w:tcBorders>
            <w:vAlign w:val="center"/>
          </w:tcPr>
          <w:p w14:paraId="59AE398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声源名称</w:t>
            </w:r>
          </w:p>
        </w:tc>
        <w:tc>
          <w:tcPr>
            <w:tcW w:w="357" w:type="pct"/>
            <w:vMerge w:val="restart"/>
            <w:tcBorders>
              <w:tl2br w:val="nil"/>
              <w:tr2bl w:val="nil"/>
            </w:tcBorders>
            <w:vAlign w:val="center"/>
          </w:tcPr>
          <w:p w14:paraId="3FBEBDBC">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b/>
                <w:bCs/>
                <w:color w:val="FF0000"/>
                <w:sz w:val="21"/>
                <w:szCs w:val="21"/>
              </w:rPr>
              <w:t>型号</w:t>
            </w:r>
          </w:p>
        </w:tc>
        <w:tc>
          <w:tcPr>
            <w:tcW w:w="365" w:type="pct"/>
            <w:vMerge w:val="restart"/>
            <w:tcBorders>
              <w:tl2br w:val="nil"/>
              <w:tr2bl w:val="nil"/>
            </w:tcBorders>
            <w:vAlign w:val="center"/>
          </w:tcPr>
          <w:p w14:paraId="5958969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设备数量</w:t>
            </w:r>
            <w:r>
              <w:rPr>
                <w:rFonts w:hint="default" w:ascii="Times New Roman" w:hAnsi="Times New Roman" w:eastAsia="宋体" w:cs="Times New Roman"/>
                <w:b/>
                <w:bCs/>
                <w:color w:val="FF0000"/>
                <w:spacing w:val="-2"/>
                <w:sz w:val="21"/>
                <w:szCs w:val="21"/>
              </w:rPr>
              <w:t>（台）</w:t>
            </w:r>
          </w:p>
        </w:tc>
        <w:tc>
          <w:tcPr>
            <w:tcW w:w="912" w:type="pct"/>
            <w:tcBorders>
              <w:tl2br w:val="nil"/>
              <w:tr2bl w:val="nil"/>
            </w:tcBorders>
            <w:vAlign w:val="center"/>
          </w:tcPr>
          <w:p w14:paraId="4CFDBDB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eastAsia="宋体" w:cs="Times New Roman"/>
                <w:b/>
                <w:bCs/>
                <w:color w:val="FF0000"/>
                <w:spacing w:val="5"/>
                <w:sz w:val="21"/>
                <w:szCs w:val="21"/>
              </w:rPr>
              <w:t>空间相对位置</w:t>
            </w:r>
            <w:r>
              <w:rPr>
                <w:rFonts w:hint="default" w:ascii="Times New Roman" w:hAnsi="Times New Roman" w:cs="Times New Roman"/>
                <w:b/>
                <w:bCs/>
                <w:color w:val="FF0000"/>
                <w:spacing w:val="5"/>
                <w:sz w:val="21"/>
                <w:szCs w:val="21"/>
              </w:rPr>
              <w:t>/m</w:t>
            </w:r>
          </w:p>
        </w:tc>
        <w:tc>
          <w:tcPr>
            <w:tcW w:w="959" w:type="pct"/>
            <w:gridSpan w:val="2"/>
            <w:tcBorders>
              <w:tl2br w:val="nil"/>
              <w:tr2bl w:val="nil"/>
            </w:tcBorders>
            <w:vAlign w:val="center"/>
          </w:tcPr>
          <w:p w14:paraId="3B6B968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声</w:t>
            </w:r>
            <w:r>
              <w:rPr>
                <w:rFonts w:hint="eastAsia" w:ascii="Times New Roman" w:hAnsi="Times New Roman" w:cs="Times New Roman"/>
                <w:b/>
                <w:bCs/>
                <w:color w:val="FF0000"/>
                <w:spacing w:val="5"/>
                <w:sz w:val="21"/>
                <w:szCs w:val="21"/>
                <w:lang w:eastAsia="zh-CN"/>
              </w:rPr>
              <w:t>源</w:t>
            </w:r>
            <w:r>
              <w:rPr>
                <w:rFonts w:hint="default" w:ascii="Times New Roman" w:hAnsi="Times New Roman" w:eastAsia="宋体" w:cs="Times New Roman"/>
                <w:b/>
                <w:bCs/>
                <w:color w:val="FF0000"/>
                <w:spacing w:val="5"/>
                <w:sz w:val="21"/>
                <w:szCs w:val="21"/>
              </w:rPr>
              <w:t>强</w:t>
            </w:r>
          </w:p>
        </w:tc>
        <w:tc>
          <w:tcPr>
            <w:tcW w:w="1018" w:type="pct"/>
            <w:vMerge w:val="restart"/>
            <w:tcBorders>
              <w:tl2br w:val="nil"/>
              <w:tr2bl w:val="nil"/>
            </w:tcBorders>
            <w:vAlign w:val="center"/>
          </w:tcPr>
          <w:p w14:paraId="599BBF1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声源控制措施</w:t>
            </w:r>
          </w:p>
        </w:tc>
        <w:tc>
          <w:tcPr>
            <w:tcW w:w="467" w:type="pct"/>
            <w:vMerge w:val="restart"/>
            <w:tcBorders>
              <w:tl2br w:val="nil"/>
              <w:tr2bl w:val="nil"/>
            </w:tcBorders>
            <w:vAlign w:val="center"/>
          </w:tcPr>
          <w:p w14:paraId="50FECBB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运行时段</w:t>
            </w:r>
            <w:r>
              <w:rPr>
                <w:rFonts w:hint="default" w:ascii="Times New Roman" w:hAnsi="Times New Roman" w:eastAsia="宋体" w:cs="Times New Roman"/>
                <w:b/>
                <w:bCs/>
                <w:color w:val="FF0000"/>
                <w:spacing w:val="-1"/>
                <w:sz w:val="21"/>
                <w:szCs w:val="21"/>
              </w:rPr>
              <w:t>（</w:t>
            </w:r>
            <w:r>
              <w:rPr>
                <w:rFonts w:hint="default" w:ascii="Times New Roman" w:hAnsi="Times New Roman" w:cs="Times New Roman"/>
                <w:b/>
                <w:bCs/>
                <w:color w:val="FF0000"/>
                <w:spacing w:val="-1"/>
                <w:sz w:val="21"/>
                <w:szCs w:val="21"/>
              </w:rPr>
              <w:t>h/d</w:t>
            </w:r>
            <w:r>
              <w:rPr>
                <w:rFonts w:hint="default" w:ascii="Times New Roman" w:hAnsi="Times New Roman" w:eastAsia="宋体" w:cs="Times New Roman"/>
                <w:b/>
                <w:bCs/>
                <w:color w:val="FF0000"/>
                <w:spacing w:val="-1"/>
                <w:sz w:val="21"/>
                <w:szCs w:val="21"/>
              </w:rPr>
              <w:t>）</w:t>
            </w:r>
          </w:p>
        </w:tc>
      </w:tr>
      <w:tr w14:paraId="44B2C47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178" w:type="pct"/>
            <w:vMerge w:val="continue"/>
            <w:tcBorders>
              <w:tl2br w:val="nil"/>
              <w:tr2bl w:val="nil"/>
            </w:tcBorders>
            <w:vAlign w:val="center"/>
          </w:tcPr>
          <w:p w14:paraId="5330672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482" w:type="pct"/>
            <w:vMerge w:val="continue"/>
            <w:tcBorders>
              <w:tl2br w:val="nil"/>
              <w:tr2bl w:val="nil"/>
            </w:tcBorders>
            <w:vAlign w:val="center"/>
          </w:tcPr>
          <w:p w14:paraId="3498DF8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257" w:type="pct"/>
            <w:vMerge w:val="continue"/>
            <w:tcBorders>
              <w:tl2br w:val="nil"/>
              <w:tr2bl w:val="nil"/>
            </w:tcBorders>
            <w:vAlign w:val="center"/>
          </w:tcPr>
          <w:p w14:paraId="13A590A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357" w:type="pct"/>
            <w:vMerge w:val="continue"/>
            <w:tcBorders>
              <w:tl2br w:val="nil"/>
              <w:tr2bl w:val="nil"/>
            </w:tcBorders>
            <w:vAlign w:val="center"/>
          </w:tcPr>
          <w:p w14:paraId="6CDAC0F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365" w:type="pct"/>
            <w:vMerge w:val="continue"/>
            <w:tcBorders>
              <w:tl2br w:val="nil"/>
              <w:tr2bl w:val="nil"/>
            </w:tcBorders>
            <w:vAlign w:val="center"/>
          </w:tcPr>
          <w:p w14:paraId="05BA994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912" w:type="pct"/>
            <w:tcBorders>
              <w:tl2br w:val="nil"/>
              <w:tr2bl w:val="nil"/>
            </w:tcBorders>
            <w:vAlign w:val="center"/>
          </w:tcPr>
          <w:p w14:paraId="14B842F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b/>
                <w:bCs/>
                <w:color w:val="FF0000"/>
                <w:spacing w:val="4"/>
                <w:sz w:val="21"/>
                <w:szCs w:val="21"/>
              </w:rPr>
              <w:t>X,Y,Z</w:t>
            </w:r>
          </w:p>
        </w:tc>
        <w:tc>
          <w:tcPr>
            <w:tcW w:w="591" w:type="pct"/>
            <w:tcBorders>
              <w:tl2br w:val="nil"/>
              <w:tr2bl w:val="nil"/>
            </w:tcBorders>
            <w:vAlign w:val="center"/>
          </w:tcPr>
          <w:p w14:paraId="2850F17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（声压级</w:t>
            </w:r>
            <w:r>
              <w:rPr>
                <w:rFonts w:hint="default" w:ascii="Times New Roman" w:hAnsi="Times New Roman" w:cs="Times New Roman"/>
                <w:b/>
                <w:bCs/>
                <w:color w:val="FF0000"/>
                <w:spacing w:val="6"/>
                <w:sz w:val="21"/>
                <w:szCs w:val="21"/>
              </w:rPr>
              <w:t>/</w:t>
            </w:r>
            <w:r>
              <w:rPr>
                <w:rFonts w:hint="default" w:ascii="Times New Roman" w:hAnsi="Times New Roman" w:eastAsia="宋体" w:cs="Times New Roman"/>
                <w:b/>
                <w:bCs/>
                <w:color w:val="FF0000"/>
                <w:spacing w:val="6"/>
                <w:sz w:val="21"/>
                <w:szCs w:val="21"/>
              </w:rPr>
              <w:t>距声源距</w:t>
            </w:r>
            <w:r>
              <w:rPr>
                <w:rFonts w:hint="default" w:ascii="Times New Roman" w:hAnsi="Times New Roman" w:eastAsia="宋体" w:cs="Times New Roman"/>
                <w:b/>
                <w:bCs/>
                <w:color w:val="FF0000"/>
                <w:spacing w:val="5"/>
                <w:sz w:val="21"/>
                <w:szCs w:val="21"/>
              </w:rPr>
              <w:t>离）</w:t>
            </w:r>
            <w:r>
              <w:rPr>
                <w:rFonts w:hint="default" w:ascii="Times New Roman" w:hAnsi="Times New Roman" w:cs="Times New Roman"/>
                <w:b/>
                <w:bCs/>
                <w:color w:val="FF0000"/>
                <w:spacing w:val="5"/>
                <w:sz w:val="21"/>
                <w:szCs w:val="21"/>
              </w:rPr>
              <w:t>/</w:t>
            </w:r>
            <w:r>
              <w:rPr>
                <w:rFonts w:hint="default" w:ascii="Times New Roman" w:hAnsi="Times New Roman" w:eastAsia="宋体" w:cs="Times New Roman"/>
                <w:b/>
                <w:bCs/>
                <w:color w:val="FF0000"/>
                <w:spacing w:val="5"/>
                <w:sz w:val="21"/>
                <w:szCs w:val="21"/>
              </w:rPr>
              <w:t>（</w:t>
            </w:r>
            <w:r>
              <w:rPr>
                <w:rFonts w:hint="default" w:ascii="Times New Roman" w:hAnsi="Times New Roman" w:cs="Times New Roman"/>
                <w:b/>
                <w:bCs/>
                <w:color w:val="FF0000"/>
                <w:sz w:val="21"/>
                <w:szCs w:val="21"/>
              </w:rPr>
              <w:t>dB</w:t>
            </w:r>
            <w:r>
              <w:rPr>
                <w:rFonts w:hint="eastAsia" w:ascii="Times New Roman" w:hAnsi="Times New Roman" w:eastAsia="宋体" w:cs="Times New Roman"/>
                <w:b/>
                <w:bCs/>
                <w:color w:val="FF0000"/>
                <w:spacing w:val="5"/>
                <w:sz w:val="21"/>
                <w:szCs w:val="21"/>
                <w:lang w:eastAsia="zh-CN"/>
              </w:rPr>
              <w:t>（</w:t>
            </w:r>
            <w:r>
              <w:rPr>
                <w:rFonts w:hint="default" w:ascii="Times New Roman" w:hAnsi="Times New Roman" w:cs="Times New Roman"/>
                <w:b/>
                <w:bCs/>
                <w:color w:val="FF0000"/>
                <w:spacing w:val="5"/>
                <w:sz w:val="21"/>
                <w:szCs w:val="21"/>
              </w:rPr>
              <w:t>A)/m</w:t>
            </w:r>
            <w:r>
              <w:rPr>
                <w:rFonts w:hint="default" w:ascii="Times New Roman" w:hAnsi="Times New Roman" w:eastAsia="宋体" w:cs="Times New Roman"/>
                <w:b/>
                <w:bCs/>
                <w:color w:val="FF0000"/>
                <w:spacing w:val="5"/>
                <w:sz w:val="21"/>
                <w:szCs w:val="21"/>
              </w:rPr>
              <w:t>）</w:t>
            </w:r>
          </w:p>
        </w:tc>
        <w:tc>
          <w:tcPr>
            <w:tcW w:w="368" w:type="pct"/>
            <w:tcBorders>
              <w:tl2br w:val="nil"/>
              <w:tr2bl w:val="nil"/>
            </w:tcBorders>
            <w:vAlign w:val="center"/>
          </w:tcPr>
          <w:p w14:paraId="3741F6E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eastAsia="宋体" w:cs="Times New Roman"/>
                <w:b/>
                <w:bCs/>
                <w:color w:val="FF0000"/>
                <w:spacing w:val="5"/>
                <w:sz w:val="21"/>
                <w:szCs w:val="21"/>
              </w:rPr>
              <w:t>声功率级</w:t>
            </w:r>
            <w:r>
              <w:rPr>
                <w:rFonts w:hint="default" w:ascii="Times New Roman" w:hAnsi="Times New Roman" w:cs="Times New Roman"/>
                <w:b/>
                <w:bCs/>
                <w:color w:val="FF0000"/>
                <w:spacing w:val="6"/>
                <w:sz w:val="21"/>
                <w:szCs w:val="21"/>
              </w:rPr>
              <w:t>/</w:t>
            </w:r>
            <w:r>
              <w:rPr>
                <w:rFonts w:hint="default" w:ascii="Times New Roman" w:hAnsi="Times New Roman" w:cs="Times New Roman"/>
                <w:b/>
                <w:bCs/>
                <w:color w:val="FF0000"/>
                <w:sz w:val="21"/>
                <w:szCs w:val="21"/>
              </w:rPr>
              <w:t>dB</w:t>
            </w:r>
            <w:r>
              <w:rPr>
                <w:rFonts w:hint="eastAsia" w:ascii="Times New Roman" w:hAnsi="Times New Roman" w:eastAsia="宋体" w:cs="Times New Roman"/>
                <w:b/>
                <w:bCs/>
                <w:color w:val="FF0000"/>
                <w:spacing w:val="6"/>
                <w:sz w:val="21"/>
                <w:szCs w:val="21"/>
                <w:lang w:eastAsia="zh-CN"/>
              </w:rPr>
              <w:t>（</w:t>
            </w:r>
            <w:r>
              <w:rPr>
                <w:rFonts w:hint="default" w:ascii="Times New Roman" w:hAnsi="Times New Roman" w:cs="Times New Roman"/>
                <w:b/>
                <w:bCs/>
                <w:color w:val="FF0000"/>
                <w:spacing w:val="6"/>
                <w:sz w:val="21"/>
                <w:szCs w:val="21"/>
              </w:rPr>
              <w:t>A)</w:t>
            </w:r>
          </w:p>
        </w:tc>
        <w:tc>
          <w:tcPr>
            <w:tcW w:w="1018" w:type="pct"/>
            <w:vMerge w:val="continue"/>
            <w:tcBorders>
              <w:tl2br w:val="nil"/>
              <w:tr2bl w:val="nil"/>
            </w:tcBorders>
            <w:vAlign w:val="center"/>
          </w:tcPr>
          <w:p w14:paraId="2CDDFD6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467" w:type="pct"/>
            <w:vMerge w:val="continue"/>
            <w:tcBorders>
              <w:tl2br w:val="nil"/>
              <w:tr2bl w:val="nil"/>
            </w:tcBorders>
            <w:vAlign w:val="center"/>
          </w:tcPr>
          <w:p w14:paraId="606E5A6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r>
      <w:tr w14:paraId="7A3EFF6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178" w:type="pct"/>
            <w:tcBorders>
              <w:tl2br w:val="nil"/>
              <w:tr2bl w:val="nil"/>
            </w:tcBorders>
            <w:vAlign w:val="center"/>
          </w:tcPr>
          <w:p w14:paraId="2222412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1"/>
                <w:sz w:val="21"/>
                <w:szCs w:val="21"/>
              </w:rPr>
              <w:t>1</w:t>
            </w:r>
          </w:p>
        </w:tc>
        <w:tc>
          <w:tcPr>
            <w:tcW w:w="482" w:type="pct"/>
            <w:tcBorders>
              <w:tl2br w:val="nil"/>
              <w:tr2bl w:val="nil"/>
            </w:tcBorders>
            <w:vAlign w:val="center"/>
          </w:tcPr>
          <w:p w14:paraId="03D208F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cs="Times New Roman"/>
                <w:color w:val="FF0000"/>
                <w:spacing w:val="2"/>
                <w:position w:val="1"/>
                <w:sz w:val="21"/>
                <w:szCs w:val="21"/>
              </w:rPr>
              <w:t>1#</w:t>
            </w:r>
            <w:r>
              <w:rPr>
                <w:rFonts w:hint="default" w:ascii="Times New Roman" w:hAnsi="Times New Roman" w:eastAsia="宋体" w:cs="Times New Roman"/>
                <w:color w:val="FF0000"/>
                <w:spacing w:val="2"/>
                <w:position w:val="1"/>
                <w:sz w:val="21"/>
                <w:szCs w:val="21"/>
              </w:rPr>
              <w:t>蛋鸡舍</w:t>
            </w:r>
          </w:p>
        </w:tc>
        <w:tc>
          <w:tcPr>
            <w:tcW w:w="257" w:type="pct"/>
            <w:tcBorders>
              <w:tl2br w:val="nil"/>
              <w:tr2bl w:val="nil"/>
            </w:tcBorders>
            <w:vAlign w:val="center"/>
          </w:tcPr>
          <w:p w14:paraId="2B117C6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4"/>
                <w:sz w:val="21"/>
                <w:szCs w:val="21"/>
              </w:rPr>
              <w:t>风机</w:t>
            </w:r>
          </w:p>
        </w:tc>
        <w:tc>
          <w:tcPr>
            <w:tcW w:w="357" w:type="pct"/>
            <w:vMerge w:val="restart"/>
            <w:tcBorders>
              <w:tl2br w:val="nil"/>
              <w:tr2bl w:val="nil"/>
            </w:tcBorders>
            <w:vAlign w:val="center"/>
          </w:tcPr>
          <w:p w14:paraId="3F05FA5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4"/>
                <w:sz w:val="21"/>
                <w:szCs w:val="21"/>
              </w:rPr>
              <w:t>50</w:t>
            </w:r>
            <w:r>
              <w:rPr>
                <w:rFonts w:hint="default" w:ascii="Times New Roman" w:hAnsi="Times New Roman" w:eastAsia="宋体" w:cs="Times New Roman"/>
                <w:color w:val="FF0000"/>
                <w:spacing w:val="-4"/>
                <w:sz w:val="21"/>
                <w:szCs w:val="21"/>
              </w:rPr>
              <w:t>寸风机，</w:t>
            </w:r>
            <w:r>
              <w:rPr>
                <w:rFonts w:hint="default" w:ascii="Times New Roman" w:hAnsi="Times New Roman" w:eastAsia="宋体" w:cs="Times New Roman"/>
                <w:color w:val="FF0000"/>
                <w:spacing w:val="1"/>
                <w:sz w:val="21"/>
                <w:szCs w:val="21"/>
              </w:rPr>
              <w:t>电机功率＞</w:t>
            </w:r>
            <w:r>
              <w:rPr>
                <w:rFonts w:hint="default" w:ascii="Times New Roman" w:hAnsi="Times New Roman" w:cs="Times New Roman"/>
                <w:color w:val="FF0000"/>
                <w:position w:val="2"/>
                <w:sz w:val="21"/>
                <w:szCs w:val="21"/>
              </w:rPr>
              <w:t>1.1</w:t>
            </w:r>
            <w:r>
              <w:rPr>
                <w:rFonts w:hint="default" w:ascii="Times New Roman" w:hAnsi="Times New Roman" w:eastAsia="宋体" w:cs="Times New Roman"/>
                <w:color w:val="FF0000"/>
                <w:position w:val="2"/>
                <w:sz w:val="21"/>
                <w:szCs w:val="21"/>
                <w:lang w:eastAsia="zh-CN"/>
              </w:rPr>
              <w:t>kW</w:t>
            </w:r>
          </w:p>
        </w:tc>
        <w:tc>
          <w:tcPr>
            <w:tcW w:w="365" w:type="pct"/>
            <w:tcBorders>
              <w:tl2br w:val="nil"/>
              <w:tr2bl w:val="nil"/>
            </w:tcBorders>
            <w:vAlign w:val="center"/>
          </w:tcPr>
          <w:p w14:paraId="0868412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2"/>
                <w:sz w:val="21"/>
                <w:szCs w:val="21"/>
              </w:rPr>
              <w:t>6</w:t>
            </w:r>
          </w:p>
        </w:tc>
        <w:tc>
          <w:tcPr>
            <w:tcW w:w="912" w:type="pct"/>
            <w:tcBorders>
              <w:tl2br w:val="nil"/>
              <w:tr2bl w:val="nil"/>
            </w:tcBorders>
            <w:vAlign w:val="center"/>
          </w:tcPr>
          <w:p w14:paraId="5FE824B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-22.05,92.13,1</w:t>
            </w:r>
          </w:p>
        </w:tc>
        <w:tc>
          <w:tcPr>
            <w:tcW w:w="591" w:type="pct"/>
            <w:tcBorders>
              <w:tl2br w:val="nil"/>
              <w:tr2bl w:val="nil"/>
            </w:tcBorders>
            <w:vAlign w:val="center"/>
          </w:tcPr>
          <w:p w14:paraId="4B1604E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368" w:type="pct"/>
            <w:tcBorders>
              <w:tl2br w:val="nil"/>
              <w:tr2bl w:val="nil"/>
            </w:tcBorders>
            <w:vAlign w:val="center"/>
          </w:tcPr>
          <w:p w14:paraId="4C2EE22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63</w:t>
            </w:r>
          </w:p>
        </w:tc>
        <w:tc>
          <w:tcPr>
            <w:tcW w:w="1018" w:type="pct"/>
            <w:tcBorders>
              <w:tl2br w:val="nil"/>
              <w:tr2bl w:val="nil"/>
            </w:tcBorders>
            <w:vAlign w:val="center"/>
          </w:tcPr>
          <w:p w14:paraId="1456DA9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9"/>
                <w:sz w:val="21"/>
                <w:szCs w:val="21"/>
              </w:rPr>
              <w:t>加强设备维护、选用低噪声风机</w:t>
            </w:r>
          </w:p>
        </w:tc>
        <w:tc>
          <w:tcPr>
            <w:tcW w:w="467" w:type="pct"/>
            <w:tcBorders>
              <w:tl2br w:val="nil"/>
              <w:tr2bl w:val="nil"/>
            </w:tcBorders>
            <w:vAlign w:val="center"/>
          </w:tcPr>
          <w:p w14:paraId="2B36717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2"/>
                <w:position w:val="1"/>
                <w:sz w:val="21"/>
                <w:szCs w:val="21"/>
              </w:rPr>
              <w:t>24</w:t>
            </w:r>
          </w:p>
        </w:tc>
      </w:tr>
      <w:tr w14:paraId="4A6B4B8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653E436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1"/>
                <w:sz w:val="21"/>
                <w:szCs w:val="21"/>
              </w:rPr>
              <w:t>2</w:t>
            </w:r>
          </w:p>
        </w:tc>
        <w:tc>
          <w:tcPr>
            <w:tcW w:w="482" w:type="pct"/>
            <w:tcBorders>
              <w:tl2br w:val="nil"/>
              <w:tr2bl w:val="nil"/>
            </w:tcBorders>
            <w:vAlign w:val="center"/>
          </w:tcPr>
          <w:p w14:paraId="4DC97BC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cs="Times New Roman"/>
                <w:color w:val="FF0000"/>
                <w:spacing w:val="6"/>
                <w:position w:val="1"/>
                <w:sz w:val="21"/>
                <w:szCs w:val="21"/>
              </w:rPr>
              <w:t>2#</w:t>
            </w:r>
            <w:r>
              <w:rPr>
                <w:rFonts w:hint="default" w:ascii="Times New Roman" w:hAnsi="Times New Roman" w:eastAsia="宋体" w:cs="Times New Roman"/>
                <w:color w:val="FF0000"/>
                <w:spacing w:val="6"/>
                <w:position w:val="1"/>
                <w:sz w:val="21"/>
                <w:szCs w:val="21"/>
              </w:rPr>
              <w:t>蛋鸡舍</w:t>
            </w:r>
          </w:p>
        </w:tc>
        <w:tc>
          <w:tcPr>
            <w:tcW w:w="257" w:type="pct"/>
            <w:tcBorders>
              <w:tl2br w:val="nil"/>
              <w:tr2bl w:val="nil"/>
            </w:tcBorders>
            <w:vAlign w:val="center"/>
          </w:tcPr>
          <w:p w14:paraId="49D7A98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4"/>
                <w:sz w:val="21"/>
                <w:szCs w:val="21"/>
              </w:rPr>
              <w:t>风机</w:t>
            </w:r>
          </w:p>
        </w:tc>
        <w:tc>
          <w:tcPr>
            <w:tcW w:w="357" w:type="pct"/>
            <w:vMerge w:val="continue"/>
            <w:tcBorders>
              <w:tl2br w:val="nil"/>
              <w:tr2bl w:val="nil"/>
            </w:tcBorders>
            <w:vAlign w:val="center"/>
          </w:tcPr>
          <w:p w14:paraId="5630A6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365" w:type="pct"/>
            <w:tcBorders>
              <w:tl2br w:val="nil"/>
              <w:tr2bl w:val="nil"/>
            </w:tcBorders>
            <w:vAlign w:val="center"/>
          </w:tcPr>
          <w:p w14:paraId="7367524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2"/>
                <w:sz w:val="21"/>
                <w:szCs w:val="21"/>
              </w:rPr>
              <w:t>6</w:t>
            </w:r>
          </w:p>
        </w:tc>
        <w:tc>
          <w:tcPr>
            <w:tcW w:w="912" w:type="pct"/>
            <w:tcBorders>
              <w:tl2br w:val="nil"/>
              <w:tr2bl w:val="nil"/>
            </w:tcBorders>
            <w:vAlign w:val="center"/>
          </w:tcPr>
          <w:p w14:paraId="2801E55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-21.62,74.97,1</w:t>
            </w:r>
          </w:p>
        </w:tc>
        <w:tc>
          <w:tcPr>
            <w:tcW w:w="591" w:type="pct"/>
            <w:tcBorders>
              <w:tl2br w:val="nil"/>
              <w:tr2bl w:val="nil"/>
            </w:tcBorders>
            <w:vAlign w:val="center"/>
          </w:tcPr>
          <w:p w14:paraId="331E0CD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368" w:type="pct"/>
            <w:tcBorders>
              <w:tl2br w:val="nil"/>
              <w:tr2bl w:val="nil"/>
            </w:tcBorders>
            <w:vAlign w:val="center"/>
          </w:tcPr>
          <w:p w14:paraId="359DCFE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63</w:t>
            </w:r>
          </w:p>
        </w:tc>
        <w:tc>
          <w:tcPr>
            <w:tcW w:w="1018" w:type="pct"/>
            <w:tcBorders>
              <w:tl2br w:val="nil"/>
              <w:tr2bl w:val="nil"/>
            </w:tcBorders>
            <w:vAlign w:val="center"/>
          </w:tcPr>
          <w:p w14:paraId="43059A8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9"/>
                <w:sz w:val="21"/>
                <w:szCs w:val="21"/>
              </w:rPr>
              <w:t>加强设备维护、选用低噪声风机</w:t>
            </w:r>
          </w:p>
        </w:tc>
        <w:tc>
          <w:tcPr>
            <w:tcW w:w="467" w:type="pct"/>
            <w:tcBorders>
              <w:tl2br w:val="nil"/>
              <w:tr2bl w:val="nil"/>
            </w:tcBorders>
            <w:vAlign w:val="center"/>
          </w:tcPr>
          <w:p w14:paraId="5E4B583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2"/>
                <w:position w:val="1"/>
                <w:sz w:val="21"/>
                <w:szCs w:val="21"/>
              </w:rPr>
              <w:t>24</w:t>
            </w:r>
          </w:p>
        </w:tc>
      </w:tr>
      <w:tr w14:paraId="242109C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45B46BA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2"/>
                <w:sz w:val="21"/>
                <w:szCs w:val="21"/>
              </w:rPr>
              <w:t>3</w:t>
            </w:r>
          </w:p>
        </w:tc>
        <w:tc>
          <w:tcPr>
            <w:tcW w:w="482" w:type="pct"/>
            <w:tcBorders>
              <w:tl2br w:val="nil"/>
              <w:tr2bl w:val="nil"/>
            </w:tcBorders>
            <w:vAlign w:val="center"/>
          </w:tcPr>
          <w:p w14:paraId="183C4DB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cs="Times New Roman"/>
                <w:color w:val="FF0000"/>
                <w:spacing w:val="5"/>
                <w:position w:val="1"/>
                <w:sz w:val="21"/>
                <w:szCs w:val="21"/>
              </w:rPr>
              <w:t>3#</w:t>
            </w:r>
            <w:r>
              <w:rPr>
                <w:rFonts w:hint="default" w:ascii="Times New Roman" w:hAnsi="Times New Roman" w:eastAsia="宋体" w:cs="Times New Roman"/>
                <w:color w:val="FF0000"/>
                <w:spacing w:val="5"/>
                <w:position w:val="1"/>
                <w:sz w:val="21"/>
                <w:szCs w:val="21"/>
              </w:rPr>
              <w:t>蛋鸡舍</w:t>
            </w:r>
          </w:p>
        </w:tc>
        <w:tc>
          <w:tcPr>
            <w:tcW w:w="257" w:type="pct"/>
            <w:tcBorders>
              <w:tl2br w:val="nil"/>
              <w:tr2bl w:val="nil"/>
            </w:tcBorders>
            <w:vAlign w:val="center"/>
          </w:tcPr>
          <w:p w14:paraId="484C9D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4"/>
                <w:sz w:val="21"/>
                <w:szCs w:val="21"/>
              </w:rPr>
              <w:t>风机</w:t>
            </w:r>
          </w:p>
        </w:tc>
        <w:tc>
          <w:tcPr>
            <w:tcW w:w="357" w:type="pct"/>
            <w:vMerge w:val="continue"/>
            <w:tcBorders>
              <w:tl2br w:val="nil"/>
              <w:tr2bl w:val="nil"/>
            </w:tcBorders>
            <w:vAlign w:val="center"/>
          </w:tcPr>
          <w:p w14:paraId="32A8516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365" w:type="pct"/>
            <w:tcBorders>
              <w:tl2br w:val="nil"/>
              <w:tr2bl w:val="nil"/>
            </w:tcBorders>
            <w:vAlign w:val="center"/>
          </w:tcPr>
          <w:p w14:paraId="2192EF1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2"/>
                <w:sz w:val="21"/>
                <w:szCs w:val="21"/>
              </w:rPr>
              <w:t>6</w:t>
            </w:r>
          </w:p>
        </w:tc>
        <w:tc>
          <w:tcPr>
            <w:tcW w:w="912" w:type="pct"/>
            <w:tcBorders>
              <w:tl2br w:val="nil"/>
              <w:tr2bl w:val="nil"/>
            </w:tcBorders>
            <w:vAlign w:val="center"/>
          </w:tcPr>
          <w:p w14:paraId="2A86E3D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-21.4,60.63,1</w:t>
            </w:r>
          </w:p>
        </w:tc>
        <w:tc>
          <w:tcPr>
            <w:tcW w:w="591" w:type="pct"/>
            <w:tcBorders>
              <w:tl2br w:val="nil"/>
              <w:tr2bl w:val="nil"/>
            </w:tcBorders>
            <w:vAlign w:val="center"/>
          </w:tcPr>
          <w:p w14:paraId="6F3A6CD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368" w:type="pct"/>
            <w:tcBorders>
              <w:tl2br w:val="nil"/>
              <w:tr2bl w:val="nil"/>
            </w:tcBorders>
            <w:vAlign w:val="center"/>
          </w:tcPr>
          <w:p w14:paraId="6F48693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63</w:t>
            </w:r>
          </w:p>
        </w:tc>
        <w:tc>
          <w:tcPr>
            <w:tcW w:w="1018" w:type="pct"/>
            <w:tcBorders>
              <w:tl2br w:val="nil"/>
              <w:tr2bl w:val="nil"/>
            </w:tcBorders>
            <w:vAlign w:val="center"/>
          </w:tcPr>
          <w:p w14:paraId="0DD1960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9"/>
                <w:sz w:val="21"/>
                <w:szCs w:val="21"/>
              </w:rPr>
              <w:t>加强设备维护、选用低噪声风机</w:t>
            </w:r>
          </w:p>
        </w:tc>
        <w:tc>
          <w:tcPr>
            <w:tcW w:w="467" w:type="pct"/>
            <w:tcBorders>
              <w:tl2br w:val="nil"/>
              <w:tr2bl w:val="nil"/>
            </w:tcBorders>
            <w:vAlign w:val="center"/>
          </w:tcPr>
          <w:p w14:paraId="4F2A6A6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2"/>
                <w:position w:val="1"/>
                <w:sz w:val="21"/>
                <w:szCs w:val="21"/>
              </w:rPr>
              <w:t>24</w:t>
            </w:r>
          </w:p>
        </w:tc>
      </w:tr>
      <w:tr w14:paraId="6F4CA2A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178" w:type="pct"/>
            <w:tcBorders>
              <w:tl2br w:val="nil"/>
              <w:tr2bl w:val="nil"/>
            </w:tcBorders>
            <w:vAlign w:val="center"/>
          </w:tcPr>
          <w:p w14:paraId="73A6F71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1"/>
                <w:position w:val="1"/>
                <w:sz w:val="21"/>
                <w:szCs w:val="21"/>
              </w:rPr>
              <w:t>4</w:t>
            </w:r>
          </w:p>
        </w:tc>
        <w:tc>
          <w:tcPr>
            <w:tcW w:w="482" w:type="pct"/>
            <w:tcBorders>
              <w:tl2br w:val="nil"/>
              <w:tr2bl w:val="nil"/>
            </w:tcBorders>
            <w:vAlign w:val="center"/>
          </w:tcPr>
          <w:p w14:paraId="7AA1468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cs="Times New Roman"/>
                <w:color w:val="FF0000"/>
                <w:spacing w:val="6"/>
                <w:position w:val="1"/>
                <w:sz w:val="21"/>
                <w:szCs w:val="21"/>
              </w:rPr>
              <w:t>4#</w:t>
            </w:r>
            <w:r>
              <w:rPr>
                <w:rFonts w:hint="default" w:ascii="Times New Roman" w:hAnsi="Times New Roman" w:eastAsia="宋体" w:cs="Times New Roman"/>
                <w:color w:val="FF0000"/>
                <w:spacing w:val="6"/>
                <w:position w:val="1"/>
                <w:sz w:val="21"/>
                <w:szCs w:val="21"/>
              </w:rPr>
              <w:t>蛋鸡舍</w:t>
            </w:r>
          </w:p>
        </w:tc>
        <w:tc>
          <w:tcPr>
            <w:tcW w:w="257" w:type="pct"/>
            <w:tcBorders>
              <w:tl2br w:val="nil"/>
              <w:tr2bl w:val="nil"/>
            </w:tcBorders>
            <w:vAlign w:val="center"/>
          </w:tcPr>
          <w:p w14:paraId="3D56E8D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4"/>
                <w:sz w:val="21"/>
                <w:szCs w:val="21"/>
              </w:rPr>
              <w:t>风机</w:t>
            </w:r>
          </w:p>
        </w:tc>
        <w:tc>
          <w:tcPr>
            <w:tcW w:w="357" w:type="pct"/>
            <w:vMerge w:val="continue"/>
            <w:tcBorders>
              <w:tl2br w:val="nil"/>
              <w:tr2bl w:val="nil"/>
            </w:tcBorders>
            <w:vAlign w:val="center"/>
          </w:tcPr>
          <w:p w14:paraId="6A50F56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365" w:type="pct"/>
            <w:tcBorders>
              <w:tl2br w:val="nil"/>
              <w:tr2bl w:val="nil"/>
            </w:tcBorders>
            <w:vAlign w:val="center"/>
          </w:tcPr>
          <w:p w14:paraId="6805986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2"/>
                <w:sz w:val="21"/>
                <w:szCs w:val="21"/>
              </w:rPr>
              <w:t>6</w:t>
            </w:r>
          </w:p>
        </w:tc>
        <w:tc>
          <w:tcPr>
            <w:tcW w:w="912" w:type="pct"/>
            <w:tcBorders>
              <w:tl2br w:val="nil"/>
              <w:tr2bl w:val="nil"/>
            </w:tcBorders>
            <w:vAlign w:val="center"/>
          </w:tcPr>
          <w:p w14:paraId="6964B39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-21.83,43.9,1</w:t>
            </w:r>
          </w:p>
        </w:tc>
        <w:tc>
          <w:tcPr>
            <w:tcW w:w="591" w:type="pct"/>
            <w:tcBorders>
              <w:tl2br w:val="nil"/>
              <w:tr2bl w:val="nil"/>
            </w:tcBorders>
            <w:vAlign w:val="center"/>
          </w:tcPr>
          <w:p w14:paraId="52E47AA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368" w:type="pct"/>
            <w:tcBorders>
              <w:tl2br w:val="nil"/>
              <w:tr2bl w:val="nil"/>
            </w:tcBorders>
            <w:vAlign w:val="center"/>
          </w:tcPr>
          <w:p w14:paraId="7F332CB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63</w:t>
            </w:r>
          </w:p>
        </w:tc>
        <w:tc>
          <w:tcPr>
            <w:tcW w:w="1018" w:type="pct"/>
            <w:tcBorders>
              <w:tl2br w:val="nil"/>
              <w:tr2bl w:val="nil"/>
            </w:tcBorders>
            <w:vAlign w:val="center"/>
          </w:tcPr>
          <w:p w14:paraId="44CCCA3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9"/>
                <w:sz w:val="21"/>
                <w:szCs w:val="21"/>
              </w:rPr>
              <w:t>加强设备维护、选用低噪声风机</w:t>
            </w:r>
          </w:p>
        </w:tc>
        <w:tc>
          <w:tcPr>
            <w:tcW w:w="467" w:type="pct"/>
            <w:tcBorders>
              <w:tl2br w:val="nil"/>
              <w:tr2bl w:val="nil"/>
            </w:tcBorders>
            <w:vAlign w:val="center"/>
          </w:tcPr>
          <w:p w14:paraId="0CDB3C6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2"/>
                <w:position w:val="1"/>
                <w:sz w:val="21"/>
                <w:szCs w:val="21"/>
              </w:rPr>
              <w:t>24</w:t>
            </w:r>
          </w:p>
        </w:tc>
      </w:tr>
      <w:tr w14:paraId="26183A2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5D128D0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5</w:t>
            </w:r>
          </w:p>
        </w:tc>
        <w:tc>
          <w:tcPr>
            <w:tcW w:w="482" w:type="pct"/>
            <w:tcBorders>
              <w:tl2br w:val="nil"/>
              <w:tr2bl w:val="nil"/>
            </w:tcBorders>
            <w:vAlign w:val="center"/>
          </w:tcPr>
          <w:p w14:paraId="7B2E5E1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cs="Times New Roman"/>
                <w:color w:val="FF0000"/>
                <w:spacing w:val="5"/>
                <w:position w:val="1"/>
                <w:sz w:val="21"/>
                <w:szCs w:val="21"/>
              </w:rPr>
              <w:t>5#</w:t>
            </w:r>
            <w:r>
              <w:rPr>
                <w:rFonts w:hint="default" w:ascii="Times New Roman" w:hAnsi="Times New Roman" w:eastAsia="宋体" w:cs="Times New Roman"/>
                <w:color w:val="FF0000"/>
                <w:spacing w:val="5"/>
                <w:position w:val="1"/>
                <w:sz w:val="21"/>
                <w:szCs w:val="21"/>
              </w:rPr>
              <w:t>蛋鸡舍</w:t>
            </w:r>
          </w:p>
        </w:tc>
        <w:tc>
          <w:tcPr>
            <w:tcW w:w="257" w:type="pct"/>
            <w:tcBorders>
              <w:tl2br w:val="nil"/>
              <w:tr2bl w:val="nil"/>
            </w:tcBorders>
            <w:vAlign w:val="center"/>
          </w:tcPr>
          <w:p w14:paraId="5D6E69C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4"/>
                <w:sz w:val="21"/>
                <w:szCs w:val="21"/>
              </w:rPr>
              <w:t>风机</w:t>
            </w:r>
          </w:p>
        </w:tc>
        <w:tc>
          <w:tcPr>
            <w:tcW w:w="357" w:type="pct"/>
            <w:vMerge w:val="continue"/>
            <w:tcBorders>
              <w:tl2br w:val="nil"/>
              <w:tr2bl w:val="nil"/>
            </w:tcBorders>
            <w:vAlign w:val="center"/>
          </w:tcPr>
          <w:p w14:paraId="48045DD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365" w:type="pct"/>
            <w:tcBorders>
              <w:tl2br w:val="nil"/>
              <w:tr2bl w:val="nil"/>
            </w:tcBorders>
            <w:vAlign w:val="center"/>
          </w:tcPr>
          <w:p w14:paraId="5F16D9C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2"/>
                <w:sz w:val="21"/>
                <w:szCs w:val="21"/>
              </w:rPr>
              <w:t>6</w:t>
            </w:r>
          </w:p>
        </w:tc>
        <w:tc>
          <w:tcPr>
            <w:tcW w:w="912" w:type="pct"/>
            <w:tcBorders>
              <w:tl2br w:val="nil"/>
              <w:tr2bl w:val="nil"/>
            </w:tcBorders>
            <w:vAlign w:val="center"/>
          </w:tcPr>
          <w:p w14:paraId="486A699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-21.62,28.7,1</w:t>
            </w:r>
          </w:p>
        </w:tc>
        <w:tc>
          <w:tcPr>
            <w:tcW w:w="591" w:type="pct"/>
            <w:tcBorders>
              <w:tl2br w:val="nil"/>
              <w:tr2bl w:val="nil"/>
            </w:tcBorders>
            <w:vAlign w:val="center"/>
          </w:tcPr>
          <w:p w14:paraId="22116FE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368" w:type="pct"/>
            <w:tcBorders>
              <w:tl2br w:val="nil"/>
              <w:tr2bl w:val="nil"/>
            </w:tcBorders>
            <w:vAlign w:val="center"/>
          </w:tcPr>
          <w:p w14:paraId="3C6F8E3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63</w:t>
            </w:r>
          </w:p>
        </w:tc>
        <w:tc>
          <w:tcPr>
            <w:tcW w:w="1018" w:type="pct"/>
            <w:tcBorders>
              <w:tl2br w:val="nil"/>
              <w:tr2bl w:val="nil"/>
            </w:tcBorders>
            <w:vAlign w:val="center"/>
          </w:tcPr>
          <w:p w14:paraId="1F9B695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9"/>
                <w:sz w:val="21"/>
                <w:szCs w:val="21"/>
              </w:rPr>
              <w:t>加强设备维护、选用低噪声风机</w:t>
            </w:r>
          </w:p>
        </w:tc>
        <w:tc>
          <w:tcPr>
            <w:tcW w:w="467" w:type="pct"/>
            <w:tcBorders>
              <w:tl2br w:val="nil"/>
              <w:tr2bl w:val="nil"/>
            </w:tcBorders>
            <w:vAlign w:val="center"/>
          </w:tcPr>
          <w:p w14:paraId="4CB657D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2"/>
                <w:position w:val="1"/>
                <w:sz w:val="21"/>
                <w:szCs w:val="21"/>
              </w:rPr>
              <w:t>24</w:t>
            </w:r>
          </w:p>
        </w:tc>
      </w:tr>
      <w:tr w14:paraId="7E7E56D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32B0F9A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2"/>
                <w:sz w:val="21"/>
                <w:szCs w:val="21"/>
              </w:rPr>
              <w:t>6</w:t>
            </w:r>
          </w:p>
        </w:tc>
        <w:tc>
          <w:tcPr>
            <w:tcW w:w="482" w:type="pct"/>
            <w:tcBorders>
              <w:tl2br w:val="nil"/>
              <w:tr2bl w:val="nil"/>
            </w:tcBorders>
            <w:vAlign w:val="center"/>
          </w:tcPr>
          <w:p w14:paraId="4DBF0E6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cs="Times New Roman"/>
                <w:color w:val="FF0000"/>
                <w:spacing w:val="5"/>
                <w:position w:val="1"/>
                <w:sz w:val="21"/>
                <w:szCs w:val="21"/>
              </w:rPr>
              <w:t>6#</w:t>
            </w:r>
            <w:r>
              <w:rPr>
                <w:rFonts w:hint="default" w:ascii="Times New Roman" w:hAnsi="Times New Roman" w:eastAsia="宋体" w:cs="Times New Roman"/>
                <w:color w:val="FF0000"/>
                <w:spacing w:val="5"/>
                <w:position w:val="1"/>
                <w:sz w:val="21"/>
                <w:szCs w:val="21"/>
              </w:rPr>
              <w:t>蛋鸡舍</w:t>
            </w:r>
          </w:p>
        </w:tc>
        <w:tc>
          <w:tcPr>
            <w:tcW w:w="257" w:type="pct"/>
            <w:tcBorders>
              <w:tl2br w:val="nil"/>
              <w:tr2bl w:val="nil"/>
            </w:tcBorders>
            <w:vAlign w:val="center"/>
          </w:tcPr>
          <w:p w14:paraId="22E8ED6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4"/>
                <w:sz w:val="21"/>
                <w:szCs w:val="21"/>
              </w:rPr>
              <w:t>风机</w:t>
            </w:r>
          </w:p>
        </w:tc>
        <w:tc>
          <w:tcPr>
            <w:tcW w:w="357" w:type="pct"/>
            <w:vMerge w:val="continue"/>
            <w:tcBorders>
              <w:tl2br w:val="nil"/>
              <w:tr2bl w:val="nil"/>
            </w:tcBorders>
            <w:vAlign w:val="center"/>
          </w:tcPr>
          <w:p w14:paraId="7F3ABAA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365" w:type="pct"/>
            <w:tcBorders>
              <w:tl2br w:val="nil"/>
              <w:tr2bl w:val="nil"/>
            </w:tcBorders>
            <w:vAlign w:val="center"/>
          </w:tcPr>
          <w:p w14:paraId="6DA0CFD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2"/>
                <w:sz w:val="21"/>
                <w:szCs w:val="21"/>
              </w:rPr>
              <w:t>6</w:t>
            </w:r>
          </w:p>
        </w:tc>
        <w:tc>
          <w:tcPr>
            <w:tcW w:w="912" w:type="pct"/>
            <w:tcBorders>
              <w:tl2br w:val="nil"/>
              <w:tr2bl w:val="nil"/>
            </w:tcBorders>
            <w:vAlign w:val="center"/>
          </w:tcPr>
          <w:p w14:paraId="7AD59DE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-21.83,13.71,1</w:t>
            </w:r>
          </w:p>
        </w:tc>
        <w:tc>
          <w:tcPr>
            <w:tcW w:w="591" w:type="pct"/>
            <w:tcBorders>
              <w:tl2br w:val="nil"/>
              <w:tr2bl w:val="nil"/>
            </w:tcBorders>
            <w:vAlign w:val="center"/>
          </w:tcPr>
          <w:p w14:paraId="2E4A3AF7">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368" w:type="pct"/>
            <w:tcBorders>
              <w:tl2br w:val="nil"/>
              <w:tr2bl w:val="nil"/>
            </w:tcBorders>
            <w:vAlign w:val="center"/>
          </w:tcPr>
          <w:p w14:paraId="675041C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63</w:t>
            </w:r>
          </w:p>
        </w:tc>
        <w:tc>
          <w:tcPr>
            <w:tcW w:w="1018" w:type="pct"/>
            <w:tcBorders>
              <w:tl2br w:val="nil"/>
              <w:tr2bl w:val="nil"/>
            </w:tcBorders>
            <w:vAlign w:val="center"/>
          </w:tcPr>
          <w:p w14:paraId="1CE03D1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pacing w:val="9"/>
                <w:sz w:val="21"/>
                <w:szCs w:val="21"/>
              </w:rPr>
              <w:t>加强设备维护、选用低噪声风机</w:t>
            </w:r>
          </w:p>
        </w:tc>
        <w:tc>
          <w:tcPr>
            <w:tcW w:w="467" w:type="pct"/>
            <w:tcBorders>
              <w:tl2br w:val="nil"/>
              <w:tr2bl w:val="nil"/>
            </w:tcBorders>
            <w:vAlign w:val="center"/>
          </w:tcPr>
          <w:p w14:paraId="54FAA91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pacing w:val="2"/>
                <w:position w:val="1"/>
                <w:sz w:val="21"/>
                <w:szCs w:val="21"/>
              </w:rPr>
              <w:t>24</w:t>
            </w:r>
          </w:p>
        </w:tc>
      </w:tr>
      <w:tr w14:paraId="4414748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8" w:type="pct"/>
            <w:tcBorders>
              <w:tl2br w:val="nil"/>
              <w:tr2bl w:val="nil"/>
            </w:tcBorders>
            <w:vAlign w:val="center"/>
          </w:tcPr>
          <w:p w14:paraId="321C50C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7</w:t>
            </w:r>
          </w:p>
        </w:tc>
        <w:tc>
          <w:tcPr>
            <w:tcW w:w="482" w:type="pct"/>
            <w:tcBorders>
              <w:tl2br w:val="nil"/>
              <w:tr2bl w:val="nil"/>
            </w:tcBorders>
            <w:shd w:val="clear" w:color="auto" w:fill="auto"/>
            <w:vAlign w:val="center"/>
          </w:tcPr>
          <w:p w14:paraId="3F5D6560">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FF0000"/>
                <w:kern w:val="0"/>
                <w:sz w:val="21"/>
                <w:szCs w:val="21"/>
                <w:lang w:val="en-US" w:eastAsia="en-US" w:bidi="ar-SA"/>
              </w:rPr>
            </w:pPr>
            <w:r>
              <w:rPr>
                <w:rFonts w:hint="default" w:ascii="Times New Roman" w:hAnsi="Times New Roman" w:cs="Times New Roman"/>
                <w:color w:val="FF0000"/>
                <w:spacing w:val="2"/>
                <w:position w:val="1"/>
                <w:sz w:val="21"/>
                <w:szCs w:val="21"/>
              </w:rPr>
              <w:t>1#</w:t>
            </w:r>
            <w:r>
              <w:rPr>
                <w:rFonts w:hint="default" w:ascii="Times New Roman" w:hAnsi="Times New Roman" w:eastAsia="宋体" w:cs="Times New Roman"/>
                <w:color w:val="FF0000"/>
                <w:spacing w:val="2"/>
                <w:position w:val="1"/>
                <w:sz w:val="21"/>
                <w:szCs w:val="21"/>
              </w:rPr>
              <w:t>育雏舍</w:t>
            </w:r>
          </w:p>
        </w:tc>
        <w:tc>
          <w:tcPr>
            <w:tcW w:w="257" w:type="pct"/>
            <w:tcBorders>
              <w:tl2br w:val="nil"/>
              <w:tr2bl w:val="nil"/>
            </w:tcBorders>
            <w:shd w:val="clear" w:color="auto" w:fill="auto"/>
            <w:vAlign w:val="center"/>
          </w:tcPr>
          <w:p w14:paraId="648F836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FF0000"/>
                <w:kern w:val="0"/>
                <w:sz w:val="21"/>
                <w:szCs w:val="21"/>
                <w:lang w:val="en-US" w:eastAsia="en-US" w:bidi="ar-SA"/>
              </w:rPr>
            </w:pPr>
            <w:r>
              <w:rPr>
                <w:rFonts w:hint="default" w:ascii="Times New Roman" w:hAnsi="Times New Roman" w:eastAsia="宋体" w:cs="Times New Roman"/>
                <w:color w:val="FF0000"/>
                <w:spacing w:val="4"/>
                <w:sz w:val="21"/>
                <w:szCs w:val="21"/>
              </w:rPr>
              <w:t>风机</w:t>
            </w:r>
          </w:p>
        </w:tc>
        <w:tc>
          <w:tcPr>
            <w:tcW w:w="357" w:type="pct"/>
            <w:vMerge w:val="continue"/>
            <w:tcBorders>
              <w:tl2br w:val="nil"/>
              <w:tr2bl w:val="nil"/>
            </w:tcBorders>
            <w:shd w:val="clear" w:color="auto" w:fill="auto"/>
            <w:vAlign w:val="center"/>
          </w:tcPr>
          <w:p w14:paraId="42BF87C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365" w:type="pct"/>
            <w:tcBorders>
              <w:tl2br w:val="nil"/>
              <w:tr2bl w:val="nil"/>
            </w:tcBorders>
            <w:shd w:val="clear" w:color="auto" w:fill="auto"/>
            <w:vAlign w:val="center"/>
          </w:tcPr>
          <w:p w14:paraId="746D9540">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Times New Roman" w:cs="Times New Roman"/>
                <w:snapToGrid w:val="0"/>
                <w:color w:val="FF0000"/>
                <w:kern w:val="0"/>
                <w:sz w:val="21"/>
                <w:szCs w:val="21"/>
                <w:lang w:val="en-US" w:eastAsia="en-US" w:bidi="ar-SA"/>
              </w:rPr>
            </w:pPr>
            <w:r>
              <w:rPr>
                <w:rFonts w:hint="default" w:ascii="Times New Roman" w:hAnsi="Times New Roman" w:cs="Times New Roman"/>
                <w:color w:val="FF0000"/>
                <w:position w:val="2"/>
                <w:sz w:val="21"/>
                <w:szCs w:val="21"/>
              </w:rPr>
              <w:t>8</w:t>
            </w:r>
          </w:p>
        </w:tc>
        <w:tc>
          <w:tcPr>
            <w:tcW w:w="912" w:type="pct"/>
            <w:tcBorders>
              <w:tl2br w:val="nil"/>
              <w:tr2bl w:val="nil"/>
            </w:tcBorders>
            <w:shd w:val="clear" w:color="auto" w:fill="auto"/>
            <w:vAlign w:val="center"/>
          </w:tcPr>
          <w:p w14:paraId="7111873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lang w:val="en-US" w:eastAsia="en-US"/>
              </w:rPr>
            </w:pPr>
            <w:r>
              <w:rPr>
                <w:rFonts w:hint="default" w:ascii="Times New Roman" w:hAnsi="Times New Roman" w:eastAsia="宋体" w:cs="Times New Roman"/>
                <w:color w:val="FF0000"/>
                <w:sz w:val="21"/>
                <w:szCs w:val="21"/>
              </w:rPr>
              <w:t>-33.02,-82.05,1</w:t>
            </w:r>
          </w:p>
        </w:tc>
        <w:tc>
          <w:tcPr>
            <w:tcW w:w="591" w:type="pct"/>
            <w:tcBorders>
              <w:tl2br w:val="nil"/>
              <w:tr2bl w:val="nil"/>
            </w:tcBorders>
            <w:shd w:val="clear" w:color="auto" w:fill="auto"/>
            <w:vAlign w:val="center"/>
          </w:tcPr>
          <w:p w14:paraId="2263025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lang w:val="en-US" w:eastAsia="en-US"/>
              </w:rPr>
            </w:pPr>
            <w:r>
              <w:rPr>
                <w:rFonts w:hint="default" w:ascii="Times New Roman" w:hAnsi="Times New Roman" w:eastAsia="宋体" w:cs="Times New Roman"/>
                <w:color w:val="FF0000"/>
                <w:sz w:val="21"/>
                <w:szCs w:val="21"/>
              </w:rPr>
              <w:t>/</w:t>
            </w:r>
          </w:p>
        </w:tc>
        <w:tc>
          <w:tcPr>
            <w:tcW w:w="368" w:type="pct"/>
            <w:tcBorders>
              <w:tl2br w:val="nil"/>
              <w:tr2bl w:val="nil"/>
            </w:tcBorders>
            <w:shd w:val="clear" w:color="auto" w:fill="auto"/>
            <w:vAlign w:val="center"/>
          </w:tcPr>
          <w:p w14:paraId="3B1344E4">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lang w:val="en-US" w:eastAsia="en-US"/>
              </w:rPr>
            </w:pPr>
            <w:r>
              <w:rPr>
                <w:rFonts w:hint="default" w:ascii="Times New Roman" w:hAnsi="Times New Roman" w:eastAsia="宋体" w:cs="Times New Roman"/>
                <w:color w:val="FF0000"/>
                <w:sz w:val="21"/>
                <w:szCs w:val="21"/>
              </w:rPr>
              <w:t>64</w:t>
            </w:r>
          </w:p>
        </w:tc>
        <w:tc>
          <w:tcPr>
            <w:tcW w:w="1018" w:type="pct"/>
            <w:tcBorders>
              <w:tl2br w:val="nil"/>
              <w:tr2bl w:val="nil"/>
            </w:tcBorders>
            <w:shd w:val="clear" w:color="auto" w:fill="auto"/>
            <w:vAlign w:val="center"/>
          </w:tcPr>
          <w:p w14:paraId="08BB48C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FF0000"/>
                <w:kern w:val="0"/>
                <w:sz w:val="21"/>
                <w:szCs w:val="21"/>
                <w:lang w:val="en-US" w:eastAsia="en-US" w:bidi="ar-SA"/>
              </w:rPr>
            </w:pPr>
            <w:r>
              <w:rPr>
                <w:rFonts w:hint="default" w:ascii="Times New Roman" w:hAnsi="Times New Roman" w:eastAsia="宋体" w:cs="Times New Roman"/>
                <w:color w:val="FF0000"/>
                <w:spacing w:val="9"/>
                <w:sz w:val="21"/>
                <w:szCs w:val="21"/>
              </w:rPr>
              <w:t>加强设备维护、选用低噪声风机</w:t>
            </w:r>
          </w:p>
        </w:tc>
        <w:tc>
          <w:tcPr>
            <w:tcW w:w="467" w:type="pct"/>
            <w:tcBorders>
              <w:tl2br w:val="nil"/>
              <w:tr2bl w:val="nil"/>
            </w:tcBorders>
            <w:shd w:val="clear" w:color="auto" w:fill="auto"/>
            <w:vAlign w:val="center"/>
          </w:tcPr>
          <w:p w14:paraId="2000F861">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Times New Roman" w:cs="Times New Roman"/>
                <w:snapToGrid w:val="0"/>
                <w:color w:val="FF0000"/>
                <w:kern w:val="0"/>
                <w:sz w:val="21"/>
                <w:szCs w:val="21"/>
                <w:lang w:val="en-US" w:eastAsia="en-US" w:bidi="ar-SA"/>
              </w:rPr>
            </w:pPr>
            <w:r>
              <w:rPr>
                <w:rFonts w:hint="default" w:ascii="Times New Roman" w:hAnsi="Times New Roman" w:cs="Times New Roman"/>
                <w:color w:val="FF0000"/>
                <w:spacing w:val="2"/>
                <w:position w:val="1"/>
                <w:sz w:val="21"/>
                <w:szCs w:val="21"/>
              </w:rPr>
              <w:t>24</w:t>
            </w:r>
          </w:p>
        </w:tc>
      </w:tr>
      <w:tr w14:paraId="689054B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78" w:type="pct"/>
            <w:tcBorders>
              <w:tl2br w:val="nil"/>
              <w:tr2bl w:val="nil"/>
            </w:tcBorders>
            <w:vAlign w:val="center"/>
          </w:tcPr>
          <w:p w14:paraId="31B818E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FF0000"/>
                <w:position w:val="2"/>
                <w:sz w:val="21"/>
                <w:szCs w:val="21"/>
              </w:rPr>
              <w:t>8</w:t>
            </w:r>
          </w:p>
        </w:tc>
        <w:tc>
          <w:tcPr>
            <w:tcW w:w="482" w:type="pct"/>
            <w:tcBorders>
              <w:tl2br w:val="nil"/>
              <w:tr2bl w:val="nil"/>
            </w:tcBorders>
            <w:shd w:val="clear" w:color="auto" w:fill="auto"/>
            <w:vAlign w:val="center"/>
          </w:tcPr>
          <w:p w14:paraId="011860AA">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FF0000"/>
                <w:kern w:val="0"/>
                <w:sz w:val="21"/>
                <w:szCs w:val="21"/>
                <w:lang w:val="en-US" w:eastAsia="en-US" w:bidi="ar-SA"/>
              </w:rPr>
            </w:pPr>
            <w:r>
              <w:rPr>
                <w:rFonts w:hint="default" w:ascii="Times New Roman" w:hAnsi="Times New Roman" w:cs="Times New Roman"/>
                <w:color w:val="FF0000"/>
                <w:spacing w:val="6"/>
                <w:position w:val="1"/>
                <w:sz w:val="21"/>
                <w:szCs w:val="21"/>
              </w:rPr>
              <w:t>2#</w:t>
            </w:r>
            <w:r>
              <w:rPr>
                <w:rFonts w:hint="default" w:ascii="Times New Roman" w:hAnsi="Times New Roman" w:eastAsia="宋体" w:cs="Times New Roman"/>
                <w:color w:val="FF0000"/>
                <w:spacing w:val="6"/>
                <w:position w:val="1"/>
                <w:sz w:val="21"/>
                <w:szCs w:val="21"/>
              </w:rPr>
              <w:t>育雏舍</w:t>
            </w:r>
          </w:p>
        </w:tc>
        <w:tc>
          <w:tcPr>
            <w:tcW w:w="257" w:type="pct"/>
            <w:tcBorders>
              <w:tl2br w:val="nil"/>
              <w:tr2bl w:val="nil"/>
            </w:tcBorders>
            <w:shd w:val="clear" w:color="auto" w:fill="auto"/>
            <w:vAlign w:val="center"/>
          </w:tcPr>
          <w:p w14:paraId="6E48CF6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FF0000"/>
                <w:kern w:val="0"/>
                <w:sz w:val="21"/>
                <w:szCs w:val="21"/>
                <w:lang w:val="en-US" w:eastAsia="en-US" w:bidi="ar-SA"/>
              </w:rPr>
            </w:pPr>
            <w:r>
              <w:rPr>
                <w:rFonts w:hint="default" w:ascii="Times New Roman" w:hAnsi="Times New Roman" w:eastAsia="宋体" w:cs="Times New Roman"/>
                <w:color w:val="FF0000"/>
                <w:spacing w:val="4"/>
                <w:sz w:val="21"/>
                <w:szCs w:val="21"/>
              </w:rPr>
              <w:t>风机</w:t>
            </w:r>
          </w:p>
        </w:tc>
        <w:tc>
          <w:tcPr>
            <w:tcW w:w="357" w:type="pct"/>
            <w:vMerge w:val="continue"/>
            <w:tcBorders>
              <w:tl2br w:val="nil"/>
              <w:tr2bl w:val="nil"/>
            </w:tcBorders>
            <w:vAlign w:val="center"/>
          </w:tcPr>
          <w:p w14:paraId="36C4FED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FF0000"/>
                <w:sz w:val="21"/>
                <w:szCs w:val="21"/>
              </w:rPr>
            </w:pPr>
          </w:p>
        </w:tc>
        <w:tc>
          <w:tcPr>
            <w:tcW w:w="365" w:type="pct"/>
            <w:tcBorders>
              <w:tl2br w:val="nil"/>
              <w:tr2bl w:val="nil"/>
            </w:tcBorders>
            <w:shd w:val="clear" w:color="auto" w:fill="auto"/>
            <w:vAlign w:val="center"/>
          </w:tcPr>
          <w:p w14:paraId="68C5E4D6">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Times New Roman" w:cs="Times New Roman"/>
                <w:snapToGrid w:val="0"/>
                <w:color w:val="FF0000"/>
                <w:kern w:val="0"/>
                <w:sz w:val="21"/>
                <w:szCs w:val="21"/>
                <w:lang w:val="en-US" w:eastAsia="en-US" w:bidi="ar-SA"/>
              </w:rPr>
            </w:pPr>
            <w:r>
              <w:rPr>
                <w:rFonts w:hint="default" w:ascii="Times New Roman" w:hAnsi="Times New Roman" w:cs="Times New Roman"/>
                <w:color w:val="FF0000"/>
                <w:position w:val="2"/>
                <w:sz w:val="21"/>
                <w:szCs w:val="21"/>
              </w:rPr>
              <w:t>8</w:t>
            </w:r>
          </w:p>
        </w:tc>
        <w:tc>
          <w:tcPr>
            <w:tcW w:w="912" w:type="pct"/>
            <w:tcBorders>
              <w:tl2br w:val="nil"/>
              <w:tr2bl w:val="nil"/>
            </w:tcBorders>
            <w:shd w:val="clear" w:color="auto" w:fill="auto"/>
            <w:vAlign w:val="center"/>
          </w:tcPr>
          <w:p w14:paraId="5F02AC3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lang w:val="en-US" w:eastAsia="en-US"/>
              </w:rPr>
            </w:pPr>
            <w:r>
              <w:rPr>
                <w:rFonts w:hint="default" w:ascii="Times New Roman" w:hAnsi="Times New Roman" w:eastAsia="宋体" w:cs="Times New Roman"/>
                <w:color w:val="FF0000"/>
                <w:sz w:val="21"/>
                <w:szCs w:val="21"/>
              </w:rPr>
              <w:t>-33.61,-97.31,1</w:t>
            </w:r>
          </w:p>
        </w:tc>
        <w:tc>
          <w:tcPr>
            <w:tcW w:w="591" w:type="pct"/>
            <w:tcBorders>
              <w:tl2br w:val="nil"/>
              <w:tr2bl w:val="nil"/>
            </w:tcBorders>
            <w:shd w:val="clear" w:color="auto" w:fill="auto"/>
            <w:vAlign w:val="center"/>
          </w:tcPr>
          <w:p w14:paraId="5FD59ABA">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lang w:val="en-US" w:eastAsia="en-US"/>
              </w:rPr>
            </w:pPr>
            <w:r>
              <w:rPr>
                <w:rFonts w:hint="default" w:ascii="Times New Roman" w:hAnsi="Times New Roman" w:eastAsia="宋体" w:cs="Times New Roman"/>
                <w:color w:val="FF0000"/>
                <w:sz w:val="21"/>
                <w:szCs w:val="21"/>
              </w:rPr>
              <w:t>/</w:t>
            </w:r>
          </w:p>
        </w:tc>
        <w:tc>
          <w:tcPr>
            <w:tcW w:w="368" w:type="pct"/>
            <w:tcBorders>
              <w:tl2br w:val="nil"/>
              <w:tr2bl w:val="nil"/>
            </w:tcBorders>
            <w:shd w:val="clear" w:color="auto" w:fill="auto"/>
            <w:vAlign w:val="center"/>
          </w:tcPr>
          <w:p w14:paraId="5BF6297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lang w:val="en-US" w:eastAsia="en-US"/>
              </w:rPr>
            </w:pPr>
            <w:r>
              <w:rPr>
                <w:rFonts w:hint="default" w:ascii="Times New Roman" w:hAnsi="Times New Roman" w:eastAsia="宋体" w:cs="Times New Roman"/>
                <w:color w:val="FF0000"/>
                <w:sz w:val="21"/>
                <w:szCs w:val="21"/>
              </w:rPr>
              <w:t>64</w:t>
            </w:r>
          </w:p>
        </w:tc>
        <w:tc>
          <w:tcPr>
            <w:tcW w:w="1018" w:type="pct"/>
            <w:tcBorders>
              <w:tl2br w:val="nil"/>
              <w:tr2bl w:val="nil"/>
            </w:tcBorders>
            <w:shd w:val="clear" w:color="auto" w:fill="auto"/>
            <w:vAlign w:val="center"/>
          </w:tcPr>
          <w:p w14:paraId="77F4FFA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FF0000"/>
                <w:kern w:val="0"/>
                <w:sz w:val="21"/>
                <w:szCs w:val="21"/>
                <w:lang w:val="en-US" w:eastAsia="en-US" w:bidi="ar-SA"/>
              </w:rPr>
            </w:pPr>
            <w:r>
              <w:rPr>
                <w:rFonts w:hint="default" w:ascii="Times New Roman" w:hAnsi="Times New Roman" w:eastAsia="宋体" w:cs="Times New Roman"/>
                <w:color w:val="FF0000"/>
                <w:spacing w:val="9"/>
                <w:sz w:val="21"/>
                <w:szCs w:val="21"/>
              </w:rPr>
              <w:t>加强设备维护、选用低噪声风机</w:t>
            </w:r>
          </w:p>
        </w:tc>
        <w:tc>
          <w:tcPr>
            <w:tcW w:w="467" w:type="pct"/>
            <w:tcBorders>
              <w:tl2br w:val="nil"/>
              <w:tr2bl w:val="nil"/>
            </w:tcBorders>
            <w:shd w:val="clear" w:color="auto" w:fill="auto"/>
            <w:vAlign w:val="center"/>
          </w:tcPr>
          <w:p w14:paraId="04AE8B4A">
            <w:pPr>
              <w:pStyle w:val="113"/>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Times New Roman" w:cs="Times New Roman"/>
                <w:snapToGrid w:val="0"/>
                <w:color w:val="FF0000"/>
                <w:kern w:val="0"/>
                <w:sz w:val="21"/>
                <w:szCs w:val="21"/>
                <w:lang w:val="en-US" w:eastAsia="en-US" w:bidi="ar-SA"/>
              </w:rPr>
            </w:pPr>
            <w:r>
              <w:rPr>
                <w:rFonts w:hint="default" w:ascii="Times New Roman" w:hAnsi="Times New Roman" w:cs="Times New Roman"/>
                <w:color w:val="FF0000"/>
                <w:spacing w:val="2"/>
                <w:position w:val="1"/>
                <w:sz w:val="21"/>
                <w:szCs w:val="21"/>
              </w:rPr>
              <w:t>24</w:t>
            </w:r>
          </w:p>
        </w:tc>
      </w:tr>
    </w:tbl>
    <w:p w14:paraId="614157E5">
      <w:pPr>
        <w:pStyle w:val="14"/>
        <w:spacing w:before="36" w:line="212" w:lineRule="auto"/>
        <w:rPr>
          <w:rFonts w:hint="default" w:ascii="Times New Roman" w:hAnsi="Times New Roman" w:eastAsia="宋体" w:cs="Times New Roman"/>
          <w:color w:val="FF0000"/>
          <w:sz w:val="21"/>
          <w:szCs w:val="21"/>
        </w:rPr>
      </w:pPr>
      <w:r>
        <w:rPr>
          <w:rFonts w:hint="default" w:ascii="Times New Roman" w:hAnsi="Times New Roman" w:cs="Times New Roman"/>
          <w:color w:val="FF0000"/>
        </w:rPr>
        <w:t xml:space="preserve">表 </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16</w:t>
      </w:r>
      <w:r>
        <w:rPr>
          <w:rFonts w:hint="default" w:ascii="Times New Roman" w:hAnsi="Times New Roman" w:cs="Times New Roman"/>
          <w:color w:val="FF0000"/>
        </w:rPr>
        <w:fldChar w:fldCharType="end"/>
      </w:r>
      <w:r>
        <w:rPr>
          <w:rFonts w:hint="default" w:ascii="Times New Roman" w:hAnsi="Times New Roman" w:eastAsia="宋体" w:cs="Times New Roman"/>
          <w:b/>
          <w:bCs/>
          <w:color w:val="FF0000"/>
          <w:spacing w:val="-2"/>
          <w:sz w:val="21"/>
          <w:szCs w:val="21"/>
        </w:rPr>
        <w:t>项目工业企业噪声源强调查清单（室内声源）</w:t>
      </w:r>
    </w:p>
    <w:tbl>
      <w:tblPr>
        <w:tblStyle w:val="76"/>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
        <w:gridCol w:w="195"/>
        <w:gridCol w:w="374"/>
        <w:gridCol w:w="440"/>
        <w:gridCol w:w="1177"/>
        <w:gridCol w:w="614"/>
        <w:gridCol w:w="1097"/>
        <w:gridCol w:w="1312"/>
        <w:gridCol w:w="330"/>
        <w:gridCol w:w="609"/>
        <w:gridCol w:w="582"/>
        <w:gridCol w:w="542"/>
        <w:gridCol w:w="434"/>
        <w:gridCol w:w="387"/>
      </w:tblGrid>
      <w:tr w14:paraId="2ECF9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3" w:type="pct"/>
            <w:vMerge w:val="restart"/>
            <w:tcBorders>
              <w:bottom w:val="nil"/>
            </w:tcBorders>
            <w:vAlign w:val="center"/>
          </w:tcPr>
          <w:p w14:paraId="15BCCD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4"/>
                <w:sz w:val="21"/>
                <w:szCs w:val="21"/>
              </w:rPr>
              <w:t>序号</w:t>
            </w:r>
          </w:p>
        </w:tc>
        <w:tc>
          <w:tcPr>
            <w:tcW w:w="117" w:type="pct"/>
            <w:vMerge w:val="restart"/>
            <w:tcBorders>
              <w:bottom w:val="nil"/>
            </w:tcBorders>
            <w:vAlign w:val="center"/>
          </w:tcPr>
          <w:p w14:paraId="1BB272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4"/>
                <w:sz w:val="21"/>
                <w:szCs w:val="21"/>
              </w:rPr>
              <w:t>声源名</w:t>
            </w:r>
            <w:r>
              <w:rPr>
                <w:rFonts w:hint="default" w:ascii="Times New Roman" w:hAnsi="Times New Roman" w:eastAsia="宋体" w:cs="Times New Roman"/>
                <w:color w:val="FF0000"/>
                <w:sz w:val="21"/>
                <w:szCs w:val="21"/>
              </w:rPr>
              <w:t xml:space="preserve"> </w:t>
            </w:r>
            <w:r>
              <w:rPr>
                <w:rFonts w:hint="default" w:ascii="Times New Roman" w:hAnsi="Times New Roman" w:eastAsia="宋体" w:cs="Times New Roman"/>
                <w:b/>
                <w:bCs/>
                <w:color w:val="FF0000"/>
                <w:spacing w:val="-1"/>
                <w:sz w:val="21"/>
                <w:szCs w:val="21"/>
              </w:rPr>
              <w:t>称</w:t>
            </w:r>
          </w:p>
        </w:tc>
        <w:tc>
          <w:tcPr>
            <w:tcW w:w="224" w:type="pct"/>
            <w:vMerge w:val="restart"/>
            <w:tcBorders>
              <w:bottom w:val="nil"/>
            </w:tcBorders>
            <w:vAlign w:val="center"/>
          </w:tcPr>
          <w:p w14:paraId="4073249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z w:val="21"/>
                <w:szCs w:val="21"/>
              </w:rPr>
              <w:t>型号</w:t>
            </w:r>
          </w:p>
        </w:tc>
        <w:tc>
          <w:tcPr>
            <w:tcW w:w="264" w:type="pct"/>
            <w:vMerge w:val="restart"/>
            <w:tcBorders>
              <w:bottom w:val="nil"/>
            </w:tcBorders>
            <w:vAlign w:val="center"/>
          </w:tcPr>
          <w:p w14:paraId="5A114BC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2"/>
                <w:sz w:val="21"/>
                <w:szCs w:val="21"/>
              </w:rPr>
              <w:t>设备</w:t>
            </w:r>
          </w:p>
          <w:p w14:paraId="156FB26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3"/>
                <w:sz w:val="21"/>
                <w:szCs w:val="21"/>
              </w:rPr>
              <w:t>数量</w:t>
            </w:r>
          </w:p>
        </w:tc>
        <w:tc>
          <w:tcPr>
            <w:tcW w:w="1074" w:type="pct"/>
            <w:gridSpan w:val="2"/>
            <w:vAlign w:val="center"/>
          </w:tcPr>
          <w:p w14:paraId="7FA6AE7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声</w:t>
            </w:r>
            <w:r>
              <w:rPr>
                <w:rFonts w:hint="eastAsia" w:ascii="Times New Roman" w:hAnsi="Times New Roman" w:cs="Times New Roman"/>
                <w:b/>
                <w:bCs/>
                <w:color w:val="FF0000"/>
                <w:spacing w:val="5"/>
                <w:sz w:val="21"/>
                <w:szCs w:val="21"/>
                <w:lang w:eastAsia="zh-CN"/>
              </w:rPr>
              <w:t>源</w:t>
            </w:r>
            <w:r>
              <w:rPr>
                <w:rFonts w:hint="default" w:ascii="Times New Roman" w:hAnsi="Times New Roman" w:eastAsia="宋体" w:cs="Times New Roman"/>
                <w:b/>
                <w:bCs/>
                <w:color w:val="FF0000"/>
                <w:spacing w:val="5"/>
                <w:sz w:val="21"/>
                <w:szCs w:val="21"/>
              </w:rPr>
              <w:t>强</w:t>
            </w:r>
          </w:p>
        </w:tc>
        <w:tc>
          <w:tcPr>
            <w:tcW w:w="657" w:type="pct"/>
            <w:vMerge w:val="restart"/>
            <w:tcBorders>
              <w:bottom w:val="nil"/>
            </w:tcBorders>
            <w:vAlign w:val="center"/>
          </w:tcPr>
          <w:p w14:paraId="43A4569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声源控制措施</w:t>
            </w:r>
          </w:p>
        </w:tc>
        <w:tc>
          <w:tcPr>
            <w:tcW w:w="787" w:type="pct"/>
            <w:vAlign w:val="center"/>
          </w:tcPr>
          <w:p w14:paraId="4F38199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eastAsia="宋体" w:cs="Times New Roman"/>
                <w:b/>
                <w:bCs/>
                <w:color w:val="FF0000"/>
                <w:spacing w:val="5"/>
                <w:sz w:val="21"/>
                <w:szCs w:val="21"/>
              </w:rPr>
              <w:t>空间相对位置</w:t>
            </w:r>
            <w:r>
              <w:rPr>
                <w:rFonts w:hint="default" w:ascii="Times New Roman" w:hAnsi="Times New Roman" w:cs="Times New Roman"/>
                <w:b/>
                <w:bCs/>
                <w:color w:val="FF0000"/>
                <w:spacing w:val="5"/>
                <w:sz w:val="21"/>
                <w:szCs w:val="21"/>
              </w:rPr>
              <w:t>/m</w:t>
            </w:r>
          </w:p>
        </w:tc>
        <w:tc>
          <w:tcPr>
            <w:tcW w:w="198" w:type="pct"/>
            <w:vMerge w:val="restart"/>
            <w:tcBorders>
              <w:bottom w:val="nil"/>
            </w:tcBorders>
            <w:vAlign w:val="center"/>
          </w:tcPr>
          <w:p w14:paraId="120BDCB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距室内</w:t>
            </w:r>
          </w:p>
          <w:p w14:paraId="32DBEB7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边界距</w:t>
            </w:r>
          </w:p>
          <w:p w14:paraId="4AFC6236">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eastAsia="宋体" w:cs="Times New Roman"/>
                <w:b/>
                <w:bCs/>
                <w:color w:val="FF0000"/>
                <w:spacing w:val="1"/>
                <w:sz w:val="21"/>
                <w:szCs w:val="21"/>
              </w:rPr>
              <w:t>离</w:t>
            </w:r>
            <w:r>
              <w:rPr>
                <w:rFonts w:hint="default" w:ascii="Times New Roman" w:hAnsi="Times New Roman" w:cs="Times New Roman"/>
                <w:b/>
                <w:bCs/>
                <w:color w:val="FF0000"/>
                <w:spacing w:val="1"/>
                <w:sz w:val="21"/>
                <w:szCs w:val="21"/>
              </w:rPr>
              <w:t>/m</w:t>
            </w:r>
          </w:p>
        </w:tc>
        <w:tc>
          <w:tcPr>
            <w:tcW w:w="365" w:type="pct"/>
            <w:vMerge w:val="restart"/>
            <w:tcBorders>
              <w:bottom w:val="nil"/>
            </w:tcBorders>
            <w:vAlign w:val="center"/>
          </w:tcPr>
          <w:p w14:paraId="184FE40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室内边界</w:t>
            </w:r>
          </w:p>
          <w:p w14:paraId="45ED1E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1"/>
                <w:sz w:val="21"/>
                <w:szCs w:val="21"/>
              </w:rPr>
              <w:t>声级</w:t>
            </w:r>
          </w:p>
          <w:p w14:paraId="062D86F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b/>
                <w:bCs/>
                <w:color w:val="FF0000"/>
                <w:spacing w:val="6"/>
                <w:sz w:val="21"/>
                <w:szCs w:val="21"/>
              </w:rPr>
              <w:t>/</w:t>
            </w:r>
            <w:r>
              <w:rPr>
                <w:rFonts w:hint="default" w:ascii="Times New Roman" w:hAnsi="Times New Roman" w:cs="Times New Roman"/>
                <w:b/>
                <w:bCs/>
                <w:color w:val="FF0000"/>
                <w:sz w:val="21"/>
                <w:szCs w:val="21"/>
              </w:rPr>
              <w:t>dB</w:t>
            </w:r>
            <w:r>
              <w:rPr>
                <w:rFonts w:hint="eastAsia" w:ascii="Times New Roman" w:hAnsi="Times New Roman" w:eastAsia="宋体" w:cs="Times New Roman"/>
                <w:b/>
                <w:bCs/>
                <w:color w:val="FF0000"/>
                <w:spacing w:val="6"/>
                <w:sz w:val="21"/>
                <w:szCs w:val="21"/>
                <w:lang w:eastAsia="zh-CN"/>
              </w:rPr>
              <w:t>（</w:t>
            </w:r>
            <w:r>
              <w:rPr>
                <w:rFonts w:hint="default" w:ascii="Times New Roman" w:hAnsi="Times New Roman" w:cs="Times New Roman"/>
                <w:b/>
                <w:bCs/>
                <w:color w:val="FF0000"/>
                <w:spacing w:val="6"/>
                <w:sz w:val="21"/>
                <w:szCs w:val="21"/>
              </w:rPr>
              <w:t>A)</w:t>
            </w:r>
          </w:p>
        </w:tc>
        <w:tc>
          <w:tcPr>
            <w:tcW w:w="349" w:type="pct"/>
            <w:vMerge w:val="restart"/>
            <w:tcBorders>
              <w:bottom w:val="nil"/>
            </w:tcBorders>
            <w:vAlign w:val="center"/>
          </w:tcPr>
          <w:p w14:paraId="5F6631A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p w14:paraId="7FA4E1F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13"/>
                <w:sz w:val="21"/>
                <w:szCs w:val="21"/>
              </w:rPr>
              <w:t>运行时</w:t>
            </w:r>
            <w:r>
              <w:rPr>
                <w:rFonts w:hint="default" w:ascii="Times New Roman" w:hAnsi="Times New Roman" w:eastAsia="宋体" w:cs="Times New Roman"/>
                <w:color w:val="FF0000"/>
                <w:sz w:val="21"/>
                <w:szCs w:val="21"/>
              </w:rPr>
              <w:t xml:space="preserve">  </w:t>
            </w:r>
            <w:r>
              <w:rPr>
                <w:rFonts w:hint="default" w:ascii="Times New Roman" w:hAnsi="Times New Roman" w:eastAsia="宋体" w:cs="Times New Roman"/>
                <w:b/>
                <w:bCs/>
                <w:color w:val="FF0000"/>
                <w:spacing w:val="-21"/>
                <w:sz w:val="21"/>
                <w:szCs w:val="21"/>
              </w:rPr>
              <w:t>段（</w:t>
            </w:r>
            <w:r>
              <w:rPr>
                <w:rFonts w:hint="default" w:ascii="Times New Roman" w:hAnsi="Times New Roman" w:cs="Times New Roman"/>
                <w:b/>
                <w:bCs/>
                <w:color w:val="FF0000"/>
                <w:spacing w:val="-21"/>
                <w:sz w:val="21"/>
                <w:szCs w:val="21"/>
              </w:rPr>
              <w:t>h/d</w:t>
            </w:r>
            <w:r>
              <w:rPr>
                <w:rFonts w:hint="default" w:ascii="Times New Roman" w:hAnsi="Times New Roman" w:eastAsia="宋体" w:cs="Times New Roman"/>
                <w:b/>
                <w:bCs/>
                <w:color w:val="FF0000"/>
                <w:spacing w:val="-21"/>
                <w:sz w:val="21"/>
                <w:szCs w:val="21"/>
              </w:rPr>
              <w:t>）</w:t>
            </w:r>
          </w:p>
        </w:tc>
        <w:tc>
          <w:tcPr>
            <w:tcW w:w="325" w:type="pct"/>
            <w:vMerge w:val="restart"/>
            <w:tcBorders>
              <w:bottom w:val="nil"/>
            </w:tcBorders>
            <w:vAlign w:val="center"/>
          </w:tcPr>
          <w:p w14:paraId="5F2EEB8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5"/>
                <w:sz w:val="21"/>
                <w:szCs w:val="21"/>
              </w:rPr>
              <w:t>建筑物插</w:t>
            </w:r>
          </w:p>
          <w:p w14:paraId="1D1887C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eastAsia="宋体" w:cs="Times New Roman"/>
                <w:b/>
                <w:bCs/>
                <w:color w:val="FF0000"/>
                <w:spacing w:val="5"/>
                <w:sz w:val="21"/>
                <w:szCs w:val="21"/>
              </w:rPr>
              <w:t>入损失</w:t>
            </w:r>
            <w:r>
              <w:rPr>
                <w:rFonts w:hint="default" w:ascii="Times New Roman" w:hAnsi="Times New Roman" w:eastAsia="宋体" w:cs="Times New Roman"/>
                <w:color w:val="FF0000"/>
                <w:spacing w:val="5"/>
                <w:sz w:val="21"/>
                <w:szCs w:val="21"/>
              </w:rPr>
              <w:t xml:space="preserve"> </w:t>
            </w:r>
            <w:r>
              <w:rPr>
                <w:rFonts w:hint="default" w:ascii="Times New Roman" w:hAnsi="Times New Roman" w:cs="Times New Roman"/>
                <w:b/>
                <w:bCs/>
                <w:color w:val="FF0000"/>
                <w:spacing w:val="5"/>
                <w:sz w:val="21"/>
                <w:szCs w:val="21"/>
              </w:rPr>
              <w:t>/</w:t>
            </w:r>
            <w:r>
              <w:rPr>
                <w:rFonts w:hint="default" w:ascii="Times New Roman" w:hAnsi="Times New Roman" w:cs="Times New Roman"/>
                <w:b/>
                <w:bCs/>
                <w:color w:val="FF0000"/>
                <w:sz w:val="21"/>
                <w:szCs w:val="21"/>
              </w:rPr>
              <w:t xml:space="preserve"> dB</w:t>
            </w:r>
            <w:r>
              <w:rPr>
                <w:rFonts w:hint="eastAsia" w:ascii="Times New Roman" w:hAnsi="Times New Roman" w:eastAsia="宋体" w:cs="Times New Roman"/>
                <w:b/>
                <w:bCs/>
                <w:color w:val="FF0000"/>
                <w:spacing w:val="4"/>
                <w:sz w:val="21"/>
                <w:szCs w:val="21"/>
                <w:lang w:eastAsia="zh-CN"/>
              </w:rPr>
              <w:t>（</w:t>
            </w:r>
            <w:r>
              <w:rPr>
                <w:rFonts w:hint="default" w:ascii="Times New Roman" w:hAnsi="Times New Roman" w:cs="Times New Roman"/>
                <w:b/>
                <w:bCs/>
                <w:color w:val="FF0000"/>
                <w:spacing w:val="4"/>
                <w:sz w:val="21"/>
                <w:szCs w:val="21"/>
              </w:rPr>
              <w:t>A)</w:t>
            </w:r>
          </w:p>
        </w:tc>
        <w:tc>
          <w:tcPr>
            <w:tcW w:w="492" w:type="pct"/>
            <w:gridSpan w:val="2"/>
            <w:vAlign w:val="center"/>
          </w:tcPr>
          <w:p w14:paraId="3130CAB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6"/>
                <w:sz w:val="21"/>
                <w:szCs w:val="21"/>
              </w:rPr>
              <w:t>建筑外噪声</w:t>
            </w:r>
          </w:p>
        </w:tc>
      </w:tr>
      <w:tr w14:paraId="2F83E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143" w:type="pct"/>
            <w:vMerge w:val="continue"/>
            <w:tcBorders>
              <w:top w:val="nil"/>
            </w:tcBorders>
            <w:vAlign w:val="center"/>
          </w:tcPr>
          <w:p w14:paraId="620F780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117" w:type="pct"/>
            <w:vMerge w:val="continue"/>
            <w:tcBorders>
              <w:top w:val="nil"/>
            </w:tcBorders>
            <w:vAlign w:val="center"/>
          </w:tcPr>
          <w:p w14:paraId="792ED15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224" w:type="pct"/>
            <w:vMerge w:val="continue"/>
            <w:tcBorders>
              <w:top w:val="nil"/>
            </w:tcBorders>
            <w:vAlign w:val="center"/>
          </w:tcPr>
          <w:p w14:paraId="4E0A360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264" w:type="pct"/>
            <w:vMerge w:val="continue"/>
            <w:tcBorders>
              <w:top w:val="nil"/>
            </w:tcBorders>
            <w:vAlign w:val="center"/>
          </w:tcPr>
          <w:p w14:paraId="0028A08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705" w:type="pct"/>
            <w:vAlign w:val="center"/>
          </w:tcPr>
          <w:p w14:paraId="1E63007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4"/>
                <w:sz w:val="21"/>
                <w:szCs w:val="21"/>
              </w:rPr>
              <w:t>（声压级</w:t>
            </w:r>
            <w:r>
              <w:rPr>
                <w:rFonts w:hint="default" w:ascii="Times New Roman" w:hAnsi="Times New Roman" w:cs="Times New Roman"/>
                <w:b/>
                <w:bCs/>
                <w:color w:val="FF0000"/>
                <w:spacing w:val="4"/>
                <w:sz w:val="21"/>
                <w:szCs w:val="21"/>
              </w:rPr>
              <w:t>/</w:t>
            </w:r>
            <w:r>
              <w:rPr>
                <w:rFonts w:hint="default" w:ascii="Times New Roman" w:hAnsi="Times New Roman" w:eastAsia="宋体" w:cs="Times New Roman"/>
                <w:b/>
                <w:bCs/>
                <w:color w:val="FF0000"/>
                <w:spacing w:val="4"/>
                <w:sz w:val="21"/>
                <w:szCs w:val="21"/>
              </w:rPr>
              <w:t>距</w:t>
            </w:r>
          </w:p>
          <w:p w14:paraId="776AB1D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eastAsia="宋体" w:cs="Times New Roman"/>
                <w:b/>
                <w:bCs/>
                <w:color w:val="FF0000"/>
                <w:spacing w:val="5"/>
                <w:sz w:val="21"/>
                <w:szCs w:val="21"/>
              </w:rPr>
              <w:t>声源距离）</w:t>
            </w:r>
            <w:r>
              <w:rPr>
                <w:rFonts w:hint="default" w:ascii="Times New Roman" w:hAnsi="Times New Roman" w:cs="Times New Roman"/>
                <w:b/>
                <w:bCs/>
                <w:color w:val="FF0000"/>
                <w:spacing w:val="5"/>
                <w:sz w:val="21"/>
                <w:szCs w:val="21"/>
              </w:rPr>
              <w:t>/</w:t>
            </w:r>
          </w:p>
          <w:p w14:paraId="3B1E423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3"/>
                <w:sz w:val="21"/>
                <w:szCs w:val="21"/>
              </w:rPr>
              <w:t>（</w:t>
            </w:r>
            <w:r>
              <w:rPr>
                <w:rFonts w:hint="default" w:ascii="Times New Roman" w:hAnsi="Times New Roman" w:cs="Times New Roman"/>
                <w:b/>
                <w:bCs/>
                <w:color w:val="FF0000"/>
                <w:sz w:val="21"/>
                <w:szCs w:val="21"/>
              </w:rPr>
              <w:t>dB</w:t>
            </w:r>
            <w:r>
              <w:rPr>
                <w:rFonts w:hint="eastAsia" w:ascii="Times New Roman" w:hAnsi="Times New Roman" w:eastAsia="宋体" w:cs="Times New Roman"/>
                <w:b/>
                <w:bCs/>
                <w:color w:val="FF0000"/>
                <w:spacing w:val="3"/>
                <w:sz w:val="21"/>
                <w:szCs w:val="21"/>
                <w:lang w:eastAsia="zh-CN"/>
              </w:rPr>
              <w:t>（</w:t>
            </w:r>
            <w:r>
              <w:rPr>
                <w:rFonts w:hint="default" w:ascii="Times New Roman" w:hAnsi="Times New Roman" w:cs="Times New Roman"/>
                <w:b/>
                <w:bCs/>
                <w:color w:val="FF0000"/>
                <w:spacing w:val="3"/>
                <w:sz w:val="21"/>
                <w:szCs w:val="21"/>
              </w:rPr>
              <w:t>A)/m</w:t>
            </w:r>
            <w:r>
              <w:rPr>
                <w:rFonts w:hint="default" w:ascii="Times New Roman" w:hAnsi="Times New Roman" w:eastAsia="宋体" w:cs="Times New Roman"/>
                <w:b/>
                <w:bCs/>
                <w:color w:val="FF0000"/>
                <w:spacing w:val="3"/>
                <w:sz w:val="21"/>
                <w:szCs w:val="21"/>
              </w:rPr>
              <w:t>）</w:t>
            </w:r>
          </w:p>
        </w:tc>
        <w:tc>
          <w:tcPr>
            <w:tcW w:w="368" w:type="pct"/>
            <w:vAlign w:val="center"/>
          </w:tcPr>
          <w:p w14:paraId="15FC53F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4"/>
                <w:sz w:val="21"/>
                <w:szCs w:val="21"/>
              </w:rPr>
              <w:t>声功率</w:t>
            </w:r>
          </w:p>
          <w:p w14:paraId="4426FA9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3"/>
                <w:sz w:val="21"/>
                <w:szCs w:val="21"/>
              </w:rPr>
              <w:t>级</w:t>
            </w:r>
          </w:p>
          <w:p w14:paraId="7E36907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b/>
                <w:bCs/>
                <w:color w:val="FF0000"/>
                <w:spacing w:val="6"/>
                <w:sz w:val="21"/>
                <w:szCs w:val="21"/>
              </w:rPr>
              <w:t>/</w:t>
            </w:r>
            <w:r>
              <w:rPr>
                <w:rFonts w:hint="default" w:ascii="Times New Roman" w:hAnsi="Times New Roman" w:cs="Times New Roman"/>
                <w:b/>
                <w:bCs/>
                <w:color w:val="FF0000"/>
                <w:sz w:val="21"/>
                <w:szCs w:val="21"/>
              </w:rPr>
              <w:t>dB</w:t>
            </w:r>
            <w:r>
              <w:rPr>
                <w:rFonts w:hint="eastAsia" w:ascii="Times New Roman" w:hAnsi="Times New Roman" w:eastAsia="宋体" w:cs="Times New Roman"/>
                <w:b/>
                <w:bCs/>
                <w:color w:val="FF0000"/>
                <w:spacing w:val="6"/>
                <w:sz w:val="21"/>
                <w:szCs w:val="21"/>
                <w:lang w:eastAsia="zh-CN"/>
              </w:rPr>
              <w:t>（</w:t>
            </w:r>
            <w:r>
              <w:rPr>
                <w:rFonts w:hint="default" w:ascii="Times New Roman" w:hAnsi="Times New Roman" w:cs="Times New Roman"/>
                <w:b/>
                <w:bCs/>
                <w:color w:val="FF0000"/>
                <w:spacing w:val="6"/>
                <w:sz w:val="21"/>
                <w:szCs w:val="21"/>
              </w:rPr>
              <w:t>A)</w:t>
            </w:r>
          </w:p>
        </w:tc>
        <w:tc>
          <w:tcPr>
            <w:tcW w:w="657" w:type="pct"/>
            <w:vMerge w:val="continue"/>
            <w:tcBorders>
              <w:top w:val="nil"/>
            </w:tcBorders>
            <w:vAlign w:val="center"/>
          </w:tcPr>
          <w:p w14:paraId="3204D5E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787" w:type="pct"/>
            <w:vAlign w:val="center"/>
          </w:tcPr>
          <w:p w14:paraId="2F884C3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cs="Times New Roman"/>
                <w:b/>
                <w:bCs/>
                <w:color w:val="FF0000"/>
                <w:spacing w:val="4"/>
                <w:sz w:val="21"/>
                <w:szCs w:val="21"/>
              </w:rPr>
              <w:t>X,Y,Z</w:t>
            </w:r>
          </w:p>
        </w:tc>
        <w:tc>
          <w:tcPr>
            <w:tcW w:w="198" w:type="pct"/>
            <w:vMerge w:val="continue"/>
            <w:tcBorders>
              <w:top w:val="nil"/>
            </w:tcBorders>
            <w:vAlign w:val="center"/>
          </w:tcPr>
          <w:p w14:paraId="1033C6D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365" w:type="pct"/>
            <w:vMerge w:val="continue"/>
            <w:tcBorders>
              <w:top w:val="nil"/>
            </w:tcBorders>
            <w:vAlign w:val="center"/>
          </w:tcPr>
          <w:p w14:paraId="4BC42B4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349" w:type="pct"/>
            <w:vMerge w:val="continue"/>
            <w:tcBorders>
              <w:top w:val="nil"/>
            </w:tcBorders>
            <w:vAlign w:val="center"/>
          </w:tcPr>
          <w:p w14:paraId="78393C3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325" w:type="pct"/>
            <w:vMerge w:val="continue"/>
            <w:tcBorders>
              <w:top w:val="nil"/>
            </w:tcBorders>
            <w:vAlign w:val="center"/>
          </w:tcPr>
          <w:p w14:paraId="66899C7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p>
        </w:tc>
        <w:tc>
          <w:tcPr>
            <w:tcW w:w="260" w:type="pct"/>
            <w:vAlign w:val="center"/>
          </w:tcPr>
          <w:p w14:paraId="44826E0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cs="Times New Roman"/>
                <w:color w:val="FF0000"/>
                <w:sz w:val="21"/>
                <w:szCs w:val="21"/>
              </w:rPr>
            </w:pPr>
            <w:r>
              <w:rPr>
                <w:rFonts w:hint="default" w:ascii="Times New Roman" w:hAnsi="Times New Roman" w:eastAsia="宋体" w:cs="Times New Roman"/>
                <w:b/>
                <w:bCs/>
                <w:color w:val="FF0000"/>
                <w:spacing w:val="4"/>
                <w:sz w:val="21"/>
                <w:szCs w:val="21"/>
              </w:rPr>
              <w:t>声压级</w:t>
            </w:r>
            <w:r>
              <w:rPr>
                <w:rFonts w:hint="default" w:ascii="Times New Roman" w:hAnsi="Times New Roman" w:eastAsia="宋体" w:cs="Times New Roman"/>
                <w:color w:val="FF0000"/>
                <w:sz w:val="21"/>
                <w:szCs w:val="21"/>
              </w:rPr>
              <w:t xml:space="preserve"> </w:t>
            </w:r>
            <w:r>
              <w:rPr>
                <w:rFonts w:hint="default" w:ascii="Times New Roman" w:hAnsi="Times New Roman" w:cs="Times New Roman"/>
                <w:b/>
                <w:bCs/>
                <w:color w:val="FF0000"/>
                <w:spacing w:val="6"/>
                <w:sz w:val="21"/>
                <w:szCs w:val="21"/>
              </w:rPr>
              <w:t>/</w:t>
            </w:r>
            <w:r>
              <w:rPr>
                <w:rFonts w:hint="default" w:ascii="Times New Roman" w:hAnsi="Times New Roman" w:cs="Times New Roman"/>
                <w:b/>
                <w:bCs/>
                <w:color w:val="FF0000"/>
                <w:sz w:val="21"/>
                <w:szCs w:val="21"/>
              </w:rPr>
              <w:t>dB</w:t>
            </w:r>
            <w:r>
              <w:rPr>
                <w:rFonts w:hint="eastAsia" w:ascii="Times New Roman" w:hAnsi="Times New Roman" w:eastAsia="宋体" w:cs="Times New Roman"/>
                <w:b/>
                <w:bCs/>
                <w:color w:val="FF0000"/>
                <w:spacing w:val="6"/>
                <w:sz w:val="21"/>
                <w:szCs w:val="21"/>
                <w:lang w:eastAsia="zh-CN"/>
              </w:rPr>
              <w:t>（</w:t>
            </w:r>
            <w:r>
              <w:rPr>
                <w:rFonts w:hint="default" w:ascii="Times New Roman" w:hAnsi="Times New Roman" w:cs="Times New Roman"/>
                <w:b/>
                <w:bCs/>
                <w:color w:val="FF0000"/>
                <w:spacing w:val="6"/>
                <w:sz w:val="21"/>
                <w:szCs w:val="21"/>
              </w:rPr>
              <w:t>A)</w:t>
            </w:r>
          </w:p>
        </w:tc>
        <w:tc>
          <w:tcPr>
            <w:tcW w:w="232" w:type="pct"/>
            <w:vAlign w:val="center"/>
          </w:tcPr>
          <w:p w14:paraId="0C0C34D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4"/>
                <w:sz w:val="21"/>
                <w:szCs w:val="21"/>
              </w:rPr>
              <w:t>建筑物</w:t>
            </w:r>
          </w:p>
          <w:p w14:paraId="7D19E2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b/>
                <w:bCs/>
                <w:color w:val="FF0000"/>
                <w:spacing w:val="4"/>
                <w:sz w:val="21"/>
                <w:szCs w:val="21"/>
              </w:rPr>
              <w:t>外距离</w:t>
            </w:r>
          </w:p>
        </w:tc>
      </w:tr>
      <w:tr w14:paraId="08A51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43" w:type="pct"/>
            <w:vAlign w:val="center"/>
          </w:tcPr>
          <w:p w14:paraId="3B11F4C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w:t>
            </w:r>
          </w:p>
        </w:tc>
        <w:tc>
          <w:tcPr>
            <w:tcW w:w="117" w:type="pct"/>
            <w:vAlign w:val="center"/>
          </w:tcPr>
          <w:p w14:paraId="2C02D0B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粉碎机</w:t>
            </w:r>
          </w:p>
        </w:tc>
        <w:tc>
          <w:tcPr>
            <w:tcW w:w="224" w:type="pct"/>
            <w:vAlign w:val="center"/>
          </w:tcPr>
          <w:p w14:paraId="48392A7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264" w:type="pct"/>
            <w:vAlign w:val="center"/>
          </w:tcPr>
          <w:p w14:paraId="1B504968">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w:t>
            </w:r>
          </w:p>
        </w:tc>
        <w:tc>
          <w:tcPr>
            <w:tcW w:w="705" w:type="pct"/>
            <w:vAlign w:val="center"/>
          </w:tcPr>
          <w:p w14:paraId="7E441B42">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368" w:type="pct"/>
            <w:vAlign w:val="center"/>
          </w:tcPr>
          <w:p w14:paraId="41B1F47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75</w:t>
            </w:r>
          </w:p>
        </w:tc>
        <w:tc>
          <w:tcPr>
            <w:tcW w:w="657" w:type="pct"/>
            <w:vAlign w:val="center"/>
          </w:tcPr>
          <w:p w14:paraId="149E57A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建筑隔声、距离衰减</w:t>
            </w:r>
          </w:p>
        </w:tc>
        <w:tc>
          <w:tcPr>
            <w:tcW w:w="787" w:type="pct"/>
            <w:vAlign w:val="center"/>
          </w:tcPr>
          <w:p w14:paraId="42FEDA3F">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-127.18,53.84, 1</w:t>
            </w:r>
          </w:p>
        </w:tc>
        <w:tc>
          <w:tcPr>
            <w:tcW w:w="198" w:type="pct"/>
            <w:vAlign w:val="center"/>
          </w:tcPr>
          <w:p w14:paraId="7BB5269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w:t>
            </w:r>
          </w:p>
        </w:tc>
        <w:tc>
          <w:tcPr>
            <w:tcW w:w="365" w:type="pct"/>
            <w:vAlign w:val="center"/>
          </w:tcPr>
          <w:p w14:paraId="49E1D68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66</w:t>
            </w:r>
          </w:p>
        </w:tc>
        <w:tc>
          <w:tcPr>
            <w:tcW w:w="349" w:type="pct"/>
            <w:vAlign w:val="center"/>
          </w:tcPr>
          <w:p w14:paraId="407D519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24</w:t>
            </w:r>
          </w:p>
        </w:tc>
        <w:tc>
          <w:tcPr>
            <w:tcW w:w="325" w:type="pct"/>
            <w:vAlign w:val="center"/>
          </w:tcPr>
          <w:p w14:paraId="03D5187B">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w:t>
            </w:r>
          </w:p>
        </w:tc>
        <w:tc>
          <w:tcPr>
            <w:tcW w:w="260" w:type="pct"/>
            <w:vAlign w:val="center"/>
          </w:tcPr>
          <w:p w14:paraId="1229E31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51</w:t>
            </w:r>
          </w:p>
        </w:tc>
        <w:tc>
          <w:tcPr>
            <w:tcW w:w="232" w:type="pct"/>
            <w:vAlign w:val="center"/>
          </w:tcPr>
          <w:p w14:paraId="561FC6B3">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w:t>
            </w:r>
          </w:p>
        </w:tc>
      </w:tr>
      <w:tr w14:paraId="5577B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43" w:type="pct"/>
            <w:vAlign w:val="center"/>
          </w:tcPr>
          <w:p w14:paraId="72A75F91">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w:t>
            </w:r>
          </w:p>
        </w:tc>
        <w:tc>
          <w:tcPr>
            <w:tcW w:w="117" w:type="pct"/>
            <w:vAlign w:val="center"/>
          </w:tcPr>
          <w:p w14:paraId="6CE2474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cs="Times New Roman"/>
                <w:color w:val="FF0000"/>
                <w:sz w:val="21"/>
                <w:szCs w:val="21"/>
                <w:lang w:val="en-US" w:eastAsia="zh-CN" w:bidi="ar-SA"/>
              </w:rPr>
              <w:t>搅拌机</w:t>
            </w:r>
          </w:p>
        </w:tc>
        <w:tc>
          <w:tcPr>
            <w:tcW w:w="224" w:type="pct"/>
            <w:vAlign w:val="center"/>
          </w:tcPr>
          <w:p w14:paraId="7267239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264" w:type="pct"/>
            <w:vAlign w:val="center"/>
          </w:tcPr>
          <w:p w14:paraId="71AD731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val="en-US" w:eastAsia="zh-CN"/>
              </w:rPr>
              <w:t>1</w:t>
            </w:r>
          </w:p>
        </w:tc>
        <w:tc>
          <w:tcPr>
            <w:tcW w:w="705" w:type="pct"/>
            <w:vAlign w:val="center"/>
          </w:tcPr>
          <w:p w14:paraId="04A49C4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368" w:type="pct"/>
            <w:vAlign w:val="center"/>
          </w:tcPr>
          <w:p w14:paraId="4FDF28D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93</w:t>
            </w:r>
          </w:p>
        </w:tc>
        <w:tc>
          <w:tcPr>
            <w:tcW w:w="657" w:type="pct"/>
            <w:vAlign w:val="center"/>
          </w:tcPr>
          <w:p w14:paraId="187FEC10">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建筑隔声、距离衰减</w:t>
            </w:r>
          </w:p>
        </w:tc>
        <w:tc>
          <w:tcPr>
            <w:tcW w:w="787" w:type="pct"/>
            <w:vAlign w:val="center"/>
          </w:tcPr>
          <w:p w14:paraId="6F434D3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-127.66,-38.19, 1</w:t>
            </w:r>
          </w:p>
        </w:tc>
        <w:tc>
          <w:tcPr>
            <w:tcW w:w="198" w:type="pct"/>
            <w:vAlign w:val="center"/>
          </w:tcPr>
          <w:p w14:paraId="70962405">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w:t>
            </w:r>
          </w:p>
        </w:tc>
        <w:tc>
          <w:tcPr>
            <w:tcW w:w="365" w:type="pct"/>
            <w:vAlign w:val="center"/>
          </w:tcPr>
          <w:p w14:paraId="60060829">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84</w:t>
            </w:r>
          </w:p>
        </w:tc>
        <w:tc>
          <w:tcPr>
            <w:tcW w:w="349" w:type="pct"/>
            <w:vAlign w:val="center"/>
          </w:tcPr>
          <w:p w14:paraId="0E6C1BC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325" w:type="pct"/>
            <w:vAlign w:val="center"/>
          </w:tcPr>
          <w:p w14:paraId="5A37169C">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w:t>
            </w:r>
          </w:p>
        </w:tc>
        <w:tc>
          <w:tcPr>
            <w:tcW w:w="260" w:type="pct"/>
            <w:vAlign w:val="center"/>
          </w:tcPr>
          <w:p w14:paraId="07D0B9AE">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69</w:t>
            </w:r>
          </w:p>
        </w:tc>
        <w:tc>
          <w:tcPr>
            <w:tcW w:w="232" w:type="pct"/>
            <w:vAlign w:val="center"/>
          </w:tcPr>
          <w:p w14:paraId="1462967D">
            <w:pPr>
              <w:pStyle w:val="113"/>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w:t>
            </w:r>
          </w:p>
        </w:tc>
      </w:tr>
    </w:tbl>
    <w:p w14:paraId="4B057F4D">
      <w:pPr>
        <w:rPr>
          <w:rFonts w:hint="default" w:ascii="Times New Roman" w:hAnsi="Times New Roman" w:cs="Times New Roman"/>
          <w:b w:val="0"/>
          <w:bCs w:val="0"/>
          <w:color w:val="FF0000"/>
          <w:sz w:val="21"/>
          <w:szCs w:val="21"/>
        </w:rPr>
      </w:pPr>
    </w:p>
    <w:p w14:paraId="1049406E">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lang w:eastAsia="zh-CN"/>
        </w:rPr>
      </w:pP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2</w:t>
      </w:r>
      <w:r>
        <w:rPr>
          <w:rFonts w:hint="default" w:ascii="Times New Roman" w:hAnsi="Times New Roman" w:cs="Times New Roman"/>
          <w:color w:val="FF0000"/>
          <w:lang w:eastAsia="zh-CN"/>
        </w:rPr>
        <w:t>）预测模式</w:t>
      </w:r>
    </w:p>
    <w:p w14:paraId="6517F0C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lang w:eastAsia="zh-CN"/>
        </w:rPr>
      </w:pPr>
      <w:r>
        <w:rPr>
          <w:rFonts w:hint="default" w:ascii="Times New Roman" w:hAnsi="Times New Roman" w:cs="Times New Roman"/>
          <w:color w:val="FF0000"/>
          <w:lang w:eastAsia="zh-CN"/>
        </w:rPr>
        <w:t>噪声衰减预测采用《环境影响评价技术导则声环境》（HJ2.4-2021）中推荐的噪声预测模式，公式如下：</w:t>
      </w:r>
    </w:p>
    <w:p w14:paraId="136EAD5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lang w:eastAsia="zh-CN"/>
        </w:rPr>
      </w:pPr>
      <w:r>
        <w:rPr>
          <w:rFonts w:hint="default" w:ascii="Times New Roman" w:hAnsi="Times New Roman" w:cs="Times New Roman"/>
          <w:color w:val="FF0000"/>
          <w:lang w:eastAsia="zh-CN"/>
        </w:rPr>
        <w:t>本项目噪声源分为室外室内两种声源。噪声声波在传播过程中，将通过距离衰减，空气吸收衰减达到各预测点。另外，雨、雪、雾和温度梯度等因素忽略不计，作为满足预测精度前提下的一定安全保证值。以保证未来实际噪声环境较预测结果优越。</w:t>
      </w:r>
    </w:p>
    <w:p w14:paraId="6DAAA72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lang w:eastAsia="zh-CN"/>
        </w:rPr>
      </w:pPr>
      <w:r>
        <w:rPr>
          <w:rFonts w:hint="default" w:ascii="Times New Roman" w:hAnsi="Times New Roman" w:cs="Times New Roman"/>
          <w:color w:val="FF0000"/>
          <w:lang w:eastAsia="zh-CN"/>
        </w:rPr>
        <w:t>具体噪声预测模式采用《环境影响评价技术导则声环境》（HJ2.4-2021）中推荐模式形式进行预测：</w:t>
      </w:r>
    </w:p>
    <w:p w14:paraId="78BFDA4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rPr>
      </w:pP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1</w:t>
      </w:r>
      <w:r>
        <w:rPr>
          <w:rFonts w:hint="default" w:ascii="Times New Roman" w:hAnsi="Times New Roman" w:cs="Times New Roman"/>
          <w:color w:val="FF0000"/>
          <w:lang w:eastAsia="zh-CN"/>
        </w:rPr>
        <w:t>）</w:t>
      </w:r>
      <w:r>
        <w:rPr>
          <w:rFonts w:hint="default" w:ascii="Times New Roman" w:hAnsi="Times New Roman" w:cs="Times New Roman"/>
          <w:color w:val="FF0000"/>
        </w:rPr>
        <w:t>室内声源</w:t>
      </w:r>
    </w:p>
    <w:p w14:paraId="7AB5F83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rPr>
      </w:pPr>
      <w:r>
        <w:rPr>
          <w:rFonts w:hint="default" w:ascii="Times New Roman" w:hAnsi="Times New Roman" w:cs="Times New Roman"/>
          <w:color w:val="FF0000"/>
        </w:rPr>
        <w:t>根据《环境影响评价技术导则声环境》（</w:t>
      </w:r>
      <w:r>
        <w:rPr>
          <w:rFonts w:hint="default" w:ascii="Times New Roman" w:hAnsi="Times New Roman" w:cs="Times New Roman"/>
          <w:color w:val="FF0000"/>
          <w:lang w:eastAsia="zh-CN"/>
        </w:rPr>
        <w:t>HJ2.4-2021</w:t>
      </w:r>
      <w:r>
        <w:rPr>
          <w:rFonts w:hint="default" w:ascii="Times New Roman" w:hAnsi="Times New Roman" w:cs="Times New Roman"/>
          <w:color w:val="FF0000"/>
        </w:rPr>
        <w:t>）对室内声源的预测方法，声源位于室内，室内声源可采用等效室外声源声功率级法进行计算。</w:t>
      </w:r>
    </w:p>
    <w:p w14:paraId="7400AE6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rPr>
      </w:pPr>
      <w:r>
        <w:rPr>
          <w:rFonts w:hint="default" w:ascii="Times New Roman" w:hAnsi="Times New Roman" w:cs="Times New Roman"/>
          <w:color w:val="FF0000"/>
          <w:lang w:val="en-US" w:eastAsia="zh-CN"/>
        </w:rPr>
        <w:t>①</w:t>
      </w:r>
      <w:r>
        <w:rPr>
          <w:rFonts w:hint="default" w:ascii="Times New Roman" w:hAnsi="Times New Roman" w:cs="Times New Roman"/>
          <w:color w:val="FF0000"/>
        </w:rPr>
        <w:t>计算某一室内声源靠近围护结构处产生的倍频带声压级：</w:t>
      </w:r>
    </w:p>
    <w:p w14:paraId="3001C6A1">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jc w:val="both"/>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object>
          <v:shape id="_x0000_i1025" o:spt="75" type="#_x0000_t75" style="height:31.5pt;width:134.25pt;" o:ole="t"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5" r:id="rId24">
            <o:LockedField>false</o:LockedField>
          </o:OLEObject>
        </w:object>
      </w:r>
    </w:p>
    <w:p w14:paraId="7F845008">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式中：Q——指向性因子：通常对无指向性声源，当声源放在房间中心时，Q=1；当放在一面墙的中心时，Q=2；当放在两面墙夹角时，Q=4；当放在三面墙夹角处时，Q=8。</w:t>
      </w:r>
    </w:p>
    <w:p w14:paraId="25BA5AB0">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R——房间常数：R=Sa/（1-a），S为房间内表面面积，m</w:t>
      </w:r>
      <w:r>
        <w:rPr>
          <w:rFonts w:hint="default" w:ascii="Times New Roman" w:hAnsi="Times New Roman" w:eastAsia="宋体" w:cs="Times New Roman"/>
          <w:color w:val="FF0000"/>
          <w:sz w:val="24"/>
          <w:szCs w:val="24"/>
          <w:highlight w:val="none"/>
          <w:vertAlign w:val="superscript"/>
        </w:rPr>
        <w:t>2</w:t>
      </w:r>
      <w:r>
        <w:rPr>
          <w:rFonts w:hint="default" w:ascii="Times New Roman" w:hAnsi="Times New Roman" w:eastAsia="宋体" w:cs="Times New Roman"/>
          <w:color w:val="FF0000"/>
          <w:sz w:val="24"/>
          <w:szCs w:val="24"/>
          <w:highlight w:val="none"/>
        </w:rPr>
        <w:t>；a为平均吸声系数（混凝土刷漆，取值为0.07）。</w:t>
      </w:r>
    </w:p>
    <w:p w14:paraId="3C3DA904">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r——声源到靠近围护结构某点处的距离，m。</w:t>
      </w:r>
    </w:p>
    <w:p w14:paraId="44637457">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②</w:t>
      </w:r>
      <w:r>
        <w:rPr>
          <w:rFonts w:hint="default" w:ascii="Times New Roman" w:hAnsi="Times New Roman" w:eastAsia="宋体" w:cs="Times New Roman"/>
          <w:color w:val="FF0000"/>
          <w:sz w:val="24"/>
          <w:szCs w:val="24"/>
          <w:highlight w:val="none"/>
        </w:rPr>
        <w:t>计算出所有室内声源在围护结构处产生的i倍频带叠加声压级：</w:t>
      </w:r>
    </w:p>
    <w:p w14:paraId="5A2116BF">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jc w:val="both"/>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object>
          <v:shape id="_x0000_i1026" o:spt="75" type="#_x0000_t75" style="height:32.25pt;width:119.25pt;" o:ole="t" filled="f" o:preferrelative="t" stroked="f" coordsize="21600,21600">
            <v:path/>
            <v:fill on="f" focussize="0,0"/>
            <v:stroke on="f" joinstyle="miter"/>
            <v:imagedata r:id="rId27" o:title=""/>
            <o:lock v:ext="edit" aspectratio="t"/>
            <w10:wrap type="none"/>
            <w10:anchorlock/>
          </v:shape>
          <o:OLEObject Type="Embed" ProgID="Equation.3" ShapeID="_x0000_i1026" DrawAspect="Content" ObjectID="_1468075726" r:id="rId26">
            <o:LockedField>false</o:LockedField>
          </o:OLEObject>
        </w:object>
      </w:r>
    </w:p>
    <w:p w14:paraId="79BE8D51">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式中：L</w:t>
      </w:r>
      <w:r>
        <w:rPr>
          <w:rFonts w:hint="default" w:ascii="Times New Roman" w:hAnsi="Times New Roman" w:eastAsia="宋体" w:cs="Times New Roman"/>
          <w:color w:val="FF0000"/>
          <w:sz w:val="24"/>
          <w:szCs w:val="24"/>
          <w:highlight w:val="none"/>
          <w:vertAlign w:val="subscript"/>
        </w:rPr>
        <w:t>p1i</w:t>
      </w:r>
      <w:r>
        <w:rPr>
          <w:rFonts w:hint="default" w:ascii="Times New Roman" w:hAnsi="Times New Roman" w:eastAsia="宋体" w:cs="Times New Roman"/>
          <w:color w:val="FF0000"/>
          <w:sz w:val="24"/>
          <w:szCs w:val="24"/>
          <w:highlight w:val="none"/>
        </w:rPr>
        <w:t>（T）——靠近围护结构处室内N个声源i倍频带的叠加声压级，dB；</w:t>
      </w:r>
    </w:p>
    <w:p w14:paraId="52BE38CD">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L</w:t>
      </w:r>
      <w:r>
        <w:rPr>
          <w:rFonts w:hint="default" w:ascii="Times New Roman" w:hAnsi="Times New Roman" w:eastAsia="宋体" w:cs="Times New Roman"/>
          <w:color w:val="FF0000"/>
          <w:sz w:val="24"/>
          <w:szCs w:val="24"/>
          <w:highlight w:val="none"/>
          <w:vertAlign w:val="subscript"/>
        </w:rPr>
        <w:t>p1ij</w:t>
      </w:r>
      <w:r>
        <w:rPr>
          <w:rFonts w:hint="default" w:ascii="Times New Roman" w:hAnsi="Times New Roman" w:eastAsia="宋体" w:cs="Times New Roman"/>
          <w:color w:val="FF0000"/>
          <w:sz w:val="24"/>
          <w:szCs w:val="24"/>
          <w:highlight w:val="none"/>
        </w:rPr>
        <w:t>——室内j声源i倍频带的声压级，dB；</w:t>
      </w:r>
    </w:p>
    <w:p w14:paraId="7ACCCB6E">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③</w:t>
      </w:r>
      <w:r>
        <w:rPr>
          <w:rFonts w:hint="default" w:ascii="Times New Roman" w:hAnsi="Times New Roman" w:eastAsia="宋体" w:cs="Times New Roman"/>
          <w:color w:val="FF0000"/>
          <w:sz w:val="24"/>
          <w:szCs w:val="24"/>
          <w:highlight w:val="none"/>
        </w:rPr>
        <w:t>在室内近似为扩散声场地，按下式计算出靠近室外围护结构处的声压级：</w:t>
      </w:r>
    </w:p>
    <w:p w14:paraId="5DBF595E">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jc w:val="both"/>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object>
          <v:shape id="_x0000_i1027" o:spt="75" type="#_x0000_t75" style="height:21.75pt;width:150.75pt;" o:ole="t" filled="f" o:preferrelative="t" stroked="f" coordsize="21600,21600">
            <v:path/>
            <v:fill on="f" focussize="0,0"/>
            <v:stroke on="f" joinstyle="miter"/>
            <v:imagedata r:id="rId29" o:title=""/>
            <o:lock v:ext="edit" aspectratio="t"/>
            <w10:wrap type="none"/>
            <w10:anchorlock/>
          </v:shape>
          <o:OLEObject Type="Embed" ProgID="Equation.3" ShapeID="_x0000_i1027" DrawAspect="Content" ObjectID="_1468075727" r:id="rId28">
            <o:LockedField>false</o:LockedField>
          </o:OLEObject>
        </w:object>
      </w:r>
    </w:p>
    <w:p w14:paraId="08DD7922">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式中：Lp</w:t>
      </w:r>
      <w:r>
        <w:rPr>
          <w:rFonts w:hint="default" w:ascii="Times New Roman" w:hAnsi="Times New Roman" w:eastAsia="宋体" w:cs="Times New Roman"/>
          <w:color w:val="FF0000"/>
          <w:sz w:val="24"/>
          <w:szCs w:val="24"/>
          <w:highlight w:val="none"/>
          <w:vertAlign w:val="subscript"/>
        </w:rPr>
        <w:t>2i</w:t>
      </w:r>
      <w:r>
        <w:rPr>
          <w:rFonts w:hint="default" w:ascii="Times New Roman" w:hAnsi="Times New Roman" w:eastAsia="宋体" w:cs="Times New Roman"/>
          <w:color w:val="FF0000"/>
          <w:sz w:val="24"/>
          <w:szCs w:val="24"/>
          <w:highlight w:val="none"/>
        </w:rPr>
        <w:t>（T）——靠近围护结构处室外N个声源i倍频带的叠加声压级，dB；</w:t>
      </w:r>
    </w:p>
    <w:p w14:paraId="3829230C">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TL</w:t>
      </w:r>
      <w:r>
        <w:rPr>
          <w:rFonts w:hint="default" w:ascii="Times New Roman" w:hAnsi="Times New Roman" w:eastAsia="宋体" w:cs="Times New Roman"/>
          <w:color w:val="FF0000"/>
          <w:sz w:val="24"/>
          <w:szCs w:val="24"/>
          <w:highlight w:val="none"/>
          <w:vertAlign w:val="subscript"/>
        </w:rPr>
        <w:t>i</w:t>
      </w:r>
      <w:r>
        <w:rPr>
          <w:rFonts w:hint="default" w:ascii="Times New Roman" w:hAnsi="Times New Roman" w:eastAsia="宋体" w:cs="Times New Roman"/>
          <w:color w:val="FF0000"/>
          <w:sz w:val="24"/>
          <w:szCs w:val="24"/>
          <w:highlight w:val="none"/>
        </w:rPr>
        <w:t>——围护结构i倍频带的隔声量，dB；</w:t>
      </w:r>
    </w:p>
    <w:p w14:paraId="540708C6">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④</w:t>
      </w:r>
      <w:r>
        <w:rPr>
          <w:rFonts w:hint="default" w:ascii="Times New Roman" w:hAnsi="Times New Roman" w:eastAsia="宋体" w:cs="Times New Roman"/>
          <w:color w:val="FF0000"/>
          <w:sz w:val="24"/>
          <w:szCs w:val="24"/>
          <w:highlight w:val="none"/>
        </w:rPr>
        <w:t>将室外声源的声压级和透过面积换算成等效的室外声源，计算出中心位置位地透声面积（S）处的等效声源的倍频带声功率级。</w:t>
      </w:r>
    </w:p>
    <w:p w14:paraId="7B5023DD">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jc w:val="both"/>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object>
          <v:shape id="_x0000_i1028" o:spt="75" type="#_x0000_t75" style="height:32.25pt;width:118.5pt;" o:ole="t" filled="f" o:preferrelative="t" stroked="f" coordsize="21600,21600">
            <v:path/>
            <v:fill on="f" focussize="0,0"/>
            <v:stroke on="f" joinstyle="miter"/>
            <v:imagedata r:id="rId27" o:title=""/>
            <o:lock v:ext="edit" aspectratio="t"/>
            <w10:wrap type="none"/>
            <w10:anchorlock/>
          </v:shape>
          <o:OLEObject Type="Embed" ProgID="Equation.3" ShapeID="_x0000_i1028" DrawAspect="Content" ObjectID="_1468075728" r:id="rId30">
            <o:LockedField>false</o:LockedField>
          </o:OLEObject>
        </w:object>
      </w:r>
    </w:p>
    <w:p w14:paraId="70269C35">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⑤</w:t>
      </w:r>
      <w:r>
        <w:rPr>
          <w:rFonts w:hint="default" w:ascii="Times New Roman" w:hAnsi="Times New Roman" w:eastAsia="宋体" w:cs="Times New Roman"/>
          <w:color w:val="FF0000"/>
          <w:sz w:val="24"/>
          <w:szCs w:val="24"/>
          <w:highlight w:val="none"/>
        </w:rPr>
        <w:t>按室外声源预测方法计算预测点处的A声级。</w:t>
      </w:r>
    </w:p>
    <w:p w14:paraId="37FB2635">
      <w:pPr>
        <w:pStyle w:val="109"/>
        <w:keepNext w:val="0"/>
        <w:keepLines w:val="0"/>
        <w:pageBreakBefore w:val="0"/>
        <w:widowControl w:val="0"/>
        <w:kinsoku/>
        <w:wordWrap/>
        <w:overflowPunct/>
        <w:topLinePunct w:val="0"/>
        <w:autoSpaceDE w:val="0"/>
        <w:autoSpaceDN w:val="0"/>
        <w:bidi w:val="0"/>
        <w:adjustRightInd/>
        <w:snapToGrid/>
        <w:spacing w:line="360" w:lineRule="auto"/>
        <w:ind w:right="0" w:firstLine="48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设第i个室外声源在预</w:t>
      </w:r>
      <w:r>
        <w:rPr>
          <w:rFonts w:hint="default" w:ascii="Times New Roman" w:hAnsi="Times New Roman" w:eastAsia="宋体" w:cs="Times New Roman"/>
          <w:color w:val="FF0000"/>
          <w:sz w:val="24"/>
          <w:szCs w:val="24"/>
          <w:highlight w:val="none"/>
          <w:lang w:eastAsia="zh-CN"/>
        </w:rPr>
        <w:t>测</w:t>
      </w:r>
      <w:r>
        <w:rPr>
          <w:rFonts w:hint="default" w:ascii="Times New Roman" w:hAnsi="Times New Roman" w:eastAsia="宋体" w:cs="Times New Roman"/>
          <w:color w:val="FF0000"/>
          <w:sz w:val="24"/>
          <w:szCs w:val="24"/>
          <w:highlight w:val="none"/>
        </w:rPr>
        <w:t>点产生的A声级为L</w:t>
      </w:r>
      <w:r>
        <w:rPr>
          <w:rFonts w:hint="default" w:ascii="Times New Roman" w:hAnsi="Times New Roman" w:eastAsia="宋体" w:cs="Times New Roman"/>
          <w:color w:val="FF0000"/>
          <w:sz w:val="24"/>
          <w:szCs w:val="24"/>
          <w:highlight w:val="none"/>
          <w:vertAlign w:val="subscript"/>
        </w:rPr>
        <w:t>Ai</w:t>
      </w:r>
      <w:r>
        <w:rPr>
          <w:rFonts w:hint="default" w:ascii="Times New Roman" w:hAnsi="Times New Roman" w:eastAsia="宋体" w:cs="Times New Roman"/>
          <w:color w:val="FF0000"/>
          <w:sz w:val="24"/>
          <w:szCs w:val="24"/>
          <w:highlight w:val="none"/>
        </w:rPr>
        <w:t>，在T时间内该声源工作时间为ti；第j个等效室外声源在预测点产生的A声级为L</w:t>
      </w:r>
      <w:r>
        <w:rPr>
          <w:rFonts w:hint="default" w:ascii="Times New Roman" w:hAnsi="Times New Roman" w:eastAsia="宋体" w:cs="Times New Roman"/>
          <w:color w:val="FF0000"/>
          <w:sz w:val="24"/>
          <w:szCs w:val="24"/>
          <w:highlight w:val="none"/>
          <w:vertAlign w:val="subscript"/>
        </w:rPr>
        <w:t>Aj</w:t>
      </w:r>
      <w:r>
        <w:rPr>
          <w:rFonts w:hint="default" w:ascii="Times New Roman" w:hAnsi="Times New Roman" w:eastAsia="宋体" w:cs="Times New Roman"/>
          <w:color w:val="FF0000"/>
          <w:sz w:val="24"/>
          <w:szCs w:val="24"/>
          <w:highlight w:val="none"/>
        </w:rPr>
        <w:t>，在T时间内该声源工作时间为tj，则拟建工程声源对预测点产生的贡献值（Leqg）为：</w:t>
      </w:r>
    </w:p>
    <w:p w14:paraId="1F5CF2FC">
      <w:pPr>
        <w:pStyle w:val="109"/>
        <w:keepNext w:val="0"/>
        <w:keepLines w:val="0"/>
        <w:pageBreakBefore w:val="0"/>
        <w:kinsoku/>
        <w:wordWrap/>
        <w:bidi w:val="0"/>
        <w:spacing w:line="360" w:lineRule="auto"/>
        <w:ind w:firstLine="480"/>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object>
          <v:shape id="_x0000_i1029" o:spt="75" type="#_x0000_t75" style="height:39pt;width:196.5pt;" o:ole="t" filled="f" o:preferrelative="t" stroked="f" coordsize="21600,21600">
            <v:path/>
            <v:fill on="f" focussize="0,0"/>
            <v:stroke on="f" joinstyle="miter"/>
            <v:imagedata r:id="rId32" o:title=""/>
            <o:lock v:ext="edit" aspectratio="t"/>
            <w10:wrap type="none"/>
            <w10:anchorlock/>
          </v:shape>
          <o:OLEObject Type="Embed" ProgID="Visio.Drawing.11" ShapeID="_x0000_i1029" DrawAspect="Content" ObjectID="_1468075729" r:id="rId31">
            <o:LockedField>false</o:LockedField>
          </o:OLEObject>
        </w:object>
      </w:r>
    </w:p>
    <w:p w14:paraId="5B72B0B4">
      <w:pPr>
        <w:pStyle w:val="109"/>
        <w:keepNext w:val="0"/>
        <w:keepLines w:val="0"/>
        <w:pageBreakBefore w:val="0"/>
        <w:kinsoku/>
        <w:wordWrap/>
        <w:bidi w:val="0"/>
        <w:spacing w:line="360" w:lineRule="auto"/>
        <w:ind w:firstLine="48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式中：tj——在T时间内j声源工作时间，s；</w:t>
      </w:r>
    </w:p>
    <w:p w14:paraId="5DD646E2">
      <w:pPr>
        <w:pStyle w:val="109"/>
        <w:keepNext w:val="0"/>
        <w:keepLines w:val="0"/>
        <w:pageBreakBefore w:val="0"/>
        <w:kinsoku/>
        <w:wordWrap/>
        <w:bidi w:val="0"/>
        <w:spacing w:line="360" w:lineRule="auto"/>
        <w:ind w:firstLine="1200" w:firstLineChars="5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ti——在T时间内i声源工作时间，s；</w:t>
      </w:r>
    </w:p>
    <w:p w14:paraId="5A536E57">
      <w:pPr>
        <w:pStyle w:val="109"/>
        <w:keepNext w:val="0"/>
        <w:keepLines w:val="0"/>
        <w:pageBreakBefore w:val="0"/>
        <w:kinsoku/>
        <w:wordWrap/>
        <w:bidi w:val="0"/>
        <w:spacing w:line="360" w:lineRule="auto"/>
        <w:ind w:firstLine="1200" w:firstLineChars="5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T——用于计算等效声级的时间，s；</w:t>
      </w:r>
    </w:p>
    <w:p w14:paraId="6487FA4C">
      <w:pPr>
        <w:pStyle w:val="109"/>
        <w:keepNext w:val="0"/>
        <w:keepLines w:val="0"/>
        <w:pageBreakBefore w:val="0"/>
        <w:kinsoku/>
        <w:wordWrap/>
        <w:bidi w:val="0"/>
        <w:spacing w:line="360" w:lineRule="auto"/>
        <w:ind w:firstLine="1200" w:firstLineChars="5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N——室外声源个数；</w:t>
      </w:r>
    </w:p>
    <w:p w14:paraId="4FA4506F">
      <w:pPr>
        <w:pStyle w:val="109"/>
        <w:keepNext w:val="0"/>
        <w:keepLines w:val="0"/>
        <w:pageBreakBefore w:val="0"/>
        <w:kinsoku/>
        <w:wordWrap/>
        <w:bidi w:val="0"/>
        <w:spacing w:line="360" w:lineRule="auto"/>
        <w:ind w:firstLine="1200" w:firstLineChars="5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M——等效室外声源个数；</w:t>
      </w:r>
    </w:p>
    <w:p w14:paraId="51F23920">
      <w:pPr>
        <w:pStyle w:val="109"/>
        <w:keepNext w:val="0"/>
        <w:keepLines w:val="0"/>
        <w:pageBreakBefore w:val="0"/>
        <w:kinsoku/>
        <w:wordWrap/>
        <w:bidi w:val="0"/>
        <w:spacing w:line="360" w:lineRule="auto"/>
        <w:ind w:firstLine="48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⑥</w:t>
      </w:r>
      <w:r>
        <w:rPr>
          <w:rFonts w:hint="default" w:ascii="Times New Roman" w:hAnsi="Times New Roman" w:eastAsia="宋体" w:cs="Times New Roman"/>
          <w:color w:val="FF0000"/>
          <w:sz w:val="24"/>
          <w:szCs w:val="24"/>
          <w:highlight w:val="none"/>
        </w:rPr>
        <w:t>预测点的预测等效声级（Leq）计算：</w:t>
      </w:r>
    </w:p>
    <w:p w14:paraId="3D17741B">
      <w:pPr>
        <w:pStyle w:val="109"/>
        <w:keepNext w:val="0"/>
        <w:keepLines w:val="0"/>
        <w:pageBreakBefore w:val="0"/>
        <w:kinsoku/>
        <w:wordWrap/>
        <w:bidi w:val="0"/>
        <w:spacing w:line="360" w:lineRule="auto"/>
        <w:ind w:firstLine="480"/>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drawing>
          <wp:inline distT="0" distB="0" distL="114300" distR="114300">
            <wp:extent cx="2522220" cy="278765"/>
            <wp:effectExtent l="0" t="0" r="11430" b="6350"/>
            <wp:docPr id="60"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8"/>
                    <pic:cNvPicPr>
                      <a:picLocks noChangeAspect="1"/>
                    </pic:cNvPicPr>
                  </pic:nvPicPr>
                  <pic:blipFill>
                    <a:blip r:embed="rId33"/>
                    <a:stretch>
                      <a:fillRect/>
                    </a:stretch>
                  </pic:blipFill>
                  <pic:spPr>
                    <a:xfrm>
                      <a:off x="0" y="0"/>
                      <a:ext cx="2522220" cy="278765"/>
                    </a:xfrm>
                    <a:prstGeom prst="rect">
                      <a:avLst/>
                    </a:prstGeom>
                    <a:noFill/>
                    <a:ln>
                      <a:noFill/>
                    </a:ln>
                  </pic:spPr>
                </pic:pic>
              </a:graphicData>
            </a:graphic>
          </wp:inline>
        </w:drawing>
      </w:r>
    </w:p>
    <w:p w14:paraId="77AAE846">
      <w:pPr>
        <w:pStyle w:val="109"/>
        <w:keepNext w:val="0"/>
        <w:keepLines w:val="0"/>
        <w:pageBreakBefore w:val="0"/>
        <w:kinsoku/>
        <w:wordWrap/>
        <w:bidi w:val="0"/>
        <w:spacing w:line="360" w:lineRule="auto"/>
        <w:ind w:firstLine="48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式中：Leq（A）贡——建设项目声源在预测点的等效声级贡献量，dB（A）；</w:t>
      </w:r>
    </w:p>
    <w:p w14:paraId="1768B922">
      <w:pPr>
        <w:pStyle w:val="106"/>
        <w:keepNext w:val="0"/>
        <w:keepLines w:val="0"/>
        <w:pageBreakBefore w:val="0"/>
        <w:kinsoku/>
        <w:wordWrap/>
        <w:bidi w:val="0"/>
        <w:spacing w:line="360" w:lineRule="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Leq（A）现——预测点背景值，dB（A）。</w:t>
      </w:r>
    </w:p>
    <w:p w14:paraId="63DCA8F9">
      <w:pPr>
        <w:pStyle w:val="106"/>
        <w:keepNext w:val="0"/>
        <w:keepLines w:val="0"/>
        <w:pageBreakBefore w:val="0"/>
        <w:kinsoku/>
        <w:wordWrap/>
        <w:bidi w:val="0"/>
        <w:spacing w:line="360" w:lineRule="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val="en-US" w:eastAsia="zh-CN"/>
        </w:rPr>
        <w:t>2</w:t>
      </w:r>
      <w:r>
        <w:rPr>
          <w:rFonts w:hint="default"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室外声源</w:t>
      </w:r>
    </w:p>
    <w:p w14:paraId="0BEBDCE8">
      <w:pPr>
        <w:pStyle w:val="106"/>
        <w:keepNext w:val="0"/>
        <w:keepLines w:val="0"/>
        <w:pageBreakBefore w:val="0"/>
        <w:kinsoku/>
        <w:wordWrap/>
        <w:bidi w:val="0"/>
        <w:spacing w:line="360" w:lineRule="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设室外声源为I个</w:t>
      </w:r>
      <w:r>
        <w:rPr>
          <w:rFonts w:hint="default"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预测点为j个，采用倍频带声压级法</w:t>
      </w:r>
      <w:r>
        <w:rPr>
          <w:rFonts w:hint="default" w:ascii="Times New Roman" w:hAnsi="Times New Roman" w:eastAsia="宋体" w:cs="Times New Roman"/>
          <w:color w:val="FF0000"/>
          <w:sz w:val="24"/>
          <w:szCs w:val="24"/>
          <w:highlight w:val="none"/>
          <w:lang w:eastAsia="zh-CN"/>
        </w:rPr>
        <w:t>：</w:t>
      </w:r>
    </w:p>
    <w:p w14:paraId="51382835">
      <w:pPr>
        <w:pStyle w:val="106"/>
        <w:keepNext w:val="0"/>
        <w:keepLines w:val="0"/>
        <w:pageBreakBefore w:val="0"/>
        <w:kinsoku/>
        <w:wordWrap/>
        <w:bidi w:val="0"/>
        <w:spacing w:line="360" w:lineRule="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①</w:t>
      </w:r>
      <w:r>
        <w:rPr>
          <w:rFonts w:hint="default" w:ascii="Times New Roman" w:hAnsi="Times New Roman" w:eastAsia="宋体" w:cs="Times New Roman"/>
          <w:color w:val="FF0000"/>
          <w:sz w:val="24"/>
          <w:szCs w:val="24"/>
          <w:highlight w:val="none"/>
        </w:rPr>
        <w:t>计算第I个噪声源在第j个预测点的倍频带声压级L</w:t>
      </w:r>
      <w:r>
        <w:rPr>
          <w:rFonts w:hint="default" w:ascii="Times New Roman" w:hAnsi="Times New Roman" w:eastAsia="宋体" w:cs="Times New Roman"/>
          <w:color w:val="FF0000"/>
          <w:sz w:val="24"/>
          <w:szCs w:val="24"/>
          <w:highlight w:val="none"/>
          <w:vertAlign w:val="subscript"/>
        </w:rPr>
        <w:t>octij</w:t>
      </w:r>
      <w:r>
        <w:rPr>
          <w:rFonts w:hint="default" w:ascii="Times New Roman" w:hAnsi="Times New Roman" w:eastAsia="宋体" w:cs="Times New Roman"/>
          <w:color w:val="FF0000"/>
          <w:sz w:val="24"/>
          <w:szCs w:val="24"/>
          <w:highlight w:val="none"/>
        </w:rPr>
        <w:t>（r</w:t>
      </w:r>
      <w:r>
        <w:rPr>
          <w:rFonts w:hint="default" w:ascii="Times New Roman" w:hAnsi="Times New Roman" w:eastAsia="宋体" w:cs="Times New Roman"/>
          <w:color w:val="FF0000"/>
          <w:sz w:val="24"/>
          <w:szCs w:val="24"/>
          <w:highlight w:val="none"/>
          <w:vertAlign w:val="subscript"/>
        </w:rPr>
        <w:t>0</w:t>
      </w:r>
      <w:r>
        <w:rPr>
          <w:rFonts w:hint="default" w:ascii="Times New Roman" w:hAnsi="Times New Roman" w:eastAsia="宋体" w:cs="Times New Roman"/>
          <w:color w:val="FF0000"/>
          <w:sz w:val="24"/>
          <w:szCs w:val="24"/>
          <w:highlight w:val="none"/>
        </w:rPr>
        <w:t>）</w:t>
      </w:r>
    </w:p>
    <w:p w14:paraId="71F19D87">
      <w:pPr>
        <w:pStyle w:val="106"/>
        <w:keepNext w:val="0"/>
        <w:keepLines w:val="0"/>
        <w:pageBreakBefore w:val="0"/>
        <w:kinsoku/>
        <w:wordWrap/>
        <w:bidi w:val="0"/>
        <w:spacing w:line="360" w:lineRule="auto"/>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L</w:t>
      </w:r>
      <w:r>
        <w:rPr>
          <w:rFonts w:hint="default" w:ascii="Times New Roman" w:hAnsi="Times New Roman" w:eastAsia="宋体" w:cs="Times New Roman"/>
          <w:color w:val="FF0000"/>
          <w:sz w:val="24"/>
          <w:szCs w:val="24"/>
          <w:highlight w:val="none"/>
          <w:vertAlign w:val="subscript"/>
        </w:rPr>
        <w:t>octij</w:t>
      </w:r>
      <w:r>
        <w:rPr>
          <w:rFonts w:hint="default" w:ascii="Times New Roman" w:hAnsi="Times New Roman" w:eastAsia="宋体" w:cs="Times New Roman"/>
          <w:color w:val="FF0000"/>
          <w:sz w:val="24"/>
          <w:szCs w:val="24"/>
          <w:highlight w:val="none"/>
        </w:rPr>
        <w:t>=L</w:t>
      </w:r>
      <w:r>
        <w:rPr>
          <w:rFonts w:hint="default" w:ascii="Times New Roman" w:hAnsi="Times New Roman" w:eastAsia="宋体" w:cs="Times New Roman"/>
          <w:color w:val="FF0000"/>
          <w:sz w:val="24"/>
          <w:szCs w:val="24"/>
          <w:highlight w:val="none"/>
          <w:vertAlign w:val="subscript"/>
        </w:rPr>
        <w:t>octi</w:t>
      </w:r>
      <w:r>
        <w:rPr>
          <w:rFonts w:hint="default" w:ascii="Times New Roman" w:hAnsi="Times New Roman" w:eastAsia="宋体" w:cs="Times New Roman"/>
          <w:color w:val="FF0000"/>
          <w:sz w:val="24"/>
          <w:szCs w:val="24"/>
          <w:highlight w:val="none"/>
        </w:rPr>
        <w:t>（r</w:t>
      </w:r>
      <w:r>
        <w:rPr>
          <w:rFonts w:hint="default" w:ascii="Times New Roman" w:hAnsi="Times New Roman" w:eastAsia="宋体" w:cs="Times New Roman"/>
          <w:color w:val="FF0000"/>
          <w:sz w:val="24"/>
          <w:szCs w:val="24"/>
          <w:highlight w:val="none"/>
          <w:vertAlign w:val="subscript"/>
        </w:rPr>
        <w:t>0</w:t>
      </w:r>
      <w:r>
        <w:rPr>
          <w:rFonts w:hint="default" w:ascii="Times New Roman" w:hAnsi="Times New Roman" w:eastAsia="宋体" w:cs="Times New Roman"/>
          <w:color w:val="FF0000"/>
          <w:sz w:val="24"/>
          <w:szCs w:val="24"/>
          <w:highlight w:val="none"/>
        </w:rPr>
        <w:t>）-（Aoctdir+Aoctbar+Aoctatm+Aoctexc）</w:t>
      </w:r>
    </w:p>
    <w:p w14:paraId="5EA61C2B">
      <w:pPr>
        <w:pStyle w:val="106"/>
        <w:keepNext w:val="0"/>
        <w:keepLines w:val="0"/>
        <w:pageBreakBefore w:val="0"/>
        <w:kinsoku/>
        <w:wordWrap/>
        <w:bidi w:val="0"/>
        <w:spacing w:line="360" w:lineRule="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w:t>
      </w:r>
    </w:p>
    <w:p w14:paraId="65E3FBE9">
      <w:pPr>
        <w:pStyle w:val="106"/>
        <w:keepNext w:val="0"/>
        <w:keepLines w:val="0"/>
        <w:pageBreakBefore w:val="0"/>
        <w:kinsoku/>
        <w:wordWrap/>
        <w:bidi w:val="0"/>
        <w:spacing w:line="360" w:lineRule="auto"/>
        <w:ind w:firstLine="960" w:firstLineChars="4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Loctij（r0）—第I个噪声源在参考位置r0处的倍频带声压级，dB；</w:t>
      </w:r>
    </w:p>
    <w:p w14:paraId="368C172B">
      <w:pPr>
        <w:pStyle w:val="106"/>
        <w:keepNext w:val="0"/>
        <w:keepLines w:val="0"/>
        <w:pageBreakBefore w:val="0"/>
        <w:kinsoku/>
        <w:wordWrap/>
        <w:bidi w:val="0"/>
        <w:spacing w:line="360" w:lineRule="auto"/>
        <w:ind w:firstLine="960" w:firstLineChars="4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Aoctdir—发散衰减量，dB；</w:t>
      </w:r>
    </w:p>
    <w:p w14:paraId="7F8DBDE0">
      <w:pPr>
        <w:pStyle w:val="106"/>
        <w:keepNext w:val="0"/>
        <w:keepLines w:val="0"/>
        <w:pageBreakBefore w:val="0"/>
        <w:kinsoku/>
        <w:wordWrap/>
        <w:bidi w:val="0"/>
        <w:spacing w:line="360" w:lineRule="auto"/>
        <w:ind w:firstLine="960" w:firstLineChars="4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Aoctbar—屏障衰减量，dB；</w:t>
      </w:r>
    </w:p>
    <w:p w14:paraId="23D38DE3">
      <w:pPr>
        <w:pStyle w:val="106"/>
        <w:keepNext w:val="0"/>
        <w:keepLines w:val="0"/>
        <w:pageBreakBefore w:val="0"/>
        <w:kinsoku/>
        <w:wordWrap/>
        <w:bidi w:val="0"/>
        <w:spacing w:line="360" w:lineRule="auto"/>
        <w:ind w:firstLine="960" w:firstLineChars="4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Aoctatm—空气吸收衰减量，dB；</w:t>
      </w:r>
    </w:p>
    <w:p w14:paraId="7270F7D9">
      <w:pPr>
        <w:pStyle w:val="106"/>
        <w:keepNext w:val="0"/>
        <w:keepLines w:val="0"/>
        <w:pageBreakBefore w:val="0"/>
        <w:kinsoku/>
        <w:wordWrap/>
        <w:bidi w:val="0"/>
        <w:spacing w:line="360" w:lineRule="auto"/>
        <w:ind w:firstLine="960" w:firstLineChars="4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Aoctexc—附加衰减量，dB；</w:t>
      </w:r>
    </w:p>
    <w:p w14:paraId="197DC0B8">
      <w:pPr>
        <w:pStyle w:val="106"/>
        <w:keepNext w:val="0"/>
        <w:keepLines w:val="0"/>
        <w:pageBreakBefore w:val="0"/>
        <w:kinsoku/>
        <w:wordWrap/>
        <w:bidi w:val="0"/>
        <w:spacing w:line="360" w:lineRule="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假设已知噪声源的倍频带声功率级为L</w:t>
      </w:r>
      <w:r>
        <w:rPr>
          <w:rFonts w:hint="default" w:ascii="Times New Roman" w:hAnsi="Times New Roman" w:eastAsia="宋体" w:cs="Times New Roman"/>
          <w:color w:val="FF0000"/>
          <w:sz w:val="24"/>
          <w:szCs w:val="24"/>
          <w:highlight w:val="none"/>
          <w:vertAlign w:val="subscript"/>
        </w:rPr>
        <w:t>wiact</w:t>
      </w:r>
      <w:r>
        <w:rPr>
          <w:rFonts w:hint="default" w:ascii="Times New Roman" w:hAnsi="Times New Roman" w:eastAsia="宋体" w:cs="Times New Roman"/>
          <w:color w:val="FF0000"/>
          <w:sz w:val="24"/>
          <w:szCs w:val="24"/>
          <w:highlight w:val="none"/>
        </w:rPr>
        <w:t>，并假设声源位于地面上（半自由场），则：</w:t>
      </w:r>
    </w:p>
    <w:p w14:paraId="7B735805">
      <w:pPr>
        <w:pStyle w:val="106"/>
        <w:keepNext w:val="0"/>
        <w:keepLines w:val="0"/>
        <w:pageBreakBefore w:val="0"/>
        <w:kinsoku/>
        <w:wordWrap/>
        <w:bidi w:val="0"/>
        <w:spacing w:line="360" w:lineRule="auto"/>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L</w:t>
      </w:r>
      <w:r>
        <w:rPr>
          <w:rFonts w:hint="default" w:ascii="Times New Roman" w:hAnsi="Times New Roman" w:eastAsia="宋体" w:cs="Times New Roman"/>
          <w:color w:val="FF0000"/>
          <w:sz w:val="24"/>
          <w:szCs w:val="24"/>
          <w:highlight w:val="none"/>
          <w:vertAlign w:val="subscript"/>
        </w:rPr>
        <w:t>octi</w:t>
      </w:r>
      <w:r>
        <w:rPr>
          <w:rFonts w:hint="default" w:ascii="Times New Roman" w:hAnsi="Times New Roman" w:eastAsia="宋体" w:cs="Times New Roman"/>
          <w:color w:val="FF0000"/>
          <w:sz w:val="24"/>
          <w:szCs w:val="24"/>
          <w:highlight w:val="none"/>
        </w:rPr>
        <w:t>（r</w:t>
      </w:r>
      <w:r>
        <w:rPr>
          <w:rFonts w:hint="default" w:ascii="Times New Roman" w:hAnsi="Times New Roman" w:eastAsia="宋体" w:cs="Times New Roman"/>
          <w:color w:val="FF0000"/>
          <w:sz w:val="24"/>
          <w:szCs w:val="24"/>
          <w:highlight w:val="none"/>
          <w:vertAlign w:val="subscript"/>
        </w:rPr>
        <w:t>0</w:t>
      </w:r>
      <w:r>
        <w:rPr>
          <w:rFonts w:hint="default" w:ascii="Times New Roman" w:hAnsi="Times New Roman" w:eastAsia="宋体" w:cs="Times New Roman"/>
          <w:color w:val="FF0000"/>
          <w:sz w:val="24"/>
          <w:szCs w:val="24"/>
          <w:highlight w:val="none"/>
        </w:rPr>
        <w:t>）=L</w:t>
      </w:r>
      <w:r>
        <w:rPr>
          <w:rFonts w:hint="default" w:ascii="Times New Roman" w:hAnsi="Times New Roman" w:eastAsia="宋体" w:cs="Times New Roman"/>
          <w:color w:val="FF0000"/>
          <w:sz w:val="24"/>
          <w:szCs w:val="24"/>
          <w:highlight w:val="none"/>
          <w:vertAlign w:val="subscript"/>
        </w:rPr>
        <w:t>wiact</w:t>
      </w:r>
      <w:r>
        <w:rPr>
          <w:rFonts w:hint="default" w:ascii="Times New Roman" w:hAnsi="Times New Roman" w:eastAsia="宋体" w:cs="Times New Roman"/>
          <w:color w:val="FF0000"/>
          <w:sz w:val="24"/>
          <w:szCs w:val="24"/>
          <w:highlight w:val="none"/>
        </w:rPr>
        <w:t>-20lgr</w:t>
      </w:r>
      <w:r>
        <w:rPr>
          <w:rFonts w:hint="default" w:ascii="Times New Roman" w:hAnsi="Times New Roman" w:eastAsia="宋体" w:cs="Times New Roman"/>
          <w:color w:val="FF0000"/>
          <w:sz w:val="24"/>
          <w:szCs w:val="24"/>
          <w:highlight w:val="none"/>
          <w:vertAlign w:val="subscript"/>
        </w:rPr>
        <w:t>0</w:t>
      </w:r>
      <w:r>
        <w:rPr>
          <w:rFonts w:hint="default" w:ascii="Times New Roman" w:hAnsi="Times New Roman" w:eastAsia="宋体" w:cs="Times New Roman"/>
          <w:color w:val="FF0000"/>
          <w:sz w:val="24"/>
          <w:szCs w:val="24"/>
          <w:highlight w:val="none"/>
        </w:rPr>
        <w:t>-8</w:t>
      </w:r>
    </w:p>
    <w:p w14:paraId="3BFCB6ED">
      <w:pPr>
        <w:pStyle w:val="106"/>
        <w:keepNext w:val="0"/>
        <w:keepLines w:val="0"/>
        <w:pageBreakBefore w:val="0"/>
        <w:kinsoku/>
        <w:wordWrap/>
        <w:bidi w:val="0"/>
        <w:spacing w:line="360" w:lineRule="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②</w:t>
      </w:r>
      <w:r>
        <w:rPr>
          <w:rFonts w:hint="default" w:ascii="Times New Roman" w:hAnsi="Times New Roman" w:eastAsia="宋体" w:cs="Times New Roman"/>
          <w:color w:val="FF0000"/>
          <w:sz w:val="24"/>
          <w:szCs w:val="24"/>
          <w:highlight w:val="none"/>
        </w:rPr>
        <w:t>由上式计算的倍频带声压级合成为A声级</w:t>
      </w:r>
    </w:p>
    <w:p w14:paraId="494972BE">
      <w:pPr>
        <w:pStyle w:val="106"/>
        <w:keepNext w:val="0"/>
        <w:keepLines w:val="0"/>
        <w:pageBreakBefore w:val="0"/>
        <w:kinsoku/>
        <w:wordWrap/>
        <w:bidi w:val="0"/>
        <w:spacing w:line="360" w:lineRule="auto"/>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L</w:t>
      </w:r>
      <w:r>
        <w:rPr>
          <w:rFonts w:hint="default" w:ascii="Times New Roman" w:hAnsi="Times New Roman" w:eastAsia="宋体" w:cs="Times New Roman"/>
          <w:color w:val="FF0000"/>
          <w:sz w:val="24"/>
          <w:szCs w:val="24"/>
          <w:highlight w:val="none"/>
          <w:vertAlign w:val="subscript"/>
        </w:rPr>
        <w:t>aij</w:t>
      </w:r>
      <w:r>
        <w:rPr>
          <w:rFonts w:hint="default" w:ascii="Times New Roman" w:hAnsi="Times New Roman" w:eastAsia="宋体" w:cs="Times New Roman"/>
          <w:color w:val="FF0000"/>
          <w:sz w:val="24"/>
          <w:szCs w:val="24"/>
          <w:highlight w:val="none"/>
        </w:rPr>
        <w:t>=L</w:t>
      </w:r>
      <w:r>
        <w:rPr>
          <w:rFonts w:hint="default" w:ascii="Times New Roman" w:hAnsi="Times New Roman" w:eastAsia="宋体" w:cs="Times New Roman"/>
          <w:color w:val="FF0000"/>
          <w:sz w:val="24"/>
          <w:szCs w:val="24"/>
          <w:highlight w:val="none"/>
          <w:vertAlign w:val="subscript"/>
        </w:rPr>
        <w:t>wai</w:t>
      </w:r>
      <w:r>
        <w:rPr>
          <w:rFonts w:hint="default" w:ascii="Times New Roman" w:hAnsi="Times New Roman" w:eastAsia="宋体" w:cs="Times New Roman"/>
          <w:color w:val="FF0000"/>
          <w:sz w:val="24"/>
          <w:szCs w:val="24"/>
          <w:highlight w:val="none"/>
        </w:rPr>
        <w:t>-20lgr</w:t>
      </w:r>
      <w:r>
        <w:rPr>
          <w:rFonts w:hint="default" w:ascii="Times New Roman" w:hAnsi="Times New Roman" w:eastAsia="宋体" w:cs="Times New Roman"/>
          <w:color w:val="FF0000"/>
          <w:sz w:val="24"/>
          <w:szCs w:val="24"/>
          <w:highlight w:val="none"/>
          <w:vertAlign w:val="subscript"/>
        </w:rPr>
        <w:t>0</w:t>
      </w:r>
      <w:r>
        <w:rPr>
          <w:rFonts w:hint="default" w:ascii="Times New Roman" w:hAnsi="Times New Roman" w:eastAsia="宋体" w:cs="Times New Roman"/>
          <w:color w:val="FF0000"/>
          <w:sz w:val="24"/>
          <w:szCs w:val="24"/>
          <w:highlight w:val="none"/>
        </w:rPr>
        <w:t>-8</w:t>
      </w:r>
    </w:p>
    <w:p w14:paraId="3024F3DC">
      <w:pPr>
        <w:pStyle w:val="16"/>
        <w:bidi w:val="0"/>
        <w:rPr>
          <w:rFonts w:hint="default" w:ascii="Times New Roman" w:hAnsi="Times New Roman" w:cs="Times New Roman"/>
          <w:color w:val="FF0000"/>
        </w:rPr>
      </w:pPr>
      <w:r>
        <w:rPr>
          <w:rFonts w:hint="default" w:ascii="Times New Roman" w:hAnsi="Times New Roman" w:cs="Times New Roman"/>
          <w:color w:val="FF0000"/>
          <w:lang w:eastAsia="zh-CN"/>
        </w:rPr>
        <w:t>（4）</w:t>
      </w:r>
      <w:r>
        <w:rPr>
          <w:rFonts w:hint="default" w:ascii="Times New Roman" w:hAnsi="Times New Roman" w:cs="Times New Roman"/>
          <w:color w:val="FF0000"/>
        </w:rPr>
        <w:t>预测</w:t>
      </w:r>
      <w:r>
        <w:rPr>
          <w:rFonts w:hint="default" w:ascii="Times New Roman" w:hAnsi="Times New Roman" w:cs="Times New Roman"/>
          <w:color w:val="FF0000"/>
          <w:lang w:eastAsia="zh-CN"/>
        </w:rPr>
        <w:t>结果</w:t>
      </w:r>
    </w:p>
    <w:p w14:paraId="6ED753C2">
      <w:pPr>
        <w:pStyle w:val="16"/>
        <w:bidi w:val="0"/>
        <w:rPr>
          <w:rFonts w:hint="default" w:ascii="Times New Roman" w:hAnsi="Times New Roman" w:cs="Times New Roman"/>
          <w:color w:val="FF0000"/>
        </w:rPr>
      </w:pPr>
      <w:r>
        <w:rPr>
          <w:rFonts w:hint="default" w:ascii="Times New Roman" w:hAnsi="Times New Roman" w:cs="Times New Roman"/>
          <w:color w:val="FF0000"/>
        </w:rPr>
        <w:t>按照上面给出的计算公式，本项目各种噪声源对厂界处贡献的预测结果见下表。</w:t>
      </w:r>
    </w:p>
    <w:p w14:paraId="0736A1DE">
      <w:pPr>
        <w:pStyle w:val="14"/>
        <w:bidi w:val="0"/>
        <w:rPr>
          <w:rFonts w:hint="default" w:ascii="Times New Roman" w:hAnsi="Times New Roman" w:cs="Times New Roman"/>
          <w:color w:val="FF0000"/>
        </w:rPr>
      </w:pPr>
    </w:p>
    <w:p w14:paraId="41D65E0B">
      <w:pPr>
        <w:pStyle w:val="14"/>
        <w:bidi w:val="0"/>
        <w:rPr>
          <w:rFonts w:hint="default" w:ascii="Times New Roman" w:hAnsi="Times New Roman" w:cs="Times New Roman"/>
          <w:color w:val="FF0000"/>
        </w:rPr>
      </w:pPr>
    </w:p>
    <w:p w14:paraId="41BADC74">
      <w:pPr>
        <w:pStyle w:val="14"/>
        <w:bidi w:val="0"/>
        <w:rPr>
          <w:rFonts w:hint="default" w:ascii="Times New Roman" w:hAnsi="Times New Roman" w:cs="Times New Roman"/>
          <w:color w:val="FF0000"/>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17</w:t>
      </w:r>
      <w:r>
        <w:rPr>
          <w:rFonts w:hint="default" w:ascii="Times New Roman" w:hAnsi="Times New Roman" w:cs="Times New Roman"/>
          <w:color w:val="FF0000"/>
        </w:rPr>
        <w:fldChar w:fldCharType="end"/>
      </w:r>
      <w:r>
        <w:rPr>
          <w:rFonts w:hint="default" w:ascii="Times New Roman" w:hAnsi="Times New Roman" w:cs="Times New Roman"/>
          <w:color w:val="FF0000"/>
        </w:rPr>
        <w:t>噪声预测结果单位：dB</w:t>
      </w:r>
      <w:r>
        <w:rPr>
          <w:rFonts w:hint="default" w:ascii="Times New Roman" w:hAnsi="Times New Roman" w:cs="Times New Roman"/>
          <w:color w:val="FF0000"/>
          <w:lang w:eastAsia="zh-CN"/>
        </w:rPr>
        <w:t>（</w:t>
      </w:r>
      <w:r>
        <w:rPr>
          <w:rFonts w:hint="default" w:ascii="Times New Roman" w:hAnsi="Times New Roman" w:cs="Times New Roman"/>
          <w:color w:val="FF0000"/>
        </w:rPr>
        <w:t>A)</w:t>
      </w:r>
    </w:p>
    <w:tbl>
      <w:tblPr>
        <w:tblStyle w:val="7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0"/>
        <w:gridCol w:w="1373"/>
        <w:gridCol w:w="1945"/>
        <w:gridCol w:w="1526"/>
        <w:gridCol w:w="1839"/>
      </w:tblGrid>
      <w:tr w14:paraId="2F10E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840" w:type="dxa"/>
            <w:vAlign w:val="top"/>
          </w:tcPr>
          <w:p w14:paraId="398EE676">
            <w:pPr>
              <w:spacing w:before="241" w:line="229" w:lineRule="auto"/>
              <w:ind w:left="611"/>
              <w:rPr>
                <w:rFonts w:hint="default" w:ascii="Times New Roman" w:hAnsi="Times New Roman" w:eastAsia="宋体" w:cs="Times New Roman"/>
                <w:color w:val="FF0000"/>
                <w:sz w:val="20"/>
                <w:szCs w:val="20"/>
              </w:rPr>
            </w:pPr>
            <w:r>
              <w:rPr>
                <w:rFonts w:hint="default" w:ascii="Times New Roman" w:hAnsi="Times New Roman" w:eastAsia="宋体" w:cs="Times New Roman"/>
                <w:b/>
                <w:bCs/>
                <w:color w:val="FF0000"/>
                <w:spacing w:val="5"/>
                <w:sz w:val="20"/>
                <w:szCs w:val="20"/>
              </w:rPr>
              <w:t>预测点</w:t>
            </w:r>
          </w:p>
        </w:tc>
        <w:tc>
          <w:tcPr>
            <w:tcW w:w="1373" w:type="dxa"/>
            <w:vAlign w:val="top"/>
          </w:tcPr>
          <w:p w14:paraId="07A5C653">
            <w:pPr>
              <w:spacing w:before="241" w:line="230" w:lineRule="auto"/>
              <w:ind w:left="490"/>
              <w:rPr>
                <w:rFonts w:hint="default" w:ascii="Times New Roman" w:hAnsi="Times New Roman" w:eastAsia="宋体" w:cs="Times New Roman"/>
                <w:color w:val="FF0000"/>
                <w:sz w:val="20"/>
                <w:szCs w:val="20"/>
              </w:rPr>
            </w:pPr>
            <w:r>
              <w:rPr>
                <w:rFonts w:hint="default" w:ascii="Times New Roman" w:hAnsi="Times New Roman" w:eastAsia="宋体" w:cs="Times New Roman"/>
                <w:b/>
                <w:bCs/>
                <w:color w:val="FF0000"/>
                <w:spacing w:val="-1"/>
                <w:sz w:val="20"/>
                <w:szCs w:val="20"/>
              </w:rPr>
              <w:t>时段</w:t>
            </w:r>
          </w:p>
        </w:tc>
        <w:tc>
          <w:tcPr>
            <w:tcW w:w="1945" w:type="dxa"/>
            <w:vAlign w:val="top"/>
          </w:tcPr>
          <w:p w14:paraId="385F4DE3">
            <w:pPr>
              <w:pStyle w:val="113"/>
              <w:spacing w:before="241" w:line="221" w:lineRule="auto"/>
              <w:ind w:left="319"/>
              <w:rPr>
                <w:rFonts w:hint="default" w:ascii="Times New Roman" w:hAnsi="Times New Roman" w:eastAsia="宋体" w:cs="Times New Roman"/>
                <w:color w:val="FF0000"/>
                <w:lang w:eastAsia="zh-CN"/>
              </w:rPr>
            </w:pPr>
            <w:r>
              <w:rPr>
                <w:rFonts w:hint="default" w:ascii="Times New Roman" w:hAnsi="Times New Roman" w:eastAsia="宋体" w:cs="Times New Roman"/>
                <w:b/>
                <w:bCs/>
                <w:color w:val="FF0000"/>
                <w:spacing w:val="5"/>
              </w:rPr>
              <w:t>贡献值</w:t>
            </w:r>
            <w:r>
              <w:rPr>
                <w:rFonts w:hint="default" w:ascii="Times New Roman" w:hAnsi="Times New Roman" w:cs="Times New Roman"/>
                <w:b/>
                <w:bCs/>
                <w:color w:val="FF0000"/>
              </w:rPr>
              <w:t>dB</w:t>
            </w:r>
            <w:r>
              <w:rPr>
                <w:rFonts w:hint="eastAsia" w:ascii="Times New Roman" w:hAnsi="Times New Roman" w:eastAsia="宋体" w:cs="Times New Roman"/>
                <w:b/>
                <w:bCs/>
                <w:color w:val="FF0000"/>
                <w:spacing w:val="5"/>
                <w:lang w:eastAsia="zh-CN"/>
              </w:rPr>
              <w:t>（</w:t>
            </w:r>
            <w:r>
              <w:rPr>
                <w:rFonts w:hint="default" w:ascii="Times New Roman" w:hAnsi="Times New Roman" w:cs="Times New Roman"/>
                <w:b/>
                <w:bCs/>
                <w:color w:val="FF0000"/>
                <w:spacing w:val="5"/>
              </w:rPr>
              <w:t>A)</w:t>
            </w:r>
          </w:p>
        </w:tc>
        <w:tc>
          <w:tcPr>
            <w:tcW w:w="1526" w:type="dxa"/>
            <w:vAlign w:val="top"/>
          </w:tcPr>
          <w:p w14:paraId="3149ABA2">
            <w:pPr>
              <w:spacing w:before="85" w:line="228" w:lineRule="auto"/>
              <w:ind w:left="350"/>
              <w:rPr>
                <w:rFonts w:hint="default" w:ascii="Times New Roman" w:hAnsi="Times New Roman" w:eastAsia="宋体" w:cs="Times New Roman"/>
                <w:color w:val="FF0000"/>
                <w:sz w:val="20"/>
                <w:szCs w:val="20"/>
              </w:rPr>
            </w:pPr>
            <w:r>
              <w:rPr>
                <w:rFonts w:hint="default" w:ascii="Times New Roman" w:hAnsi="Times New Roman" w:eastAsia="宋体" w:cs="Times New Roman"/>
                <w:b/>
                <w:bCs/>
                <w:color w:val="FF0000"/>
                <w:spacing w:val="6"/>
                <w:sz w:val="20"/>
                <w:szCs w:val="20"/>
              </w:rPr>
              <w:t>标准限值</w:t>
            </w:r>
          </w:p>
          <w:p w14:paraId="5ABF0A90">
            <w:pPr>
              <w:pStyle w:val="113"/>
              <w:spacing w:before="100" w:line="197" w:lineRule="auto"/>
              <w:ind w:left="440"/>
              <w:rPr>
                <w:rFonts w:hint="default" w:ascii="Times New Roman" w:hAnsi="Times New Roman" w:eastAsia="宋体" w:cs="Times New Roman"/>
                <w:color w:val="FF0000"/>
                <w:lang w:eastAsia="zh-CN"/>
              </w:rPr>
            </w:pPr>
            <w:r>
              <w:rPr>
                <w:rFonts w:hint="default" w:ascii="Times New Roman" w:hAnsi="Times New Roman" w:cs="Times New Roman"/>
                <w:b/>
                <w:bCs/>
                <w:color w:val="FF0000"/>
              </w:rPr>
              <w:t>dB</w:t>
            </w:r>
            <w:r>
              <w:rPr>
                <w:rFonts w:hint="eastAsia" w:ascii="Times New Roman" w:hAnsi="Times New Roman" w:eastAsia="宋体" w:cs="Times New Roman"/>
                <w:b/>
                <w:bCs/>
                <w:color w:val="FF0000"/>
                <w:spacing w:val="1"/>
                <w:lang w:eastAsia="zh-CN"/>
              </w:rPr>
              <w:t>（</w:t>
            </w:r>
            <w:r>
              <w:rPr>
                <w:rFonts w:hint="default" w:ascii="Times New Roman" w:hAnsi="Times New Roman" w:cs="Times New Roman"/>
                <w:b/>
                <w:bCs/>
                <w:color w:val="FF0000"/>
                <w:spacing w:val="1"/>
              </w:rPr>
              <w:t>A)</w:t>
            </w:r>
          </w:p>
        </w:tc>
        <w:tc>
          <w:tcPr>
            <w:tcW w:w="1839" w:type="dxa"/>
            <w:vAlign w:val="top"/>
          </w:tcPr>
          <w:p w14:paraId="6217D1FE">
            <w:pPr>
              <w:spacing w:before="241" w:line="229" w:lineRule="auto"/>
              <w:ind w:left="186"/>
              <w:rPr>
                <w:rFonts w:hint="default" w:ascii="Times New Roman" w:hAnsi="Times New Roman" w:eastAsia="宋体" w:cs="Times New Roman"/>
                <w:color w:val="FF0000"/>
                <w:sz w:val="20"/>
                <w:szCs w:val="20"/>
              </w:rPr>
            </w:pPr>
            <w:r>
              <w:rPr>
                <w:rFonts w:hint="default" w:ascii="Times New Roman" w:hAnsi="Times New Roman" w:eastAsia="宋体" w:cs="Times New Roman"/>
                <w:b/>
                <w:bCs/>
                <w:color w:val="FF0000"/>
                <w:spacing w:val="7"/>
                <w:sz w:val="20"/>
                <w:szCs w:val="20"/>
              </w:rPr>
              <w:t>超标和达标情况</w:t>
            </w:r>
          </w:p>
        </w:tc>
      </w:tr>
      <w:tr w14:paraId="7A145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0" w:type="dxa"/>
            <w:vMerge w:val="restart"/>
            <w:tcBorders>
              <w:bottom w:val="nil"/>
            </w:tcBorders>
            <w:vAlign w:val="top"/>
          </w:tcPr>
          <w:p w14:paraId="001DBD82">
            <w:pPr>
              <w:pStyle w:val="113"/>
              <w:spacing w:before="210" w:line="274" w:lineRule="exact"/>
              <w:ind w:left="463"/>
              <w:rPr>
                <w:rFonts w:hint="default" w:ascii="Times New Roman" w:hAnsi="Times New Roman" w:cs="Times New Roman"/>
                <w:color w:val="FF0000"/>
              </w:rPr>
            </w:pPr>
            <w:r>
              <w:rPr>
                <w:rFonts w:hint="default" w:ascii="Times New Roman" w:hAnsi="Times New Roman" w:eastAsia="宋体" w:cs="Times New Roman"/>
                <w:color w:val="FF0000"/>
                <w:spacing w:val="4"/>
                <w:position w:val="1"/>
              </w:rPr>
              <w:t>东边界</w:t>
            </w:r>
          </w:p>
        </w:tc>
        <w:tc>
          <w:tcPr>
            <w:tcW w:w="1373" w:type="dxa"/>
            <w:vAlign w:val="top"/>
          </w:tcPr>
          <w:p w14:paraId="1E120097">
            <w:pPr>
              <w:spacing w:before="65" w:line="231" w:lineRule="auto"/>
              <w:ind w:left="482"/>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昼间</w:t>
            </w:r>
          </w:p>
        </w:tc>
        <w:tc>
          <w:tcPr>
            <w:tcW w:w="1945" w:type="dxa"/>
            <w:vAlign w:val="top"/>
          </w:tcPr>
          <w:p w14:paraId="39FCB2BD">
            <w:pPr>
              <w:pStyle w:val="113"/>
              <w:spacing w:before="34" w:line="275" w:lineRule="exact"/>
              <w:ind w:left="738"/>
              <w:rPr>
                <w:rFonts w:hint="default" w:ascii="Times New Roman" w:hAnsi="Times New Roman" w:cs="Times New Roman"/>
                <w:color w:val="FF0000"/>
              </w:rPr>
            </w:pPr>
            <w:r>
              <w:rPr>
                <w:rFonts w:hint="default" w:ascii="Times New Roman" w:hAnsi="Times New Roman" w:cs="Times New Roman"/>
                <w:color w:val="FF0000"/>
                <w:spacing w:val="3"/>
                <w:position w:val="2"/>
              </w:rPr>
              <w:t>27.28</w:t>
            </w:r>
          </w:p>
        </w:tc>
        <w:tc>
          <w:tcPr>
            <w:tcW w:w="1526" w:type="dxa"/>
            <w:vAlign w:val="top"/>
          </w:tcPr>
          <w:p w14:paraId="2C85CE9E">
            <w:pPr>
              <w:pStyle w:val="113"/>
              <w:spacing w:before="34" w:line="275" w:lineRule="exact"/>
              <w:ind w:left="664"/>
              <w:rPr>
                <w:rFonts w:hint="default" w:ascii="Times New Roman" w:hAnsi="Times New Roman" w:cs="Times New Roman"/>
                <w:color w:val="FF0000"/>
              </w:rPr>
            </w:pPr>
            <w:r>
              <w:rPr>
                <w:rFonts w:hint="default" w:ascii="Times New Roman" w:hAnsi="Times New Roman" w:cs="Times New Roman"/>
                <w:color w:val="FF0000"/>
                <w:position w:val="2"/>
              </w:rPr>
              <w:t>60</w:t>
            </w:r>
          </w:p>
        </w:tc>
        <w:tc>
          <w:tcPr>
            <w:tcW w:w="1839" w:type="dxa"/>
            <w:vAlign w:val="top"/>
          </w:tcPr>
          <w:p w14:paraId="115027D3">
            <w:pPr>
              <w:spacing w:before="65" w:line="229" w:lineRule="auto"/>
              <w:ind w:left="714"/>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达标</w:t>
            </w:r>
          </w:p>
        </w:tc>
      </w:tr>
      <w:tr w14:paraId="631ED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0" w:type="dxa"/>
            <w:vMerge w:val="continue"/>
            <w:tcBorders>
              <w:top w:val="nil"/>
            </w:tcBorders>
            <w:vAlign w:val="top"/>
          </w:tcPr>
          <w:p w14:paraId="192A7F85">
            <w:pPr>
              <w:rPr>
                <w:rFonts w:hint="default" w:ascii="Times New Roman" w:hAnsi="Times New Roman" w:cs="Times New Roman"/>
                <w:color w:val="FF0000"/>
                <w:sz w:val="21"/>
              </w:rPr>
            </w:pPr>
          </w:p>
        </w:tc>
        <w:tc>
          <w:tcPr>
            <w:tcW w:w="1373" w:type="dxa"/>
            <w:vAlign w:val="top"/>
          </w:tcPr>
          <w:p w14:paraId="2E430C5A">
            <w:pPr>
              <w:spacing w:before="67" w:line="228" w:lineRule="auto"/>
              <w:ind w:left="486"/>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3"/>
                <w:sz w:val="20"/>
                <w:szCs w:val="20"/>
              </w:rPr>
              <w:t>夜间</w:t>
            </w:r>
          </w:p>
        </w:tc>
        <w:tc>
          <w:tcPr>
            <w:tcW w:w="1945" w:type="dxa"/>
            <w:vAlign w:val="top"/>
          </w:tcPr>
          <w:p w14:paraId="2CEF4A7B">
            <w:pPr>
              <w:pStyle w:val="113"/>
              <w:spacing w:before="36" w:line="274" w:lineRule="exact"/>
              <w:ind w:left="738"/>
              <w:rPr>
                <w:rFonts w:hint="default" w:ascii="Times New Roman" w:hAnsi="Times New Roman" w:cs="Times New Roman"/>
                <w:color w:val="FF0000"/>
              </w:rPr>
            </w:pPr>
            <w:r>
              <w:rPr>
                <w:rFonts w:hint="default" w:ascii="Times New Roman" w:hAnsi="Times New Roman" w:cs="Times New Roman"/>
                <w:color w:val="FF0000"/>
                <w:spacing w:val="3"/>
                <w:position w:val="2"/>
              </w:rPr>
              <w:t>27.28</w:t>
            </w:r>
          </w:p>
        </w:tc>
        <w:tc>
          <w:tcPr>
            <w:tcW w:w="1526" w:type="dxa"/>
            <w:vAlign w:val="top"/>
          </w:tcPr>
          <w:p w14:paraId="2C39372E">
            <w:pPr>
              <w:pStyle w:val="113"/>
              <w:spacing w:before="36" w:line="274" w:lineRule="exact"/>
              <w:ind w:left="666"/>
              <w:rPr>
                <w:rFonts w:hint="default" w:ascii="Times New Roman" w:hAnsi="Times New Roman" w:cs="Times New Roman"/>
                <w:color w:val="FF0000"/>
              </w:rPr>
            </w:pPr>
            <w:r>
              <w:rPr>
                <w:rFonts w:hint="default" w:ascii="Times New Roman" w:hAnsi="Times New Roman" w:cs="Times New Roman"/>
                <w:color w:val="FF0000"/>
                <w:position w:val="2"/>
              </w:rPr>
              <w:t>50</w:t>
            </w:r>
          </w:p>
        </w:tc>
        <w:tc>
          <w:tcPr>
            <w:tcW w:w="1839" w:type="dxa"/>
            <w:vAlign w:val="top"/>
          </w:tcPr>
          <w:p w14:paraId="3C49FCF6">
            <w:pPr>
              <w:spacing w:before="67" w:line="229" w:lineRule="auto"/>
              <w:ind w:left="714"/>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达标</w:t>
            </w:r>
          </w:p>
        </w:tc>
      </w:tr>
      <w:tr w14:paraId="4EF57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0" w:type="dxa"/>
            <w:vMerge w:val="restart"/>
            <w:tcBorders>
              <w:bottom w:val="nil"/>
            </w:tcBorders>
            <w:vAlign w:val="top"/>
          </w:tcPr>
          <w:p w14:paraId="16002DD9">
            <w:pPr>
              <w:pStyle w:val="113"/>
              <w:spacing w:before="212" w:line="275" w:lineRule="exact"/>
              <w:ind w:left="458"/>
              <w:rPr>
                <w:rFonts w:hint="default" w:ascii="Times New Roman" w:hAnsi="Times New Roman" w:cs="Times New Roman"/>
                <w:color w:val="FF0000"/>
              </w:rPr>
            </w:pPr>
            <w:r>
              <w:rPr>
                <w:rFonts w:hint="default" w:ascii="Times New Roman" w:hAnsi="Times New Roman" w:eastAsia="宋体" w:cs="Times New Roman"/>
                <w:color w:val="FF0000"/>
                <w:spacing w:val="6"/>
                <w:position w:val="1"/>
              </w:rPr>
              <w:t>南边界</w:t>
            </w:r>
          </w:p>
        </w:tc>
        <w:tc>
          <w:tcPr>
            <w:tcW w:w="1373" w:type="dxa"/>
            <w:vAlign w:val="top"/>
          </w:tcPr>
          <w:p w14:paraId="37F23B90">
            <w:pPr>
              <w:spacing w:before="68" w:line="231" w:lineRule="auto"/>
              <w:ind w:left="482"/>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昼间</w:t>
            </w:r>
          </w:p>
        </w:tc>
        <w:tc>
          <w:tcPr>
            <w:tcW w:w="1945" w:type="dxa"/>
            <w:vAlign w:val="top"/>
          </w:tcPr>
          <w:p w14:paraId="7C4ABB80">
            <w:pPr>
              <w:pStyle w:val="113"/>
              <w:spacing w:before="37" w:line="274" w:lineRule="exact"/>
              <w:ind w:left="742"/>
              <w:rPr>
                <w:rFonts w:hint="default" w:ascii="Times New Roman" w:hAnsi="Times New Roman" w:cs="Times New Roman"/>
                <w:color w:val="FF0000"/>
              </w:rPr>
            </w:pPr>
            <w:r>
              <w:rPr>
                <w:rFonts w:hint="default" w:ascii="Times New Roman" w:hAnsi="Times New Roman" w:cs="Times New Roman"/>
                <w:color w:val="FF0000"/>
                <w:spacing w:val="3"/>
                <w:position w:val="2"/>
              </w:rPr>
              <w:t>31.13</w:t>
            </w:r>
          </w:p>
        </w:tc>
        <w:tc>
          <w:tcPr>
            <w:tcW w:w="1526" w:type="dxa"/>
            <w:vAlign w:val="top"/>
          </w:tcPr>
          <w:p w14:paraId="1FF4ADB1">
            <w:pPr>
              <w:pStyle w:val="113"/>
              <w:spacing w:before="37" w:line="274" w:lineRule="exact"/>
              <w:ind w:left="664"/>
              <w:rPr>
                <w:rFonts w:hint="default" w:ascii="Times New Roman" w:hAnsi="Times New Roman" w:cs="Times New Roman"/>
                <w:color w:val="FF0000"/>
              </w:rPr>
            </w:pPr>
            <w:r>
              <w:rPr>
                <w:rFonts w:hint="default" w:ascii="Times New Roman" w:hAnsi="Times New Roman" w:cs="Times New Roman"/>
                <w:color w:val="FF0000"/>
                <w:position w:val="2"/>
              </w:rPr>
              <w:t>60</w:t>
            </w:r>
          </w:p>
        </w:tc>
        <w:tc>
          <w:tcPr>
            <w:tcW w:w="1839" w:type="dxa"/>
            <w:vAlign w:val="top"/>
          </w:tcPr>
          <w:p w14:paraId="66DE846E">
            <w:pPr>
              <w:spacing w:before="68" w:line="229" w:lineRule="auto"/>
              <w:ind w:left="714"/>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达标</w:t>
            </w:r>
          </w:p>
        </w:tc>
      </w:tr>
      <w:tr w14:paraId="41CA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0" w:type="dxa"/>
            <w:vMerge w:val="continue"/>
            <w:tcBorders>
              <w:top w:val="nil"/>
            </w:tcBorders>
            <w:vAlign w:val="top"/>
          </w:tcPr>
          <w:p w14:paraId="589993F4">
            <w:pPr>
              <w:rPr>
                <w:rFonts w:hint="default" w:ascii="Times New Roman" w:hAnsi="Times New Roman" w:cs="Times New Roman"/>
                <w:color w:val="FF0000"/>
                <w:sz w:val="21"/>
              </w:rPr>
            </w:pPr>
          </w:p>
        </w:tc>
        <w:tc>
          <w:tcPr>
            <w:tcW w:w="1373" w:type="dxa"/>
            <w:vAlign w:val="top"/>
          </w:tcPr>
          <w:p w14:paraId="34199625">
            <w:pPr>
              <w:spacing w:before="70" w:line="228" w:lineRule="auto"/>
              <w:ind w:left="486"/>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3"/>
                <w:sz w:val="20"/>
                <w:szCs w:val="20"/>
              </w:rPr>
              <w:t>夜间</w:t>
            </w:r>
          </w:p>
        </w:tc>
        <w:tc>
          <w:tcPr>
            <w:tcW w:w="1945" w:type="dxa"/>
            <w:vAlign w:val="top"/>
          </w:tcPr>
          <w:p w14:paraId="4E3F6ED2">
            <w:pPr>
              <w:pStyle w:val="113"/>
              <w:spacing w:before="39" w:line="274" w:lineRule="exact"/>
              <w:ind w:left="742"/>
              <w:rPr>
                <w:rFonts w:hint="default" w:ascii="Times New Roman" w:hAnsi="Times New Roman" w:cs="Times New Roman"/>
                <w:color w:val="FF0000"/>
              </w:rPr>
            </w:pPr>
            <w:r>
              <w:rPr>
                <w:rFonts w:hint="default" w:ascii="Times New Roman" w:hAnsi="Times New Roman" w:cs="Times New Roman"/>
                <w:color w:val="FF0000"/>
                <w:spacing w:val="3"/>
                <w:position w:val="2"/>
              </w:rPr>
              <w:t>31.13</w:t>
            </w:r>
          </w:p>
        </w:tc>
        <w:tc>
          <w:tcPr>
            <w:tcW w:w="1526" w:type="dxa"/>
            <w:vAlign w:val="top"/>
          </w:tcPr>
          <w:p w14:paraId="165E2C22">
            <w:pPr>
              <w:pStyle w:val="113"/>
              <w:spacing w:before="39" w:line="274" w:lineRule="exact"/>
              <w:ind w:left="666"/>
              <w:rPr>
                <w:rFonts w:hint="default" w:ascii="Times New Roman" w:hAnsi="Times New Roman" w:cs="Times New Roman"/>
                <w:color w:val="FF0000"/>
              </w:rPr>
            </w:pPr>
            <w:r>
              <w:rPr>
                <w:rFonts w:hint="default" w:ascii="Times New Roman" w:hAnsi="Times New Roman" w:cs="Times New Roman"/>
                <w:color w:val="FF0000"/>
                <w:position w:val="2"/>
              </w:rPr>
              <w:t>50</w:t>
            </w:r>
          </w:p>
        </w:tc>
        <w:tc>
          <w:tcPr>
            <w:tcW w:w="1839" w:type="dxa"/>
            <w:vAlign w:val="top"/>
          </w:tcPr>
          <w:p w14:paraId="2F792A66">
            <w:pPr>
              <w:spacing w:before="70" w:line="229" w:lineRule="auto"/>
              <w:ind w:left="714"/>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达标</w:t>
            </w:r>
          </w:p>
        </w:tc>
      </w:tr>
      <w:tr w14:paraId="568FC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40" w:type="dxa"/>
            <w:vMerge w:val="restart"/>
            <w:tcBorders>
              <w:bottom w:val="nil"/>
            </w:tcBorders>
            <w:vAlign w:val="top"/>
          </w:tcPr>
          <w:p w14:paraId="57AFEAAC">
            <w:pPr>
              <w:pStyle w:val="113"/>
              <w:spacing w:before="215" w:line="274" w:lineRule="exact"/>
              <w:ind w:left="460"/>
              <w:rPr>
                <w:rFonts w:hint="default" w:ascii="Times New Roman" w:hAnsi="Times New Roman" w:cs="Times New Roman"/>
                <w:color w:val="FF0000"/>
              </w:rPr>
            </w:pPr>
            <w:r>
              <w:rPr>
                <w:rFonts w:hint="default" w:ascii="Times New Roman" w:hAnsi="Times New Roman" w:eastAsia="宋体" w:cs="Times New Roman"/>
                <w:color w:val="FF0000"/>
                <w:spacing w:val="5"/>
                <w:position w:val="1"/>
              </w:rPr>
              <w:t>西边界</w:t>
            </w:r>
          </w:p>
        </w:tc>
        <w:tc>
          <w:tcPr>
            <w:tcW w:w="1373" w:type="dxa"/>
            <w:vAlign w:val="top"/>
          </w:tcPr>
          <w:p w14:paraId="48C5D1CF">
            <w:pPr>
              <w:spacing w:before="71" w:line="231" w:lineRule="auto"/>
              <w:ind w:left="482"/>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昼间</w:t>
            </w:r>
          </w:p>
        </w:tc>
        <w:tc>
          <w:tcPr>
            <w:tcW w:w="1945" w:type="dxa"/>
            <w:vAlign w:val="top"/>
          </w:tcPr>
          <w:p w14:paraId="153DED83">
            <w:pPr>
              <w:pStyle w:val="113"/>
              <w:spacing w:before="40" w:line="274" w:lineRule="exact"/>
              <w:ind w:left="742"/>
              <w:rPr>
                <w:rFonts w:hint="default" w:ascii="Times New Roman" w:hAnsi="Times New Roman" w:cs="Times New Roman"/>
                <w:color w:val="FF0000"/>
              </w:rPr>
            </w:pPr>
            <w:r>
              <w:rPr>
                <w:rFonts w:hint="default" w:ascii="Times New Roman" w:hAnsi="Times New Roman" w:cs="Times New Roman"/>
                <w:color w:val="FF0000"/>
                <w:spacing w:val="3"/>
                <w:position w:val="2"/>
              </w:rPr>
              <w:t>36.00</w:t>
            </w:r>
          </w:p>
        </w:tc>
        <w:tc>
          <w:tcPr>
            <w:tcW w:w="1526" w:type="dxa"/>
            <w:vAlign w:val="top"/>
          </w:tcPr>
          <w:p w14:paraId="27F9B9CE">
            <w:pPr>
              <w:pStyle w:val="113"/>
              <w:spacing w:before="40" w:line="274" w:lineRule="exact"/>
              <w:ind w:left="664"/>
              <w:rPr>
                <w:rFonts w:hint="default" w:ascii="Times New Roman" w:hAnsi="Times New Roman" w:cs="Times New Roman"/>
                <w:color w:val="FF0000"/>
              </w:rPr>
            </w:pPr>
            <w:r>
              <w:rPr>
                <w:rFonts w:hint="default" w:ascii="Times New Roman" w:hAnsi="Times New Roman" w:cs="Times New Roman"/>
                <w:color w:val="FF0000"/>
                <w:position w:val="2"/>
              </w:rPr>
              <w:t>60</w:t>
            </w:r>
          </w:p>
        </w:tc>
        <w:tc>
          <w:tcPr>
            <w:tcW w:w="1839" w:type="dxa"/>
            <w:vAlign w:val="top"/>
          </w:tcPr>
          <w:p w14:paraId="621E68F3">
            <w:pPr>
              <w:spacing w:before="71" w:line="229" w:lineRule="auto"/>
              <w:ind w:left="714"/>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达标</w:t>
            </w:r>
          </w:p>
        </w:tc>
      </w:tr>
      <w:tr w14:paraId="4D8F0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40" w:type="dxa"/>
            <w:vMerge w:val="continue"/>
            <w:tcBorders>
              <w:top w:val="nil"/>
            </w:tcBorders>
            <w:vAlign w:val="top"/>
          </w:tcPr>
          <w:p w14:paraId="7FD9091F">
            <w:pPr>
              <w:rPr>
                <w:rFonts w:hint="default" w:ascii="Times New Roman" w:hAnsi="Times New Roman" w:cs="Times New Roman"/>
                <w:color w:val="FF0000"/>
                <w:sz w:val="21"/>
              </w:rPr>
            </w:pPr>
          </w:p>
        </w:tc>
        <w:tc>
          <w:tcPr>
            <w:tcW w:w="1373" w:type="dxa"/>
            <w:vAlign w:val="top"/>
          </w:tcPr>
          <w:p w14:paraId="7A83B525">
            <w:pPr>
              <w:spacing w:before="69" w:line="228" w:lineRule="auto"/>
              <w:ind w:left="486"/>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3"/>
                <w:sz w:val="20"/>
                <w:szCs w:val="20"/>
              </w:rPr>
              <w:t>夜间</w:t>
            </w:r>
          </w:p>
        </w:tc>
        <w:tc>
          <w:tcPr>
            <w:tcW w:w="1945" w:type="dxa"/>
            <w:vAlign w:val="top"/>
          </w:tcPr>
          <w:p w14:paraId="2ABBB67B">
            <w:pPr>
              <w:pStyle w:val="113"/>
              <w:spacing w:before="38" w:line="274" w:lineRule="exact"/>
              <w:ind w:left="742"/>
              <w:rPr>
                <w:rFonts w:hint="default" w:ascii="Times New Roman" w:hAnsi="Times New Roman" w:cs="Times New Roman"/>
                <w:color w:val="FF0000"/>
              </w:rPr>
            </w:pPr>
            <w:r>
              <w:rPr>
                <w:rFonts w:hint="default" w:ascii="Times New Roman" w:hAnsi="Times New Roman" w:cs="Times New Roman"/>
                <w:color w:val="FF0000"/>
                <w:spacing w:val="3"/>
                <w:position w:val="2"/>
              </w:rPr>
              <w:t>36.00</w:t>
            </w:r>
          </w:p>
        </w:tc>
        <w:tc>
          <w:tcPr>
            <w:tcW w:w="1526" w:type="dxa"/>
            <w:vAlign w:val="top"/>
          </w:tcPr>
          <w:p w14:paraId="15FC2124">
            <w:pPr>
              <w:pStyle w:val="113"/>
              <w:spacing w:before="38" w:line="274" w:lineRule="exact"/>
              <w:ind w:left="666"/>
              <w:rPr>
                <w:rFonts w:hint="default" w:ascii="Times New Roman" w:hAnsi="Times New Roman" w:cs="Times New Roman"/>
                <w:color w:val="FF0000"/>
              </w:rPr>
            </w:pPr>
            <w:r>
              <w:rPr>
                <w:rFonts w:hint="default" w:ascii="Times New Roman" w:hAnsi="Times New Roman" w:cs="Times New Roman"/>
                <w:color w:val="FF0000"/>
                <w:position w:val="2"/>
              </w:rPr>
              <w:t>50</w:t>
            </w:r>
          </w:p>
        </w:tc>
        <w:tc>
          <w:tcPr>
            <w:tcW w:w="1839" w:type="dxa"/>
            <w:vAlign w:val="top"/>
          </w:tcPr>
          <w:p w14:paraId="2C005873">
            <w:pPr>
              <w:spacing w:before="69" w:line="229" w:lineRule="auto"/>
              <w:ind w:left="714"/>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达标</w:t>
            </w:r>
          </w:p>
        </w:tc>
      </w:tr>
      <w:tr w14:paraId="26696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40" w:type="dxa"/>
            <w:vMerge w:val="restart"/>
            <w:tcBorders>
              <w:bottom w:val="nil"/>
            </w:tcBorders>
            <w:vAlign w:val="top"/>
          </w:tcPr>
          <w:p w14:paraId="0EA111D1">
            <w:pPr>
              <w:pStyle w:val="113"/>
              <w:spacing w:before="214" w:line="274" w:lineRule="exact"/>
              <w:ind w:left="459"/>
              <w:rPr>
                <w:rFonts w:hint="default" w:ascii="Times New Roman" w:hAnsi="Times New Roman" w:cs="Times New Roman"/>
                <w:color w:val="FF0000"/>
              </w:rPr>
            </w:pPr>
            <w:r>
              <w:rPr>
                <w:rFonts w:hint="default" w:ascii="Times New Roman" w:hAnsi="Times New Roman" w:eastAsia="宋体" w:cs="Times New Roman"/>
                <w:color w:val="FF0000"/>
                <w:spacing w:val="6"/>
                <w:position w:val="1"/>
              </w:rPr>
              <w:t>北边界</w:t>
            </w:r>
          </w:p>
        </w:tc>
        <w:tc>
          <w:tcPr>
            <w:tcW w:w="1373" w:type="dxa"/>
            <w:vAlign w:val="top"/>
          </w:tcPr>
          <w:p w14:paraId="7C1C548B">
            <w:pPr>
              <w:spacing w:before="69" w:line="231" w:lineRule="auto"/>
              <w:ind w:left="482"/>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昼间</w:t>
            </w:r>
          </w:p>
        </w:tc>
        <w:tc>
          <w:tcPr>
            <w:tcW w:w="1945" w:type="dxa"/>
            <w:vAlign w:val="top"/>
          </w:tcPr>
          <w:p w14:paraId="0219E93C">
            <w:pPr>
              <w:pStyle w:val="113"/>
              <w:spacing w:before="38" w:line="275" w:lineRule="exact"/>
              <w:ind w:left="742"/>
              <w:rPr>
                <w:rFonts w:hint="default" w:ascii="Times New Roman" w:hAnsi="Times New Roman" w:cs="Times New Roman"/>
                <w:color w:val="FF0000"/>
              </w:rPr>
            </w:pPr>
            <w:r>
              <w:rPr>
                <w:rFonts w:hint="default" w:ascii="Times New Roman" w:hAnsi="Times New Roman" w:cs="Times New Roman"/>
                <w:color w:val="FF0000"/>
                <w:spacing w:val="3"/>
                <w:position w:val="2"/>
              </w:rPr>
              <w:t>35.07</w:t>
            </w:r>
          </w:p>
        </w:tc>
        <w:tc>
          <w:tcPr>
            <w:tcW w:w="1526" w:type="dxa"/>
            <w:vAlign w:val="top"/>
          </w:tcPr>
          <w:p w14:paraId="226B287A">
            <w:pPr>
              <w:pStyle w:val="113"/>
              <w:spacing w:before="38" w:line="275" w:lineRule="exact"/>
              <w:ind w:left="664"/>
              <w:rPr>
                <w:rFonts w:hint="default" w:ascii="Times New Roman" w:hAnsi="Times New Roman" w:cs="Times New Roman"/>
                <w:color w:val="FF0000"/>
              </w:rPr>
            </w:pPr>
            <w:r>
              <w:rPr>
                <w:rFonts w:hint="default" w:ascii="Times New Roman" w:hAnsi="Times New Roman" w:cs="Times New Roman"/>
                <w:color w:val="FF0000"/>
                <w:position w:val="2"/>
              </w:rPr>
              <w:t>60</w:t>
            </w:r>
          </w:p>
        </w:tc>
        <w:tc>
          <w:tcPr>
            <w:tcW w:w="1839" w:type="dxa"/>
            <w:vAlign w:val="top"/>
          </w:tcPr>
          <w:p w14:paraId="6E87E5A4">
            <w:pPr>
              <w:spacing w:before="69" w:line="229" w:lineRule="auto"/>
              <w:ind w:left="714"/>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达标</w:t>
            </w:r>
          </w:p>
        </w:tc>
      </w:tr>
      <w:tr w14:paraId="598CB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40" w:type="dxa"/>
            <w:vMerge w:val="continue"/>
            <w:tcBorders>
              <w:top w:val="nil"/>
            </w:tcBorders>
            <w:vAlign w:val="top"/>
          </w:tcPr>
          <w:p w14:paraId="294C8EB2">
            <w:pPr>
              <w:rPr>
                <w:rFonts w:hint="default" w:ascii="Times New Roman" w:hAnsi="Times New Roman" w:cs="Times New Roman"/>
                <w:color w:val="FF0000"/>
                <w:sz w:val="21"/>
              </w:rPr>
            </w:pPr>
          </w:p>
        </w:tc>
        <w:tc>
          <w:tcPr>
            <w:tcW w:w="1373" w:type="dxa"/>
            <w:vAlign w:val="top"/>
          </w:tcPr>
          <w:p w14:paraId="48BCE662">
            <w:pPr>
              <w:spacing w:before="70" w:line="228" w:lineRule="auto"/>
              <w:ind w:left="486"/>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3"/>
                <w:sz w:val="20"/>
                <w:szCs w:val="20"/>
              </w:rPr>
              <w:t>夜间</w:t>
            </w:r>
          </w:p>
        </w:tc>
        <w:tc>
          <w:tcPr>
            <w:tcW w:w="1945" w:type="dxa"/>
            <w:vAlign w:val="top"/>
          </w:tcPr>
          <w:p w14:paraId="4F0BA055">
            <w:pPr>
              <w:pStyle w:val="113"/>
              <w:spacing w:before="39" w:line="274" w:lineRule="exact"/>
              <w:ind w:left="742"/>
              <w:rPr>
                <w:rFonts w:hint="default" w:ascii="Times New Roman" w:hAnsi="Times New Roman" w:cs="Times New Roman"/>
                <w:color w:val="FF0000"/>
              </w:rPr>
            </w:pPr>
            <w:r>
              <w:rPr>
                <w:rFonts w:hint="default" w:ascii="Times New Roman" w:hAnsi="Times New Roman" w:cs="Times New Roman"/>
                <w:color w:val="FF0000"/>
                <w:spacing w:val="3"/>
                <w:position w:val="2"/>
              </w:rPr>
              <w:t>35.07</w:t>
            </w:r>
          </w:p>
        </w:tc>
        <w:tc>
          <w:tcPr>
            <w:tcW w:w="1526" w:type="dxa"/>
            <w:vAlign w:val="top"/>
          </w:tcPr>
          <w:p w14:paraId="715C6852">
            <w:pPr>
              <w:pStyle w:val="113"/>
              <w:spacing w:before="39" w:line="274" w:lineRule="exact"/>
              <w:ind w:left="666"/>
              <w:rPr>
                <w:rFonts w:hint="default" w:ascii="Times New Roman" w:hAnsi="Times New Roman" w:cs="Times New Roman"/>
                <w:color w:val="FF0000"/>
              </w:rPr>
            </w:pPr>
            <w:r>
              <w:rPr>
                <w:rFonts w:hint="default" w:ascii="Times New Roman" w:hAnsi="Times New Roman" w:cs="Times New Roman"/>
                <w:color w:val="FF0000"/>
                <w:position w:val="2"/>
              </w:rPr>
              <w:t>50</w:t>
            </w:r>
          </w:p>
        </w:tc>
        <w:tc>
          <w:tcPr>
            <w:tcW w:w="1839" w:type="dxa"/>
            <w:vAlign w:val="top"/>
          </w:tcPr>
          <w:p w14:paraId="486807B4">
            <w:pPr>
              <w:spacing w:before="70" w:line="229" w:lineRule="auto"/>
              <w:ind w:left="714"/>
              <w:rPr>
                <w:rFonts w:hint="default" w:ascii="Times New Roman" w:hAnsi="Times New Roman" w:eastAsia="宋体" w:cs="Times New Roman"/>
                <w:color w:val="FF0000"/>
                <w:sz w:val="20"/>
                <w:szCs w:val="20"/>
              </w:rPr>
            </w:pPr>
            <w:r>
              <w:rPr>
                <w:rFonts w:hint="default" w:ascii="Times New Roman" w:hAnsi="Times New Roman" w:eastAsia="宋体" w:cs="Times New Roman"/>
                <w:color w:val="FF0000"/>
                <w:spacing w:val="5"/>
                <w:sz w:val="20"/>
                <w:szCs w:val="20"/>
              </w:rPr>
              <w:t>达标</w:t>
            </w:r>
          </w:p>
        </w:tc>
      </w:tr>
    </w:tbl>
    <w:p w14:paraId="3D63974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lang w:eastAsia="zh-CN"/>
        </w:rPr>
      </w:pPr>
      <w:r>
        <w:rPr>
          <w:rFonts w:hint="default" w:ascii="Times New Roman" w:hAnsi="Times New Roman" w:cs="Times New Roman"/>
          <w:color w:val="FF0000"/>
        </w:rPr>
        <w:t>根据《环境影响评价技术导则声环境》（HJ2.4-20</w:t>
      </w:r>
      <w:r>
        <w:rPr>
          <w:rFonts w:hint="default" w:ascii="Times New Roman" w:hAnsi="Times New Roman" w:cs="Times New Roman"/>
          <w:color w:val="FF0000"/>
          <w:lang w:val="en-US" w:eastAsia="zh-CN"/>
        </w:rPr>
        <w:t>21</w:t>
      </w:r>
      <w:r>
        <w:rPr>
          <w:rFonts w:hint="default" w:ascii="Times New Roman" w:hAnsi="Times New Roman" w:cs="Times New Roman"/>
          <w:color w:val="FF0000"/>
        </w:rPr>
        <w:t>）进行厂界噪声评价时，噪声在厂界的贡献值即为厂界预测值</w:t>
      </w:r>
      <w:r>
        <w:rPr>
          <w:rFonts w:hint="default" w:ascii="Times New Roman" w:hAnsi="Times New Roman" w:cs="Times New Roman"/>
          <w:color w:val="FF0000"/>
          <w:lang w:eastAsia="zh-CN"/>
        </w:rPr>
        <w:t>，</w:t>
      </w:r>
      <w:r>
        <w:rPr>
          <w:rFonts w:hint="default" w:ascii="Times New Roman" w:hAnsi="Times New Roman" w:cs="Times New Roman"/>
          <w:color w:val="FF0000"/>
        </w:rPr>
        <w:t>根据上表预测结果可知，项目东、</w:t>
      </w:r>
      <w:r>
        <w:rPr>
          <w:rFonts w:hint="default" w:ascii="Times New Roman" w:hAnsi="Times New Roman" w:cs="Times New Roman"/>
          <w:color w:val="FF0000"/>
          <w:lang w:eastAsia="zh-CN"/>
        </w:rPr>
        <w:t>南、</w:t>
      </w:r>
      <w:r>
        <w:rPr>
          <w:rFonts w:hint="default" w:ascii="Times New Roman" w:hAnsi="Times New Roman" w:cs="Times New Roman"/>
          <w:color w:val="FF0000"/>
        </w:rPr>
        <w:t>西、北侧厂界噪声贡献值可满足《工业企业厂界环境噪声排放标准》（GB12348-2008）中的2类区标准。由于本项目</w:t>
      </w:r>
      <w:r>
        <w:rPr>
          <w:rFonts w:hint="default" w:ascii="Times New Roman" w:hAnsi="Times New Roman" w:cs="Times New Roman"/>
          <w:color w:val="FF0000"/>
          <w:lang w:val="en-US" w:eastAsia="zh-CN"/>
        </w:rPr>
        <w:t>评价范围内</w:t>
      </w:r>
      <w:r>
        <w:rPr>
          <w:rFonts w:hint="default" w:ascii="Times New Roman" w:hAnsi="Times New Roman" w:cs="Times New Roman"/>
          <w:color w:val="FF0000"/>
        </w:rPr>
        <w:t>无居民集中区和其他声环境敏感目标，因此，</w:t>
      </w:r>
      <w:r>
        <w:rPr>
          <w:rFonts w:hint="default" w:ascii="Times New Roman" w:hAnsi="Times New Roman" w:cs="Times New Roman"/>
          <w:color w:val="FF0000"/>
          <w:lang w:eastAsia="zh-CN"/>
        </w:rPr>
        <w:t>运营</w:t>
      </w:r>
      <w:r>
        <w:rPr>
          <w:rFonts w:hint="default" w:ascii="Times New Roman" w:hAnsi="Times New Roman" w:cs="Times New Roman"/>
          <w:color w:val="FF0000"/>
        </w:rPr>
        <w:t>期各类噪声源产生的噪声对项目区周围声环境影响不大。</w:t>
      </w:r>
    </w:p>
    <w:p w14:paraId="2E44B070">
      <w:pPr>
        <w:pStyle w:val="4"/>
        <w:bidi w:val="0"/>
        <w:rPr>
          <w:rFonts w:hint="default" w:ascii="Times New Roman" w:hAnsi="Times New Roman" w:cs="Times New Roman"/>
          <w:lang w:val="en-US"/>
        </w:rPr>
      </w:pPr>
      <w:r>
        <w:rPr>
          <w:rFonts w:hint="default" w:ascii="Times New Roman" w:hAnsi="Times New Roman" w:cs="Times New Roman"/>
          <w:lang w:val="en-US"/>
        </w:rPr>
        <w:t>固体废弃物环境影响分析</w:t>
      </w:r>
    </w:p>
    <w:p w14:paraId="2D20B121">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本项目运营阶段产生的固体废物主要有</w:t>
      </w:r>
      <w:r>
        <w:rPr>
          <w:rFonts w:hint="default" w:ascii="Times New Roman" w:hAnsi="Times New Roman" w:cs="Times New Roman"/>
          <w:color w:val="auto"/>
          <w:sz w:val="24"/>
          <w:lang w:eastAsia="zh-CN"/>
        </w:rPr>
        <w:t>鸡</w:t>
      </w:r>
      <w:r>
        <w:rPr>
          <w:rFonts w:hint="default" w:ascii="Times New Roman" w:hAnsi="Times New Roman" w:cs="Times New Roman"/>
          <w:color w:val="auto"/>
          <w:sz w:val="24"/>
        </w:rPr>
        <w:t>粪、病死</w:t>
      </w:r>
      <w:r>
        <w:rPr>
          <w:rFonts w:hint="default" w:ascii="Times New Roman" w:hAnsi="Times New Roman" w:cs="Times New Roman"/>
          <w:color w:val="auto"/>
          <w:sz w:val="24"/>
          <w:lang w:eastAsia="zh-CN"/>
        </w:rPr>
        <w:t>鸡</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动物医疗废物</w:t>
      </w:r>
      <w:r>
        <w:rPr>
          <w:rFonts w:hint="default" w:ascii="Times New Roman" w:hAnsi="Times New Roman" w:cs="Times New Roman"/>
          <w:color w:val="auto"/>
          <w:sz w:val="24"/>
        </w:rPr>
        <w:t>、生活垃圾等。</w:t>
      </w:r>
    </w:p>
    <w:p w14:paraId="1021ACE6">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eastAsia="zh-CN"/>
        </w:rPr>
        <w:t>鸡</w:t>
      </w:r>
      <w:r>
        <w:rPr>
          <w:rFonts w:hint="default" w:ascii="Times New Roman" w:hAnsi="Times New Roman" w:cs="Times New Roman"/>
          <w:color w:val="auto"/>
          <w:sz w:val="24"/>
          <w:szCs w:val="24"/>
        </w:rPr>
        <w:t>粪</w:t>
      </w:r>
    </w:p>
    <w:p w14:paraId="6D9565B9">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lang w:val="en-US" w:eastAsia="zh-CN"/>
        </w:rPr>
      </w:pPr>
      <w:r>
        <w:rPr>
          <w:rFonts w:hint="default" w:ascii="Times New Roman" w:hAnsi="Times New Roman" w:cs="Times New Roman"/>
          <w:color w:val="FF0000"/>
          <w:sz w:val="24"/>
          <w:szCs w:val="24"/>
          <w:lang w:val="en-US" w:eastAsia="zh-CN"/>
        </w:rPr>
        <w:t>根据《排污许可证申请与核发技术规范畜禽养殖行业》（HJ1029-2019）中表9，蛋鸡粪便产生量为0.13kg/d·只。</w:t>
      </w:r>
    </w:p>
    <w:p w14:paraId="0EA7F358">
      <w:pPr>
        <w:spacing w:line="360" w:lineRule="auto"/>
        <w:ind w:firstLine="480"/>
        <w:jc w:val="both"/>
        <w:rPr>
          <w:rFonts w:hint="default" w:ascii="Times New Roman" w:hAnsi="Times New Roman" w:cs="Times New Roman"/>
          <w:color w:val="FF0000"/>
          <w:sz w:val="24"/>
          <w:lang w:val="en-US" w:eastAsia="zh-CN"/>
        </w:rPr>
      </w:pPr>
      <w:r>
        <w:rPr>
          <w:rFonts w:hint="default" w:ascii="Times New Roman" w:hAnsi="Times New Roman" w:eastAsia="宋体" w:cs="Times New Roman"/>
          <w:color w:val="FF0000"/>
          <w:sz w:val="24"/>
          <w:szCs w:val="24"/>
        </w:rPr>
        <w:t>本项目育雏鸡、育成鸡的鸡粪产生系数、鸡粪中总氮含量按其饲养周期和体重参考产蛋鸡的系数进行折算（根据建设单位提供的饲养数据，项目所饲养的鸡种，雏鸡饲养周期的平均体重约380g，育成鸡饲养周期的平均体重为860g，产蛋鸡平均体重为1250g），则育雏鸡的鸡粪产生系数为0.04kg/d·只。</w:t>
      </w:r>
    </w:p>
    <w:p w14:paraId="31CC70D9">
      <w:pPr>
        <w:spacing w:line="360" w:lineRule="auto"/>
        <w:ind w:firstLine="48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养殖场全年蛋鸡和</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存栏量分别为30万羽，则项目</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鸡粪产生量为4380t/a，蛋鸡鸡粪产生量为14235t/a，鸡粪总量为18615t/a。</w:t>
      </w:r>
    </w:p>
    <w:p w14:paraId="0560853B">
      <w:pPr>
        <w:pStyle w:val="16"/>
        <w:bidi w:val="0"/>
        <w:rPr>
          <w:rFonts w:hint="default" w:ascii="Times New Roman" w:hAnsi="Times New Roman" w:cs="Times New Roman"/>
          <w:color w:val="FF0000"/>
          <w:sz w:val="24"/>
          <w:szCs w:val="24"/>
          <w:lang w:val="en-US" w:eastAsia="zh-CN"/>
        </w:rPr>
      </w:pPr>
      <w:r>
        <w:rPr>
          <w:rFonts w:hint="default" w:ascii="Times New Roman" w:hAnsi="Times New Roman" w:cs="Times New Roman"/>
          <w:color w:val="FF0000"/>
          <w:sz w:val="24"/>
          <w:szCs w:val="24"/>
          <w:lang w:eastAsia="zh-CN"/>
        </w:rPr>
        <w:t>本项目采取干清粪工艺，每栋鸡舍均设自动清粪系统，鸡舍内设横斜向</w:t>
      </w:r>
      <w:r>
        <w:rPr>
          <w:rFonts w:hint="eastAsia" w:ascii="Times New Roman" w:hAnsi="Times New Roman" w:cs="Times New Roman"/>
          <w:color w:val="FF0000"/>
          <w:sz w:val="24"/>
          <w:szCs w:val="24"/>
          <w:lang w:eastAsia="zh-CN"/>
        </w:rPr>
        <w:t>粪便传送带</w:t>
      </w:r>
      <w:r>
        <w:rPr>
          <w:rFonts w:hint="default" w:ascii="Times New Roman" w:hAnsi="Times New Roman" w:cs="Times New Roman"/>
          <w:color w:val="FF0000"/>
          <w:sz w:val="24"/>
          <w:szCs w:val="24"/>
          <w:lang w:eastAsia="zh-CN"/>
        </w:rPr>
        <w:t>，鸡排出的粪便主要通过清粪机进入横向</w:t>
      </w:r>
      <w:r>
        <w:rPr>
          <w:rFonts w:hint="eastAsia" w:ascii="Times New Roman" w:hAnsi="Times New Roman" w:cs="Times New Roman"/>
          <w:color w:val="FF0000"/>
          <w:sz w:val="24"/>
          <w:szCs w:val="24"/>
          <w:lang w:eastAsia="zh-CN"/>
        </w:rPr>
        <w:t>粪便传送带</w:t>
      </w:r>
      <w:r>
        <w:rPr>
          <w:rFonts w:hint="default" w:ascii="Times New Roman" w:hAnsi="Times New Roman" w:cs="Times New Roman"/>
          <w:color w:val="FF0000"/>
          <w:sz w:val="24"/>
          <w:szCs w:val="24"/>
          <w:lang w:eastAsia="zh-CN"/>
        </w:rPr>
        <w:t>内，传输至清粪房再通过斜向</w:t>
      </w:r>
      <w:r>
        <w:rPr>
          <w:rFonts w:hint="eastAsia" w:ascii="Times New Roman" w:hAnsi="Times New Roman" w:cs="Times New Roman"/>
          <w:color w:val="FF0000"/>
          <w:sz w:val="24"/>
          <w:szCs w:val="24"/>
          <w:lang w:eastAsia="zh-CN"/>
        </w:rPr>
        <w:t>粪便传送带</w:t>
      </w:r>
      <w:r>
        <w:rPr>
          <w:rFonts w:hint="default" w:ascii="Times New Roman" w:hAnsi="Times New Roman" w:cs="Times New Roman"/>
          <w:color w:val="FF0000"/>
          <w:sz w:val="24"/>
          <w:szCs w:val="24"/>
          <w:lang w:eastAsia="zh-CN"/>
        </w:rPr>
        <w:t>进入鸡粪发酵</w:t>
      </w:r>
      <w:r>
        <w:rPr>
          <w:rFonts w:hint="eastAsia" w:ascii="Times New Roman" w:hAnsi="Times New Roman" w:cs="Times New Roman"/>
          <w:color w:val="FF0000"/>
          <w:sz w:val="24"/>
          <w:szCs w:val="24"/>
          <w:lang w:eastAsia="zh-CN"/>
        </w:rPr>
        <w:t>处理厂</w:t>
      </w:r>
      <w:r>
        <w:rPr>
          <w:rFonts w:hint="default" w:ascii="Times New Roman" w:hAnsi="Times New Roman" w:cs="Times New Roman"/>
          <w:color w:val="FF0000"/>
          <w:sz w:val="24"/>
          <w:szCs w:val="24"/>
          <w:lang w:eastAsia="zh-CN"/>
        </w:rPr>
        <w:t>，发酵处理后，鸡粪的转化率为80%，则有机肥的产量为</w:t>
      </w:r>
      <w:r>
        <w:rPr>
          <w:rFonts w:hint="default" w:ascii="Times New Roman" w:hAnsi="Times New Roman" w:cs="Times New Roman"/>
          <w:color w:val="FF0000"/>
          <w:sz w:val="24"/>
          <w:szCs w:val="24"/>
          <w:lang w:val="en-US" w:eastAsia="zh-CN"/>
        </w:rPr>
        <w:t>14892t/a</w:t>
      </w:r>
      <w:r>
        <w:rPr>
          <w:rFonts w:hint="default" w:ascii="Times New Roman" w:hAnsi="Times New Roman" w:cs="Times New Roman"/>
          <w:color w:val="FF0000"/>
          <w:sz w:val="24"/>
          <w:szCs w:val="24"/>
          <w:lang w:eastAsia="zh-CN"/>
        </w:rPr>
        <w:t>，外售农户综合利用</w:t>
      </w:r>
      <w:r>
        <w:rPr>
          <w:rFonts w:hint="default" w:ascii="Times New Roman" w:hAnsi="Times New Roman" w:cs="Times New Roman"/>
          <w:color w:val="FF0000"/>
          <w:sz w:val="24"/>
          <w:szCs w:val="24"/>
          <w:lang w:val="en-US" w:eastAsia="zh-CN"/>
        </w:rPr>
        <w:t>。</w:t>
      </w:r>
    </w:p>
    <w:p w14:paraId="1CE9FDB5">
      <w:pPr>
        <w:pStyle w:val="16"/>
        <w:bidi w:val="0"/>
        <w:rPr>
          <w:rFonts w:hint="default" w:ascii="Times New Roman" w:hAnsi="Times New Roman" w:cs="Times New Roman"/>
          <w:color w:val="FF0000"/>
          <w:sz w:val="24"/>
          <w:szCs w:val="24"/>
        </w:rPr>
      </w:pPr>
      <w:r>
        <w:rPr>
          <w:rFonts w:hint="default" w:ascii="Times New Roman" w:hAnsi="Times New Roman" w:cs="Times New Roman"/>
          <w:color w:val="FF0000"/>
          <w:lang w:val="en-US" w:eastAsia="zh-CN"/>
        </w:rPr>
        <w:t>根据《畜禽粪污土地承载力测算技术指南》本项目规模养殖场氮养分配套土地面积649.52hm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，磷养分配套土地面积457.2hm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，北屯市有10万亩玉米（66670000hm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），项目周边拥有的土地面积大于需要的面积，因此本项目产生的粪污可以被周边农作物充分消纳。</w:t>
      </w:r>
    </w:p>
    <w:p w14:paraId="51EED93E">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lang w:eastAsia="zh-CN"/>
        </w:rPr>
      </w:pPr>
      <w:r>
        <w:rPr>
          <w:rFonts w:hint="default" w:ascii="Times New Roman" w:hAnsi="Times New Roman" w:cs="Times New Roman"/>
          <w:color w:val="FF0000"/>
          <w:sz w:val="24"/>
          <w:szCs w:val="24"/>
        </w:rPr>
        <w:t>（2）病死</w:t>
      </w:r>
      <w:r>
        <w:rPr>
          <w:rFonts w:hint="default" w:ascii="Times New Roman" w:hAnsi="Times New Roman" w:cs="Times New Roman"/>
          <w:color w:val="FF0000"/>
          <w:sz w:val="24"/>
          <w:szCs w:val="24"/>
          <w:lang w:eastAsia="zh-CN"/>
        </w:rPr>
        <w:t>鸡</w:t>
      </w:r>
    </w:p>
    <w:p w14:paraId="53B4A0F6">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cs="Times New Roman"/>
          <w:color w:val="FF0000"/>
          <w:sz w:val="24"/>
          <w:szCs w:val="24"/>
          <w:lang w:val="en-US" w:eastAsia="zh-CN"/>
        </w:rPr>
        <w:t>根据《规模化畜禽养殖场环境影响评价与实例研究》（农业环境科学学报）文献中，一般情况下规模化养鸡场病死鸡控制在0.1%~0.2%，本项目鸡舍采用国内先进养殖设备，专业化养殖团队，鸡只死亡率可控制在0.1%，则本项目年病死鸡为600只，以鸡只平均重量1.5kg/只计，约为0.9t/a。</w:t>
      </w:r>
    </w:p>
    <w:p w14:paraId="590847C1">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highlight w:val="yellow"/>
        </w:rPr>
      </w:pPr>
      <w:r>
        <w:rPr>
          <w:rFonts w:hint="default" w:ascii="Times New Roman" w:hAnsi="Times New Roman" w:cs="Times New Roman"/>
          <w:color w:val="FF0000"/>
          <w:sz w:val="24"/>
          <w:szCs w:val="24"/>
          <w:lang w:val="en-US" w:eastAsia="zh-CN"/>
        </w:rPr>
        <w:t>根据《畜禽养殖业污染防治技术规范》（HJ/T81-2001）、《畜禽养殖业污染治理工程技术规范》（HJ497-2009）及《病死及病害动物无害化处理技术规范》（农医发〔2017〕25号）中的相关规定和要求，病死鸡尸体应及时进行无害化处理，本项目采用</w:t>
      </w:r>
      <w:r>
        <w:rPr>
          <w:rFonts w:hint="eastAsia" w:ascii="Times New Roman" w:hAnsi="Times New Roman" w:cs="Times New Roman"/>
          <w:color w:val="FF0000"/>
          <w:sz w:val="24"/>
          <w:szCs w:val="24"/>
          <w:lang w:val="en-US" w:eastAsia="zh-CN"/>
        </w:rPr>
        <w:t>安全填埋场</w:t>
      </w:r>
      <w:r>
        <w:rPr>
          <w:rFonts w:hint="default" w:ascii="Times New Roman" w:hAnsi="Times New Roman" w:cs="Times New Roman"/>
          <w:color w:val="FF0000"/>
          <w:sz w:val="24"/>
          <w:szCs w:val="24"/>
          <w:lang w:val="en-US" w:eastAsia="zh-CN"/>
        </w:rPr>
        <w:t>处置方式，在项目区东南侧设置安全填埋井1座，采用混凝土结构，井底及四周做重点防渗层，防渗要求：等效黏土防渗层Mb≥6.0m，k≤1.0×10</w:t>
      </w:r>
      <w:r>
        <w:rPr>
          <w:rFonts w:hint="default" w:ascii="Times New Roman" w:hAnsi="Times New Roman" w:cs="Times New Roman"/>
          <w:color w:val="FF0000"/>
          <w:sz w:val="24"/>
          <w:szCs w:val="24"/>
          <w:vertAlign w:val="superscript"/>
          <w:lang w:val="en-US" w:eastAsia="zh-CN"/>
        </w:rPr>
        <w:t>-7</w:t>
      </w:r>
      <w:r>
        <w:rPr>
          <w:rFonts w:hint="default" w:ascii="Times New Roman" w:hAnsi="Times New Roman" w:cs="Times New Roman"/>
          <w:color w:val="FF0000"/>
          <w:sz w:val="24"/>
          <w:szCs w:val="24"/>
          <w:lang w:val="en-US" w:eastAsia="zh-CN"/>
        </w:rPr>
        <w:t>cm/s；或参照GB18598执行。</w:t>
      </w:r>
      <w:r>
        <w:rPr>
          <w:rFonts w:hint="eastAsia" w:ascii="Times New Roman" w:hAnsi="Times New Roman" w:cs="Times New Roman"/>
          <w:color w:val="FF0000"/>
          <w:sz w:val="24"/>
          <w:szCs w:val="24"/>
          <w:lang w:val="en-US" w:eastAsia="zh-CN"/>
        </w:rPr>
        <w:t>安全填埋场</w:t>
      </w:r>
      <w:r>
        <w:rPr>
          <w:rFonts w:hint="default" w:ascii="Times New Roman" w:hAnsi="Times New Roman" w:cs="Times New Roman"/>
          <w:color w:val="FF0000"/>
          <w:sz w:val="24"/>
          <w:szCs w:val="24"/>
          <w:lang w:val="en-US" w:eastAsia="zh-CN"/>
        </w:rPr>
        <w:t>尺寸为</w:t>
      </w:r>
      <w:r>
        <w:rPr>
          <w:rFonts w:hint="default" w:ascii="Times New Roman" w:hAnsi="Times New Roman" w:cs="Times New Roman"/>
          <w:color w:val="FF0000"/>
          <w:sz w:val="24"/>
          <w:szCs w:val="24"/>
          <w:highlight w:val="none"/>
          <w:lang w:val="en-US" w:eastAsia="zh-CN"/>
        </w:rPr>
        <w:t>：长3m×宽3m×深2m（18m</w:t>
      </w:r>
      <w:r>
        <w:rPr>
          <w:rFonts w:hint="default" w:ascii="Times New Roman" w:hAnsi="Times New Roman" w:cs="Times New Roman"/>
          <w:color w:val="FF0000"/>
          <w:sz w:val="24"/>
          <w:szCs w:val="24"/>
          <w:highlight w:val="none"/>
          <w:vertAlign w:val="superscript"/>
          <w:lang w:val="en-US" w:eastAsia="zh-CN"/>
        </w:rPr>
        <w:t>3</w:t>
      </w:r>
      <w:r>
        <w:rPr>
          <w:rFonts w:hint="default" w:ascii="Times New Roman" w:hAnsi="Times New Roman" w:cs="Times New Roman"/>
          <w:color w:val="FF0000"/>
          <w:sz w:val="24"/>
          <w:szCs w:val="24"/>
          <w:highlight w:val="none"/>
          <w:lang w:val="en-US" w:eastAsia="zh-CN"/>
        </w:rPr>
        <w:t>），井口加盖密封，病死鸡的密度约为1t/m</w:t>
      </w:r>
      <w:r>
        <w:rPr>
          <w:rFonts w:hint="default" w:ascii="Times New Roman" w:hAnsi="Times New Roman" w:cs="Times New Roman"/>
          <w:color w:val="FF0000"/>
          <w:sz w:val="24"/>
          <w:szCs w:val="24"/>
          <w:highlight w:val="none"/>
          <w:vertAlign w:val="superscript"/>
          <w:lang w:val="en-US" w:eastAsia="zh-CN"/>
        </w:rPr>
        <w:t>3</w:t>
      </w:r>
      <w:r>
        <w:rPr>
          <w:rFonts w:hint="default" w:ascii="Times New Roman" w:hAnsi="Times New Roman" w:cs="Times New Roman"/>
          <w:color w:val="FF0000"/>
          <w:sz w:val="24"/>
          <w:szCs w:val="24"/>
          <w:highlight w:val="none"/>
          <w:vertAlign w:val="baseline"/>
          <w:lang w:val="en-US" w:eastAsia="zh-CN"/>
        </w:rPr>
        <w:t>，</w:t>
      </w:r>
      <w:r>
        <w:rPr>
          <w:rFonts w:hint="default" w:ascii="Times New Roman" w:hAnsi="Times New Roman" w:eastAsia="Segoe UI" w:cs="Times New Roman"/>
          <w:i w:val="0"/>
          <w:iCs w:val="0"/>
          <w:caps w:val="0"/>
          <w:color w:val="FF0000"/>
          <w:spacing w:val="0"/>
          <w:sz w:val="24"/>
          <w:szCs w:val="24"/>
          <w:shd w:val="clear" w:fill="FFFFFF"/>
        </w:rPr>
        <w:t>按照每年产生</w:t>
      </w:r>
      <w:r>
        <w:rPr>
          <w:rFonts w:hint="default" w:ascii="Times New Roman" w:hAnsi="Times New Roman" w:eastAsia="宋体" w:cs="Times New Roman"/>
          <w:i w:val="0"/>
          <w:iCs w:val="0"/>
          <w:caps w:val="0"/>
          <w:color w:val="FF0000"/>
          <w:spacing w:val="0"/>
          <w:sz w:val="24"/>
          <w:szCs w:val="24"/>
          <w:shd w:val="clear" w:fill="FFFFFF"/>
          <w:lang w:val="en-US" w:eastAsia="zh-CN"/>
        </w:rPr>
        <w:t>0.9t/a</w:t>
      </w:r>
      <w:r>
        <w:rPr>
          <w:rFonts w:hint="default" w:ascii="Times New Roman" w:hAnsi="Times New Roman" w:eastAsia="Segoe UI" w:cs="Times New Roman"/>
          <w:i w:val="0"/>
          <w:iCs w:val="0"/>
          <w:caps w:val="0"/>
          <w:color w:val="FF0000"/>
          <w:spacing w:val="0"/>
          <w:sz w:val="24"/>
          <w:szCs w:val="24"/>
          <w:shd w:val="clear" w:fill="FFFFFF"/>
        </w:rPr>
        <w:t>病死鸡的量计算，可满足约</w:t>
      </w:r>
      <w:r>
        <w:rPr>
          <w:rFonts w:hint="default" w:ascii="Times New Roman" w:hAnsi="Times New Roman" w:eastAsia="宋体" w:cs="Times New Roman"/>
          <w:i w:val="0"/>
          <w:iCs w:val="0"/>
          <w:caps w:val="0"/>
          <w:color w:val="FF0000"/>
          <w:spacing w:val="0"/>
          <w:sz w:val="24"/>
          <w:szCs w:val="24"/>
          <w:shd w:val="clear" w:fill="FFFFFF"/>
          <w:lang w:val="en-US" w:eastAsia="zh-CN"/>
        </w:rPr>
        <w:t>20</w:t>
      </w:r>
      <w:r>
        <w:rPr>
          <w:rFonts w:hint="default" w:ascii="Times New Roman" w:hAnsi="Times New Roman" w:eastAsia="Segoe UI" w:cs="Times New Roman"/>
          <w:i w:val="0"/>
          <w:iCs w:val="0"/>
          <w:caps w:val="0"/>
          <w:color w:val="FF0000"/>
          <w:spacing w:val="0"/>
          <w:sz w:val="24"/>
          <w:szCs w:val="24"/>
          <w:shd w:val="clear" w:fill="FFFFFF"/>
        </w:rPr>
        <w:t>年的病死鸡填埋需求</w:t>
      </w:r>
      <w:r>
        <w:rPr>
          <w:rFonts w:hint="default" w:ascii="Times New Roman" w:hAnsi="Times New Roman" w:cs="Times New Roman"/>
          <w:color w:val="FF0000"/>
          <w:sz w:val="24"/>
          <w:szCs w:val="24"/>
          <w:highlight w:val="none"/>
          <w:lang w:val="en-US" w:eastAsia="zh-CN"/>
        </w:rPr>
        <w:t>。</w:t>
      </w:r>
    </w:p>
    <w:p w14:paraId="192E7325">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具体做法：进行填埋时，在每次投入病死鸡后，应覆盖一层厚度大于10cm的熟石灰，井填满后，需用黏土填埋压实并封口。</w:t>
      </w:r>
    </w:p>
    <w:p w14:paraId="540F0A15">
      <w:pPr>
        <w:keepNext w:val="0"/>
        <w:keepLines w:val="0"/>
        <w:pageBreakBefore w:val="0"/>
        <w:widowControl w:val="0"/>
        <w:numPr>
          <w:ilvl w:val="0"/>
          <w:numId w:val="0"/>
        </w:numPr>
        <w:kinsoku/>
        <w:wordWrap/>
        <w:overflowPunct/>
        <w:topLinePunct w:val="0"/>
        <w:bidi w:val="0"/>
        <w:adjustRightInd/>
        <w:snapToGrid/>
        <w:spacing w:line="360" w:lineRule="auto"/>
        <w:ind w:leftChars="0" w:firstLine="240" w:firstLineChars="1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饲料残渣及散落毛羽</w:t>
      </w:r>
    </w:p>
    <w:p w14:paraId="411056C6">
      <w:pPr>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鸡舍为易污染部位，应当每天清扫，其中废物主要为废饲料、散落的毛羽等，根据同类企业类比</w:t>
      </w:r>
      <w:r>
        <w:rPr>
          <w:rFonts w:hint="default" w:ascii="Times New Roman" w:hAnsi="Times New Roman" w:eastAsia="宋体" w:cs="Times New Roman"/>
          <w:color w:val="FF0000"/>
          <w:sz w:val="24"/>
          <w:szCs w:val="24"/>
          <w:lang w:eastAsia="zh-CN"/>
        </w:rPr>
        <w:t>《汉阴县现代化优质蛋鸡养殖项目》</w:t>
      </w:r>
      <w:r>
        <w:rPr>
          <w:rFonts w:hint="default" w:ascii="Times New Roman" w:hAnsi="Times New Roman" w:eastAsia="宋体" w:cs="Times New Roman"/>
          <w:color w:val="FF0000"/>
          <w:sz w:val="24"/>
          <w:szCs w:val="24"/>
        </w:rPr>
        <w:t>以及企业提供经验数据，年产生量为</w:t>
      </w:r>
      <w:r>
        <w:rPr>
          <w:rFonts w:hint="default" w:ascii="Times New Roman" w:hAnsi="Times New Roman" w:eastAsia="宋体" w:cs="Times New Roman"/>
          <w:color w:val="FF0000"/>
          <w:sz w:val="24"/>
          <w:szCs w:val="24"/>
          <w:lang w:val="en-US" w:eastAsia="zh-CN"/>
        </w:rPr>
        <w:t>2.5</w:t>
      </w:r>
      <w:r>
        <w:rPr>
          <w:rFonts w:hint="default" w:ascii="Times New Roman" w:hAnsi="Times New Roman" w:eastAsia="宋体" w:cs="Times New Roman"/>
          <w:color w:val="FF0000"/>
          <w:sz w:val="24"/>
          <w:szCs w:val="24"/>
        </w:rPr>
        <w:t>t/a。和鸡粪一起清理后送入</w:t>
      </w:r>
      <w:r>
        <w:rPr>
          <w:rFonts w:hint="default" w:ascii="Times New Roman" w:hAnsi="Times New Roman" w:cs="Times New Roman"/>
          <w:color w:val="FF0000"/>
          <w:sz w:val="24"/>
          <w:szCs w:val="24"/>
          <w:lang w:eastAsia="zh-CN"/>
        </w:rPr>
        <w:t>鸡粪发酵处理场</w:t>
      </w:r>
      <w:r>
        <w:rPr>
          <w:rFonts w:hint="default" w:ascii="Times New Roman" w:hAnsi="Times New Roman" w:cs="Times New Roman"/>
          <w:color w:val="FF0000"/>
          <w:sz w:val="24"/>
          <w:szCs w:val="24"/>
          <w:lang w:val="en-US" w:eastAsia="zh-CN"/>
        </w:rPr>
        <w:t>发酵</w:t>
      </w:r>
      <w:r>
        <w:rPr>
          <w:rFonts w:hint="default" w:ascii="Times New Roman" w:hAnsi="Times New Roman" w:eastAsia="宋体" w:cs="Times New Roman"/>
          <w:color w:val="FF0000"/>
          <w:sz w:val="24"/>
          <w:szCs w:val="24"/>
        </w:rPr>
        <w:t>处理。</w:t>
      </w:r>
    </w:p>
    <w:p w14:paraId="673A5A6F">
      <w:pPr>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4</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破损蛋</w:t>
      </w:r>
    </w:p>
    <w:p w14:paraId="0AD4D5D1">
      <w:pPr>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eastAsia="宋体" w:cs="Times New Roman"/>
          <w:color w:val="FF0000"/>
          <w:sz w:val="24"/>
          <w:szCs w:val="24"/>
        </w:rPr>
        <w:t>生产过程中，由于工人操作搬运不慎会产生少量破碎的鸡蛋和分拣过程中挑选的破损蛋，类比同类项目</w:t>
      </w:r>
      <w:r>
        <w:rPr>
          <w:rFonts w:hint="default" w:ascii="Times New Roman" w:hAnsi="Times New Roman" w:eastAsia="宋体" w:cs="Times New Roman"/>
          <w:color w:val="FF0000"/>
          <w:sz w:val="24"/>
          <w:szCs w:val="24"/>
          <w:lang w:eastAsia="zh-CN"/>
        </w:rPr>
        <w:t>《汉阴县现代化优质蛋鸡养殖项目》</w:t>
      </w:r>
      <w:r>
        <w:rPr>
          <w:rFonts w:hint="default" w:ascii="Times New Roman" w:hAnsi="Times New Roman" w:eastAsia="宋体" w:cs="Times New Roman"/>
          <w:color w:val="FF0000"/>
          <w:sz w:val="24"/>
          <w:szCs w:val="24"/>
        </w:rPr>
        <w:t>，破损蛋的产生量按0.1%计算</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2600万枚，每枚50克，产生量</w:t>
      </w:r>
      <w:r>
        <w:rPr>
          <w:rFonts w:hint="default" w:ascii="Times New Roman" w:hAnsi="Times New Roman" w:eastAsia="宋体" w:cs="Times New Roman"/>
          <w:color w:val="FF0000"/>
          <w:sz w:val="24"/>
          <w:szCs w:val="24"/>
        </w:rPr>
        <w:t>约为</w:t>
      </w:r>
      <w:r>
        <w:rPr>
          <w:rFonts w:hint="default" w:ascii="Times New Roman" w:hAnsi="Times New Roman" w:eastAsia="宋体" w:cs="Times New Roman"/>
          <w:color w:val="FF0000"/>
          <w:sz w:val="24"/>
          <w:szCs w:val="24"/>
          <w:lang w:val="en-US" w:eastAsia="zh-CN"/>
        </w:rPr>
        <w:t>1.3</w:t>
      </w:r>
      <w:r>
        <w:rPr>
          <w:rFonts w:hint="default" w:ascii="Times New Roman" w:hAnsi="Times New Roman" w:eastAsia="宋体" w:cs="Times New Roman"/>
          <w:color w:val="FF0000"/>
          <w:sz w:val="24"/>
          <w:szCs w:val="24"/>
        </w:rPr>
        <w:t>t/a，破碎鸡蛋与鸡粪一同投入</w:t>
      </w:r>
      <w:r>
        <w:rPr>
          <w:rFonts w:hint="default" w:ascii="Times New Roman" w:hAnsi="Times New Roman" w:cs="Times New Roman"/>
          <w:color w:val="FF0000"/>
          <w:sz w:val="24"/>
          <w:szCs w:val="24"/>
          <w:lang w:eastAsia="zh-CN"/>
        </w:rPr>
        <w:t>鸡粪发酵</w:t>
      </w:r>
      <w:r>
        <w:rPr>
          <w:rFonts w:hint="eastAsia" w:ascii="Times New Roman" w:hAnsi="Times New Roman" w:cs="Times New Roman"/>
          <w:color w:val="FF0000"/>
          <w:sz w:val="24"/>
          <w:szCs w:val="24"/>
          <w:lang w:eastAsia="zh-CN"/>
        </w:rPr>
        <w:t>处理厂</w:t>
      </w:r>
      <w:r>
        <w:rPr>
          <w:rFonts w:hint="default" w:ascii="Times New Roman" w:hAnsi="Times New Roman" w:cs="Times New Roman"/>
          <w:color w:val="FF0000"/>
          <w:sz w:val="24"/>
          <w:szCs w:val="24"/>
          <w:lang w:val="en-US" w:eastAsia="zh-CN"/>
        </w:rPr>
        <w:t>发酵</w:t>
      </w:r>
      <w:r>
        <w:rPr>
          <w:rFonts w:hint="default" w:ascii="Times New Roman" w:hAnsi="Times New Roman" w:eastAsia="宋体" w:cs="Times New Roman"/>
          <w:color w:val="FF0000"/>
          <w:sz w:val="24"/>
          <w:szCs w:val="24"/>
        </w:rPr>
        <w:t>处理。</w:t>
      </w:r>
    </w:p>
    <w:p w14:paraId="5F0AC41E">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）生活垃圾</w:t>
      </w:r>
    </w:p>
    <w:p w14:paraId="3990F1E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本项目生活垃圾主要是员工日常办公及生活产生的废物。本项目劳动定员</w:t>
      </w:r>
      <w:r>
        <w:rPr>
          <w:rFonts w:hint="default"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人，生活垃圾按每人每天0.5kg/d计，生活垃圾产生量约为</w:t>
      </w:r>
      <w:r>
        <w:rPr>
          <w:rFonts w:hint="default" w:ascii="Times New Roman" w:hAnsi="Times New Roman" w:cs="Times New Roman"/>
          <w:color w:val="auto"/>
          <w:sz w:val="24"/>
          <w:szCs w:val="24"/>
          <w:lang w:val="en-US" w:eastAsia="zh-CN"/>
        </w:rPr>
        <w:t>7.3</w:t>
      </w:r>
      <w:r>
        <w:rPr>
          <w:rFonts w:hint="default" w:ascii="Times New Roman" w:hAnsi="Times New Roman" w:cs="Times New Roman"/>
          <w:color w:val="auto"/>
          <w:sz w:val="24"/>
          <w:szCs w:val="24"/>
        </w:rPr>
        <w:t>t/a。生活垃圾集中收集后，委托环卫部门定期清运。</w:t>
      </w:r>
    </w:p>
    <w:p w14:paraId="221BD56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（6）废包装</w:t>
      </w:r>
    </w:p>
    <w:p w14:paraId="267ED16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本项目玉米和</w:t>
      </w:r>
      <w:r>
        <w:rPr>
          <w:rFonts w:hint="default" w:ascii="Times New Roman" w:hAnsi="Times New Roman" w:cs="Times New Roman"/>
          <w:b w:val="0"/>
          <w:color w:val="auto"/>
          <w:kern w:val="2"/>
          <w:sz w:val="24"/>
          <w:szCs w:val="24"/>
          <w:lang w:val="en-US" w:eastAsia="zh-CN" w:bidi="ar-SA"/>
        </w:rPr>
        <w:t>豆粕</w:t>
      </w:r>
      <w:r>
        <w:rPr>
          <w:rFonts w:hint="default" w:ascii="Times New Roman" w:hAnsi="Times New Roman" w:eastAsia="宋体" w:cs="Times New Roman"/>
          <w:b w:val="0"/>
          <w:color w:val="auto"/>
          <w:kern w:val="2"/>
          <w:sz w:val="24"/>
          <w:szCs w:val="24"/>
          <w:lang w:val="en-US" w:eastAsia="zh-CN" w:bidi="ar-SA"/>
        </w:rPr>
        <w:t>，拆分使用过程中会产生废弃包装袋，废弃包装袋产生量约为2t/a，并由饲料原料厂家回收利用或外售。</w:t>
      </w:r>
    </w:p>
    <w:p w14:paraId="3980573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（7）粉尘</w:t>
      </w:r>
    </w:p>
    <w:p w14:paraId="28ACDE1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项目生产过程中产生的粉尘经收集后，由布袋除尘设施进行处理。根据工程分析废气核算情况，生产过程中除尘设施粉尘的收集量为0.43t/a，全部返回生产过程。</w:t>
      </w:r>
    </w:p>
    <w:p w14:paraId="16F6F7E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eastAsia="宋体" w:cs="Times New Roman"/>
          <w:b w:val="0"/>
          <w:color w:val="FF0000"/>
          <w:kern w:val="2"/>
          <w:sz w:val="24"/>
          <w:szCs w:val="24"/>
          <w:lang w:val="en-US" w:eastAsia="zh-CN" w:bidi="ar-SA"/>
        </w:rPr>
        <w:t>（8）医疗废</w:t>
      </w:r>
      <w:r>
        <w:rPr>
          <w:rFonts w:hint="default" w:ascii="Times New Roman" w:hAnsi="Times New Roman" w:cs="Times New Roman"/>
          <w:color w:val="FF0000"/>
          <w:sz w:val="24"/>
          <w:szCs w:val="24"/>
        </w:rPr>
        <w:t>物</w:t>
      </w:r>
    </w:p>
    <w:p w14:paraId="24EF948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cs="Times New Roman"/>
          <w:color w:val="FF0000"/>
          <w:sz w:val="24"/>
          <w:szCs w:val="24"/>
          <w:lang w:val="en-US" w:eastAsia="zh-CN"/>
        </w:rPr>
        <w:t>本项目对养殖场内鸡进行防疫、治疗过程中会产生少量废注射用具、过期药品。</w:t>
      </w:r>
    </w:p>
    <w:p w14:paraId="231CA0F8">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lang w:val="en-US" w:eastAsia="zh-CN"/>
        </w:rPr>
      </w:pPr>
      <w:r>
        <w:rPr>
          <w:rFonts w:hint="default" w:ascii="Times New Roman" w:hAnsi="Times New Roman" w:eastAsia="宋体" w:cs="Times New Roman"/>
          <w:sz w:val="24"/>
          <w:szCs w:val="24"/>
        </w:rPr>
        <w:t>本项目在运营过程中，会对蛋鸡进行定时接种疫苗，日常防疫化验以及对病伤鸡进行救治，在此过程中会产生一定量的医疗废物如、针头、针管、培养皿、血清、试管、药瓶、不能再使用的药品、酒精棉以及其他一些报废的医疗器具，根据《国家危险废物名录》（2025版），项目产生的防疫废物不属于危险废物。根据建设单位提供资料及同类企业</w:t>
      </w:r>
      <w:r>
        <w:rPr>
          <w:rFonts w:hint="default" w:ascii="Times New Roman" w:hAnsi="Times New Roman" w:eastAsia="宋体" w:cs="Times New Roman"/>
          <w:color w:val="FF0000"/>
          <w:sz w:val="24"/>
          <w:szCs w:val="24"/>
          <w:lang w:eastAsia="zh-CN"/>
        </w:rPr>
        <w:t>《汉阴县现代化优质蛋鸡养殖项目》</w:t>
      </w:r>
      <w:r>
        <w:rPr>
          <w:rFonts w:hint="default" w:ascii="Times New Roman" w:hAnsi="Times New Roman" w:eastAsia="宋体" w:cs="Times New Roman"/>
          <w:sz w:val="24"/>
          <w:szCs w:val="24"/>
        </w:rPr>
        <w:t>类比，鸡防疫产生医疗量约为</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1kg/500只a，经核算，本项目运营过程中医疗废物及防疫废物产生量约为</w:t>
      </w:r>
      <w:r>
        <w:rPr>
          <w:rFonts w:hint="default" w:ascii="Times New Roman" w:hAnsi="Times New Roman" w:eastAsia="宋体" w:cs="Times New Roman"/>
          <w:sz w:val="24"/>
          <w:szCs w:val="24"/>
          <w:lang w:val="en-US" w:eastAsia="zh-CN"/>
        </w:rPr>
        <w:t>0.12</w:t>
      </w:r>
      <w:r>
        <w:rPr>
          <w:rFonts w:hint="default" w:ascii="Times New Roman" w:hAnsi="Times New Roman" w:eastAsia="宋体" w:cs="Times New Roman"/>
          <w:sz w:val="24"/>
          <w:szCs w:val="24"/>
        </w:rPr>
        <w:t>t/a，暂存于医疗废物暂存间后，运营单位将防疫废物煮沸后作为生活垃圾交环卫部门统一处理。</w:t>
      </w:r>
    </w:p>
    <w:p w14:paraId="07E6B62B">
      <w:pPr>
        <w:pStyle w:val="14"/>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
          <w:bCs/>
          <w:color w:val="auto"/>
          <w:sz w:val="21"/>
          <w:szCs w:val="21"/>
        </w:rPr>
        <w:t>本项目固废产生和处理措施</w:t>
      </w:r>
    </w:p>
    <w:tbl>
      <w:tblPr>
        <w:tblStyle w:val="33"/>
        <w:tblW w:w="8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2"/>
        <w:gridCol w:w="1097"/>
        <w:gridCol w:w="866"/>
        <w:gridCol w:w="917"/>
        <w:gridCol w:w="840"/>
        <w:gridCol w:w="4395"/>
      </w:tblGrid>
      <w:tr w14:paraId="661F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2" w:type="dxa"/>
            <w:noWrap/>
            <w:vAlign w:val="center"/>
          </w:tcPr>
          <w:p w14:paraId="55C80BA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97" w:type="dxa"/>
            <w:noWrap/>
            <w:vAlign w:val="center"/>
          </w:tcPr>
          <w:p w14:paraId="52BA876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866" w:type="dxa"/>
            <w:noWrap/>
            <w:vAlign w:val="center"/>
          </w:tcPr>
          <w:p w14:paraId="178B477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1757" w:type="dxa"/>
            <w:gridSpan w:val="2"/>
            <w:noWrap/>
            <w:vAlign w:val="center"/>
          </w:tcPr>
          <w:p w14:paraId="407B345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4395" w:type="dxa"/>
            <w:noWrap/>
            <w:vAlign w:val="center"/>
          </w:tcPr>
          <w:p w14:paraId="2FFA885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处理措施</w:t>
            </w:r>
          </w:p>
        </w:tc>
      </w:tr>
      <w:tr w14:paraId="3809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462" w:type="dxa"/>
            <w:noWrap/>
            <w:vAlign w:val="center"/>
          </w:tcPr>
          <w:p w14:paraId="03A8AE7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97" w:type="dxa"/>
            <w:noWrap/>
            <w:vAlign w:val="center"/>
          </w:tcPr>
          <w:p w14:paraId="474B0D4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鸡</w:t>
            </w:r>
            <w:r>
              <w:rPr>
                <w:rFonts w:hint="default" w:ascii="Times New Roman" w:hAnsi="Times New Roman" w:cs="Times New Roman"/>
                <w:color w:val="auto"/>
                <w:sz w:val="21"/>
                <w:szCs w:val="21"/>
              </w:rPr>
              <w:t>粪</w:t>
            </w:r>
          </w:p>
        </w:tc>
        <w:tc>
          <w:tcPr>
            <w:tcW w:w="866" w:type="dxa"/>
            <w:noWrap/>
            <w:vAlign w:val="center"/>
          </w:tcPr>
          <w:p w14:paraId="325FAB8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28470</w:t>
            </w:r>
          </w:p>
        </w:tc>
        <w:tc>
          <w:tcPr>
            <w:tcW w:w="917" w:type="dxa"/>
            <w:noWrap/>
            <w:vAlign w:val="center"/>
          </w:tcPr>
          <w:p w14:paraId="6111C5AE">
            <w:pPr>
              <w:pStyle w:val="69"/>
              <w:ind w:left="0" w:leftChars="0" w:right="-7" w:rightChars="0" w:firstLine="0" w:firstLineChars="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zh-CN" w:eastAsia="zh-CN"/>
              </w:rPr>
              <w:t>SW82畜牧业废物</w:t>
            </w:r>
          </w:p>
        </w:tc>
        <w:tc>
          <w:tcPr>
            <w:tcW w:w="840" w:type="dxa"/>
            <w:noWrap/>
            <w:vAlign w:val="center"/>
          </w:tcPr>
          <w:p w14:paraId="43682B41">
            <w:pPr>
              <w:pStyle w:val="69"/>
              <w:ind w:left="0" w:leftChars="0" w:right="-7"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zh-CN" w:eastAsia="zh-CN"/>
              </w:rPr>
              <w:t>030-001-S82</w:t>
            </w:r>
          </w:p>
        </w:tc>
        <w:tc>
          <w:tcPr>
            <w:tcW w:w="4395" w:type="dxa"/>
            <w:noWrap/>
            <w:vAlign w:val="center"/>
          </w:tcPr>
          <w:p w14:paraId="4E68E8B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采取干清粪工艺，每栋鸡舍均设自动清粪系统，鸡舍内设横斜向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，鸡排出的粪便主要通过清粪机进入横向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内，传输至清粪房再通过斜向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进入</w:t>
            </w:r>
            <w:r>
              <w:rPr>
                <w:rFonts w:hint="default" w:ascii="Times New Roman" w:hAnsi="Times New Roman" w:cs="Times New Roman"/>
                <w:color w:val="auto"/>
                <w:sz w:val="21"/>
                <w:szCs w:val="21"/>
                <w:lang w:eastAsia="zh-CN"/>
              </w:rPr>
              <w:t>鸡粪发酵处理场</w:t>
            </w:r>
            <w:r>
              <w:rPr>
                <w:rFonts w:hint="default" w:ascii="Times New Roman" w:hAnsi="Times New Roman" w:cs="Times New Roman"/>
                <w:color w:val="auto"/>
                <w:sz w:val="21"/>
                <w:szCs w:val="21"/>
              </w:rPr>
              <w:t>，发酵处理后，</w:t>
            </w:r>
            <w:r>
              <w:rPr>
                <w:rFonts w:hint="default" w:ascii="Times New Roman" w:hAnsi="Times New Roman" w:cs="Times New Roman"/>
                <w:color w:val="auto"/>
                <w:sz w:val="21"/>
                <w:szCs w:val="21"/>
                <w:lang w:eastAsia="zh-CN"/>
              </w:rPr>
              <w:t>外售农户综合利用</w:t>
            </w:r>
          </w:p>
        </w:tc>
      </w:tr>
      <w:tr w14:paraId="6651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462" w:type="dxa"/>
            <w:noWrap/>
            <w:vAlign w:val="center"/>
          </w:tcPr>
          <w:p w14:paraId="4D4E1D6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97" w:type="dxa"/>
            <w:noWrap/>
            <w:vAlign w:val="center"/>
          </w:tcPr>
          <w:p w14:paraId="5A364CB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866" w:type="dxa"/>
            <w:noWrap/>
            <w:vAlign w:val="center"/>
          </w:tcPr>
          <w:p w14:paraId="1A718A1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7.3</w:t>
            </w:r>
          </w:p>
        </w:tc>
        <w:tc>
          <w:tcPr>
            <w:tcW w:w="917" w:type="dxa"/>
            <w:noWrap/>
            <w:vAlign w:val="center"/>
          </w:tcPr>
          <w:p w14:paraId="28710F3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40" w:type="dxa"/>
            <w:noWrap/>
            <w:vAlign w:val="center"/>
          </w:tcPr>
          <w:p w14:paraId="3502C50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395" w:type="dxa"/>
            <w:noWrap/>
            <w:vAlign w:val="center"/>
          </w:tcPr>
          <w:p w14:paraId="2E82FD4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集中收集，委托环卫部门清运</w:t>
            </w:r>
          </w:p>
        </w:tc>
      </w:tr>
      <w:tr w14:paraId="56E7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462" w:type="dxa"/>
            <w:noWrap/>
            <w:vAlign w:val="center"/>
          </w:tcPr>
          <w:p w14:paraId="6664C23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097" w:type="dxa"/>
            <w:noWrap/>
            <w:vAlign w:val="center"/>
          </w:tcPr>
          <w:p w14:paraId="3C22347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病死</w:t>
            </w:r>
            <w:r>
              <w:rPr>
                <w:rFonts w:hint="default" w:ascii="Times New Roman" w:hAnsi="Times New Roman" w:cs="Times New Roman"/>
                <w:color w:val="auto"/>
                <w:sz w:val="21"/>
                <w:szCs w:val="21"/>
                <w:lang w:eastAsia="zh-CN"/>
              </w:rPr>
              <w:t>鸡</w:t>
            </w:r>
          </w:p>
        </w:tc>
        <w:tc>
          <w:tcPr>
            <w:tcW w:w="866" w:type="dxa"/>
            <w:noWrap/>
            <w:vAlign w:val="center"/>
          </w:tcPr>
          <w:p w14:paraId="6D4ABEE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0.9</w:t>
            </w:r>
          </w:p>
        </w:tc>
        <w:tc>
          <w:tcPr>
            <w:tcW w:w="917" w:type="dxa"/>
            <w:noWrap/>
            <w:vAlign w:val="center"/>
          </w:tcPr>
          <w:p w14:paraId="202E5672">
            <w:pPr>
              <w:pStyle w:val="69"/>
              <w:ind w:left="0" w:leftChars="0" w:right="-7"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SW82畜牧业废物</w:t>
            </w:r>
          </w:p>
        </w:tc>
        <w:tc>
          <w:tcPr>
            <w:tcW w:w="840" w:type="dxa"/>
            <w:noWrap/>
            <w:vAlign w:val="center"/>
          </w:tcPr>
          <w:p w14:paraId="4EEBACBA">
            <w:pPr>
              <w:pStyle w:val="69"/>
              <w:ind w:left="0" w:leftChars="0" w:right="-7" w:rightChars="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030-002-S82</w:t>
            </w:r>
          </w:p>
        </w:tc>
        <w:tc>
          <w:tcPr>
            <w:tcW w:w="4395" w:type="dxa"/>
            <w:noWrap/>
            <w:vAlign w:val="center"/>
          </w:tcPr>
          <w:p w14:paraId="51DB650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无害化填埋处置</w:t>
            </w:r>
          </w:p>
        </w:tc>
      </w:tr>
      <w:tr w14:paraId="7482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462" w:type="dxa"/>
            <w:noWrap/>
            <w:vAlign w:val="center"/>
          </w:tcPr>
          <w:p w14:paraId="4A3E9A8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w:t>
            </w:r>
          </w:p>
        </w:tc>
        <w:tc>
          <w:tcPr>
            <w:tcW w:w="1097" w:type="dxa"/>
            <w:noWrap/>
            <w:vAlign w:val="center"/>
          </w:tcPr>
          <w:p w14:paraId="43D54DD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动物</w:t>
            </w:r>
            <w:r>
              <w:rPr>
                <w:rFonts w:hint="default" w:ascii="Times New Roman" w:hAnsi="Times New Roman" w:cs="Times New Roman"/>
                <w:color w:val="auto"/>
                <w:sz w:val="21"/>
                <w:szCs w:val="21"/>
              </w:rPr>
              <w:t>医疗废物</w:t>
            </w:r>
          </w:p>
        </w:tc>
        <w:tc>
          <w:tcPr>
            <w:tcW w:w="866" w:type="dxa"/>
            <w:noWrap/>
            <w:vAlign w:val="center"/>
          </w:tcPr>
          <w:p w14:paraId="1BCD1A6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0.12</w:t>
            </w:r>
          </w:p>
        </w:tc>
        <w:tc>
          <w:tcPr>
            <w:tcW w:w="917" w:type="dxa"/>
            <w:noWrap/>
            <w:vAlign w:val="center"/>
          </w:tcPr>
          <w:p w14:paraId="16557F3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zh-CN" w:eastAsia="zh-CN"/>
              </w:rPr>
              <w:t>SW82畜牧业废物</w:t>
            </w:r>
          </w:p>
        </w:tc>
        <w:tc>
          <w:tcPr>
            <w:tcW w:w="840" w:type="dxa"/>
            <w:noWrap/>
            <w:vAlign w:val="center"/>
          </w:tcPr>
          <w:p w14:paraId="53B5AD5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zh-CN" w:eastAsia="zh-CN"/>
              </w:rPr>
              <w:t>030-003-S82</w:t>
            </w:r>
          </w:p>
        </w:tc>
        <w:tc>
          <w:tcPr>
            <w:tcW w:w="4395" w:type="dxa"/>
            <w:noWrap/>
            <w:vAlign w:val="center"/>
          </w:tcPr>
          <w:p w14:paraId="18F2E93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暂存于医疗废物暂存间，运营单位将防疫废物煮沸后作为生活垃圾交环卫部门统一处理</w:t>
            </w:r>
          </w:p>
        </w:tc>
      </w:tr>
      <w:tr w14:paraId="6FC4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462" w:type="dxa"/>
            <w:noWrap/>
            <w:vAlign w:val="center"/>
          </w:tcPr>
          <w:p w14:paraId="23C6D88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w:t>
            </w:r>
          </w:p>
        </w:tc>
        <w:tc>
          <w:tcPr>
            <w:tcW w:w="1097" w:type="dxa"/>
            <w:noWrap/>
            <w:vAlign w:val="center"/>
          </w:tcPr>
          <w:p w14:paraId="643C2CA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废包装</w:t>
            </w:r>
          </w:p>
        </w:tc>
        <w:tc>
          <w:tcPr>
            <w:tcW w:w="866" w:type="dxa"/>
            <w:noWrap/>
            <w:vAlign w:val="center"/>
          </w:tcPr>
          <w:p w14:paraId="61EF797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917" w:type="dxa"/>
            <w:noWrap/>
            <w:vAlign w:val="center"/>
          </w:tcPr>
          <w:p w14:paraId="7D50C15B">
            <w:pPr>
              <w:pStyle w:val="69"/>
              <w:ind w:left="0" w:leftChars="0" w:right="-7"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zh-CN" w:eastAsia="zh-CN"/>
              </w:rPr>
              <w:t>SW82畜牧业废物</w:t>
            </w:r>
          </w:p>
        </w:tc>
        <w:tc>
          <w:tcPr>
            <w:tcW w:w="840" w:type="dxa"/>
            <w:noWrap/>
            <w:vAlign w:val="center"/>
          </w:tcPr>
          <w:p w14:paraId="4ACABEDE">
            <w:pPr>
              <w:pStyle w:val="69"/>
              <w:ind w:left="0" w:leftChars="0" w:right="-7"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zh-CN" w:eastAsia="zh-CN"/>
              </w:rPr>
              <w:t>030-003-S82</w:t>
            </w:r>
          </w:p>
        </w:tc>
        <w:tc>
          <w:tcPr>
            <w:tcW w:w="4395" w:type="dxa"/>
            <w:noWrap/>
            <w:vAlign w:val="center"/>
          </w:tcPr>
          <w:p w14:paraId="3AA26A7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由饲料原料厂家回收利用</w:t>
            </w:r>
            <w:r>
              <w:rPr>
                <w:rFonts w:hint="default" w:ascii="Times New Roman" w:hAnsi="Times New Roman" w:cs="Times New Roman"/>
                <w:color w:val="auto"/>
                <w:sz w:val="21"/>
                <w:szCs w:val="21"/>
                <w:lang w:val="en-US" w:eastAsia="zh-CN"/>
              </w:rPr>
              <w:t>或外售</w:t>
            </w:r>
          </w:p>
        </w:tc>
      </w:tr>
      <w:tr w14:paraId="6E66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462" w:type="dxa"/>
            <w:noWrap/>
            <w:vAlign w:val="center"/>
          </w:tcPr>
          <w:p w14:paraId="1CCE07D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097" w:type="dxa"/>
            <w:noWrap/>
            <w:vAlign w:val="center"/>
          </w:tcPr>
          <w:p w14:paraId="4FE8510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rPr>
              <w:t>破损蛋</w:t>
            </w:r>
          </w:p>
        </w:tc>
        <w:tc>
          <w:tcPr>
            <w:tcW w:w="866" w:type="dxa"/>
            <w:noWrap/>
            <w:vAlign w:val="center"/>
          </w:tcPr>
          <w:p w14:paraId="187C5D6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917" w:type="dxa"/>
            <w:noWrap/>
            <w:vAlign w:val="center"/>
          </w:tcPr>
          <w:p w14:paraId="213227BA">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SW82畜牧业废物</w:t>
            </w:r>
          </w:p>
        </w:tc>
        <w:tc>
          <w:tcPr>
            <w:tcW w:w="840" w:type="dxa"/>
            <w:noWrap/>
            <w:vAlign w:val="center"/>
          </w:tcPr>
          <w:p w14:paraId="1666C621">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030-002-S82</w:t>
            </w:r>
          </w:p>
        </w:tc>
        <w:tc>
          <w:tcPr>
            <w:tcW w:w="4395" w:type="dxa"/>
            <w:noWrap/>
            <w:vAlign w:val="center"/>
          </w:tcPr>
          <w:p w14:paraId="028B0A5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斜向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进入</w:t>
            </w:r>
            <w:r>
              <w:rPr>
                <w:rFonts w:hint="default" w:ascii="Times New Roman" w:hAnsi="Times New Roman" w:cs="Times New Roman"/>
                <w:color w:val="auto"/>
                <w:sz w:val="21"/>
                <w:szCs w:val="21"/>
                <w:lang w:eastAsia="zh-CN"/>
              </w:rPr>
              <w:t>鸡粪发酵</w:t>
            </w:r>
            <w:r>
              <w:rPr>
                <w:rFonts w:hint="eastAsia" w:ascii="Times New Roman" w:hAnsi="Times New Roman" w:cs="Times New Roman"/>
                <w:color w:val="auto"/>
                <w:sz w:val="21"/>
                <w:szCs w:val="21"/>
                <w:lang w:eastAsia="zh-CN"/>
              </w:rPr>
              <w:t>处理厂</w:t>
            </w:r>
            <w:r>
              <w:rPr>
                <w:rFonts w:hint="default" w:ascii="Times New Roman" w:hAnsi="Times New Roman" w:cs="Times New Roman"/>
                <w:color w:val="auto"/>
                <w:sz w:val="21"/>
                <w:szCs w:val="21"/>
              </w:rPr>
              <w:t>，发酵处理后，</w:t>
            </w:r>
            <w:r>
              <w:rPr>
                <w:rFonts w:hint="default" w:ascii="Times New Roman" w:hAnsi="Times New Roman" w:cs="Times New Roman"/>
                <w:color w:val="auto"/>
                <w:sz w:val="21"/>
                <w:szCs w:val="21"/>
                <w:lang w:eastAsia="zh-CN"/>
              </w:rPr>
              <w:t>外售农户综合利用</w:t>
            </w:r>
            <w:r>
              <w:rPr>
                <w:rFonts w:hint="default" w:ascii="Times New Roman" w:hAnsi="Times New Roman" w:cs="Times New Roman"/>
                <w:color w:val="auto"/>
                <w:sz w:val="21"/>
                <w:szCs w:val="21"/>
              </w:rPr>
              <w:t>。</w:t>
            </w:r>
          </w:p>
        </w:tc>
      </w:tr>
      <w:tr w14:paraId="5285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462" w:type="dxa"/>
            <w:noWrap/>
            <w:vAlign w:val="center"/>
          </w:tcPr>
          <w:p w14:paraId="110E662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097" w:type="dxa"/>
            <w:noWrap/>
            <w:vAlign w:val="center"/>
          </w:tcPr>
          <w:p w14:paraId="5E6C60A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饲料残渣及散落毛羽</w:t>
            </w:r>
          </w:p>
        </w:tc>
        <w:tc>
          <w:tcPr>
            <w:tcW w:w="866" w:type="dxa"/>
            <w:noWrap/>
            <w:vAlign w:val="center"/>
          </w:tcPr>
          <w:p w14:paraId="624F07F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917" w:type="dxa"/>
            <w:noWrap/>
            <w:vAlign w:val="center"/>
          </w:tcPr>
          <w:p w14:paraId="17C0E012">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SW82畜牧业废物</w:t>
            </w:r>
          </w:p>
        </w:tc>
        <w:tc>
          <w:tcPr>
            <w:tcW w:w="840" w:type="dxa"/>
            <w:noWrap/>
            <w:vAlign w:val="center"/>
          </w:tcPr>
          <w:p w14:paraId="71AA32F9">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030-002-S82</w:t>
            </w:r>
          </w:p>
        </w:tc>
        <w:tc>
          <w:tcPr>
            <w:tcW w:w="4395" w:type="dxa"/>
            <w:noWrap/>
            <w:vAlign w:val="center"/>
          </w:tcPr>
          <w:p w14:paraId="01CBAF4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斜向</w:t>
            </w:r>
            <w:r>
              <w:rPr>
                <w:rFonts w:hint="eastAsia" w:ascii="Times New Roman" w:hAnsi="Times New Roman" w:cs="Times New Roman"/>
                <w:color w:val="auto"/>
                <w:sz w:val="21"/>
                <w:szCs w:val="21"/>
                <w:lang w:eastAsia="zh-CN"/>
              </w:rPr>
              <w:t>粪便传送带</w:t>
            </w:r>
            <w:r>
              <w:rPr>
                <w:rFonts w:hint="default" w:ascii="Times New Roman" w:hAnsi="Times New Roman" w:cs="Times New Roman"/>
                <w:color w:val="auto"/>
                <w:sz w:val="21"/>
                <w:szCs w:val="21"/>
              </w:rPr>
              <w:t>进入</w:t>
            </w:r>
            <w:r>
              <w:rPr>
                <w:rFonts w:hint="default" w:ascii="Times New Roman" w:hAnsi="Times New Roman" w:cs="Times New Roman"/>
                <w:color w:val="auto"/>
                <w:sz w:val="21"/>
                <w:szCs w:val="21"/>
                <w:lang w:eastAsia="zh-CN"/>
              </w:rPr>
              <w:t>鸡粪发酵</w:t>
            </w:r>
            <w:r>
              <w:rPr>
                <w:rFonts w:hint="eastAsia" w:ascii="Times New Roman" w:hAnsi="Times New Roman" w:cs="Times New Roman"/>
                <w:color w:val="auto"/>
                <w:sz w:val="21"/>
                <w:szCs w:val="21"/>
                <w:lang w:eastAsia="zh-CN"/>
              </w:rPr>
              <w:t>处理厂</w:t>
            </w:r>
            <w:r>
              <w:rPr>
                <w:rFonts w:hint="default" w:ascii="Times New Roman" w:hAnsi="Times New Roman" w:cs="Times New Roman"/>
                <w:color w:val="auto"/>
                <w:sz w:val="21"/>
                <w:szCs w:val="21"/>
              </w:rPr>
              <w:t>，发酵处理后，</w:t>
            </w:r>
            <w:r>
              <w:rPr>
                <w:rFonts w:hint="default" w:ascii="Times New Roman" w:hAnsi="Times New Roman" w:cs="Times New Roman"/>
                <w:color w:val="auto"/>
                <w:sz w:val="21"/>
                <w:szCs w:val="21"/>
                <w:lang w:eastAsia="zh-CN"/>
              </w:rPr>
              <w:t>外售农户综合利用</w:t>
            </w:r>
            <w:r>
              <w:rPr>
                <w:rFonts w:hint="default" w:ascii="Times New Roman" w:hAnsi="Times New Roman" w:cs="Times New Roman"/>
                <w:color w:val="auto"/>
                <w:sz w:val="21"/>
                <w:szCs w:val="21"/>
              </w:rPr>
              <w:t>。</w:t>
            </w:r>
          </w:p>
        </w:tc>
      </w:tr>
      <w:tr w14:paraId="37FF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2" w:type="dxa"/>
            <w:noWrap/>
            <w:vAlign w:val="center"/>
          </w:tcPr>
          <w:p w14:paraId="0825D1C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097" w:type="dxa"/>
            <w:noWrap/>
            <w:vAlign w:val="center"/>
          </w:tcPr>
          <w:p w14:paraId="665C171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粉尘</w:t>
            </w:r>
          </w:p>
        </w:tc>
        <w:tc>
          <w:tcPr>
            <w:tcW w:w="866" w:type="dxa"/>
            <w:noWrap/>
            <w:vAlign w:val="center"/>
          </w:tcPr>
          <w:p w14:paraId="5F3A4A7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0.43</w:t>
            </w:r>
          </w:p>
        </w:tc>
        <w:tc>
          <w:tcPr>
            <w:tcW w:w="917" w:type="dxa"/>
            <w:noWrap/>
            <w:vAlign w:val="center"/>
          </w:tcPr>
          <w:p w14:paraId="12A28EFF">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SW82畜牧业废物</w:t>
            </w:r>
          </w:p>
        </w:tc>
        <w:tc>
          <w:tcPr>
            <w:tcW w:w="840" w:type="dxa"/>
            <w:noWrap/>
            <w:vAlign w:val="center"/>
          </w:tcPr>
          <w:p w14:paraId="071BFD5F">
            <w:pPr>
              <w:pStyle w:val="69"/>
              <w:ind w:left="0" w:leftChars="0" w:right="-7" w:righ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030-002-S82</w:t>
            </w:r>
          </w:p>
        </w:tc>
        <w:tc>
          <w:tcPr>
            <w:tcW w:w="4395" w:type="dxa"/>
            <w:noWrap/>
            <w:vAlign w:val="center"/>
          </w:tcPr>
          <w:p w14:paraId="6E49B8F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全部返回生产过程</w:t>
            </w:r>
          </w:p>
        </w:tc>
      </w:tr>
    </w:tbl>
    <w:p w14:paraId="251B9355">
      <w:pPr>
        <w:pStyle w:val="106"/>
        <w:keepNext w:val="0"/>
        <w:keepLines w:val="0"/>
        <w:pageBreakBefore w:val="0"/>
        <w:kinsoku/>
        <w:wordWrap/>
        <w:bidi w:val="0"/>
        <w:spacing w:line="360" w:lineRule="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综上所述，通过加强管理并落实上述处置措施前提下，本项目运营期间产</w:t>
      </w:r>
      <w:r>
        <w:rPr>
          <w:rFonts w:hint="default" w:ascii="Times New Roman" w:hAnsi="Times New Roman" w:cs="Times New Roman"/>
          <w:color w:val="auto"/>
          <w:sz w:val="24"/>
          <w:szCs w:val="24"/>
          <w:highlight w:val="none"/>
          <w:lang w:eastAsia="zh-CN"/>
        </w:rPr>
        <w:t>生的</w:t>
      </w:r>
      <w:r>
        <w:rPr>
          <w:rFonts w:hint="default" w:ascii="Times New Roman" w:hAnsi="Times New Roman" w:eastAsia="宋体" w:cs="Times New Roman"/>
          <w:color w:val="auto"/>
          <w:sz w:val="24"/>
          <w:szCs w:val="24"/>
          <w:highlight w:val="none"/>
        </w:rPr>
        <w:t>固体废物均得到及时妥善处置，并由</w:t>
      </w:r>
      <w:r>
        <w:rPr>
          <w:rFonts w:hint="default" w:ascii="Times New Roman" w:hAnsi="Times New Roman" w:eastAsia="宋体" w:cs="Times New Roman"/>
          <w:color w:val="auto"/>
          <w:sz w:val="24"/>
          <w:szCs w:val="24"/>
          <w:highlight w:val="none"/>
          <w:lang w:eastAsia="zh-CN"/>
        </w:rPr>
        <w:t>生态环境部门</w:t>
      </w:r>
      <w:r>
        <w:rPr>
          <w:rFonts w:hint="default" w:ascii="Times New Roman" w:hAnsi="Times New Roman" w:eastAsia="宋体" w:cs="Times New Roman"/>
          <w:color w:val="auto"/>
          <w:sz w:val="24"/>
          <w:szCs w:val="24"/>
          <w:highlight w:val="none"/>
        </w:rPr>
        <w:t>对代处理单位进行必要的监督，固废对周围环境影响不大。</w:t>
      </w:r>
    </w:p>
    <w:p w14:paraId="4EA85875">
      <w:pPr>
        <w:pStyle w:val="4"/>
        <w:bidi w:val="0"/>
        <w:rPr>
          <w:rFonts w:hint="default" w:ascii="Times New Roman" w:hAnsi="Times New Roman" w:cs="Times New Roman"/>
          <w:lang w:val="en-US"/>
        </w:rPr>
      </w:pPr>
      <w:r>
        <w:rPr>
          <w:rFonts w:hint="default" w:ascii="Times New Roman" w:hAnsi="Times New Roman" w:cs="Times New Roman"/>
          <w:lang w:val="en-US"/>
        </w:rPr>
        <w:t>土壤环境影响分析</w:t>
      </w:r>
    </w:p>
    <w:p w14:paraId="59EE9209">
      <w:pPr>
        <w:pStyle w:val="16"/>
        <w:bidi w:val="0"/>
        <w:rPr>
          <w:rFonts w:hint="default" w:ascii="Times New Roman" w:hAnsi="Times New Roman" w:cs="Times New Roman"/>
          <w:color w:val="auto"/>
        </w:rPr>
      </w:pPr>
      <w:r>
        <w:rPr>
          <w:rFonts w:hint="default" w:ascii="Times New Roman" w:hAnsi="Times New Roman" w:cs="Times New Roman"/>
          <w:color w:val="auto"/>
        </w:rPr>
        <w:t>本项目土壤评价工作等级为三级，根据《环境影响评价技术导则土壤环境（试行）》（HJ964-2018）中“8.7.4评价工作等级为三级的建设项目，可采用定性描述或类比分析法进行预测”，本项目采用定性描述分析。</w:t>
      </w:r>
    </w:p>
    <w:p w14:paraId="5951111C">
      <w:pPr>
        <w:pStyle w:val="16"/>
        <w:bidi w:val="0"/>
        <w:rPr>
          <w:rFonts w:hint="default" w:ascii="Times New Roman" w:hAnsi="Times New Roman" w:cs="Times New Roman"/>
          <w:color w:val="auto"/>
        </w:rPr>
      </w:pPr>
      <w:r>
        <w:rPr>
          <w:rFonts w:hint="default" w:ascii="Times New Roman" w:hAnsi="Times New Roman" w:cs="Times New Roman"/>
          <w:color w:val="auto"/>
        </w:rPr>
        <w:t>建设项目的土壤环境影响评价是从预防性环境保护目的出发，依据建设项目的特征与开发区域土壤环境条件，通过监测调查了解情况，预测影响的范围、程度及变化趋势然后评价影响的含义和重大性；提出避免、消除和减轻土壤侵蚀与污染的对策，为行动方案的优化决策提供依据。土壤环境影响评价的根本目的是生态与生产的可持续发展的评估。</w:t>
      </w:r>
    </w:p>
    <w:p w14:paraId="38719E13">
      <w:pPr>
        <w:pStyle w:val="14"/>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t>土壤环境污染影响类型及影响途径一览表</w:t>
      </w:r>
    </w:p>
    <w:tbl>
      <w:tblPr>
        <w:tblStyle w:val="7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35"/>
        <w:gridCol w:w="1840"/>
        <w:gridCol w:w="1830"/>
        <w:gridCol w:w="1842"/>
        <w:gridCol w:w="977"/>
      </w:tblGrid>
      <w:tr w14:paraId="7264E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102" w:type="pct"/>
            <w:vMerge w:val="restart"/>
            <w:tcBorders>
              <w:bottom w:val="nil"/>
            </w:tcBorders>
            <w:noWrap w:val="0"/>
            <w:vAlign w:val="top"/>
          </w:tcPr>
          <w:p w14:paraId="0B6DF4CD">
            <w:pPr>
              <w:pStyle w:val="113"/>
              <w:spacing w:before="220" w:line="221" w:lineRule="auto"/>
              <w:ind w:left="457"/>
              <w:rPr>
                <w:rFonts w:hint="default" w:ascii="Times New Roman" w:hAnsi="Times New Roman" w:cs="Times New Roman"/>
                <w:sz w:val="21"/>
                <w:szCs w:val="21"/>
              </w:rPr>
            </w:pPr>
            <w:r>
              <w:rPr>
                <w:rFonts w:hint="default" w:ascii="Times New Roman" w:hAnsi="Times New Roman" w:cs="Times New Roman"/>
                <w:b/>
                <w:bCs/>
                <w:spacing w:val="-4"/>
                <w:sz w:val="21"/>
                <w:szCs w:val="21"/>
              </w:rPr>
              <w:t>不同时段</w:t>
            </w:r>
          </w:p>
        </w:tc>
        <w:tc>
          <w:tcPr>
            <w:tcW w:w="3897" w:type="pct"/>
            <w:gridSpan w:val="4"/>
            <w:noWrap w:val="0"/>
            <w:vAlign w:val="top"/>
          </w:tcPr>
          <w:p w14:paraId="5243D962">
            <w:pPr>
              <w:pStyle w:val="113"/>
              <w:spacing w:before="69" w:line="219" w:lineRule="auto"/>
              <w:ind w:left="2385"/>
              <w:rPr>
                <w:rFonts w:hint="default" w:ascii="Times New Roman" w:hAnsi="Times New Roman" w:cs="Times New Roman"/>
                <w:sz w:val="21"/>
                <w:szCs w:val="21"/>
              </w:rPr>
            </w:pPr>
            <w:r>
              <w:rPr>
                <w:rFonts w:hint="default" w:ascii="Times New Roman" w:hAnsi="Times New Roman" w:cs="Times New Roman"/>
                <w:b/>
                <w:bCs/>
                <w:spacing w:val="-3"/>
                <w:sz w:val="21"/>
                <w:szCs w:val="21"/>
              </w:rPr>
              <w:t>污染影响类型</w:t>
            </w:r>
          </w:p>
        </w:tc>
      </w:tr>
      <w:tr w14:paraId="1E590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102" w:type="pct"/>
            <w:vMerge w:val="continue"/>
            <w:tcBorders>
              <w:top w:val="nil"/>
            </w:tcBorders>
            <w:noWrap w:val="0"/>
            <w:vAlign w:val="top"/>
          </w:tcPr>
          <w:p w14:paraId="611EEDD5">
            <w:pPr>
              <w:rPr>
                <w:rFonts w:hint="default" w:ascii="Times New Roman" w:hAnsi="Times New Roman" w:cs="Times New Roman"/>
                <w:sz w:val="21"/>
                <w:szCs w:val="21"/>
              </w:rPr>
            </w:pPr>
          </w:p>
        </w:tc>
        <w:tc>
          <w:tcPr>
            <w:tcW w:w="1105" w:type="pct"/>
            <w:noWrap w:val="0"/>
            <w:vAlign w:val="top"/>
          </w:tcPr>
          <w:p w14:paraId="4F6C0E62">
            <w:pPr>
              <w:pStyle w:val="113"/>
              <w:spacing w:before="67" w:line="219" w:lineRule="auto"/>
              <w:ind w:left="465"/>
              <w:rPr>
                <w:rFonts w:hint="default" w:ascii="Times New Roman" w:hAnsi="Times New Roman" w:cs="Times New Roman"/>
                <w:sz w:val="21"/>
                <w:szCs w:val="21"/>
              </w:rPr>
            </w:pPr>
            <w:r>
              <w:rPr>
                <w:rFonts w:hint="default" w:ascii="Times New Roman" w:hAnsi="Times New Roman" w:cs="Times New Roman"/>
                <w:b/>
                <w:bCs/>
                <w:spacing w:val="-4"/>
                <w:sz w:val="21"/>
                <w:szCs w:val="21"/>
              </w:rPr>
              <w:t>大气沉降</w:t>
            </w:r>
          </w:p>
        </w:tc>
        <w:tc>
          <w:tcPr>
            <w:tcW w:w="1099" w:type="pct"/>
            <w:noWrap w:val="0"/>
            <w:vAlign w:val="top"/>
          </w:tcPr>
          <w:p w14:paraId="713E2DFB">
            <w:pPr>
              <w:pStyle w:val="113"/>
              <w:spacing w:before="67" w:line="220" w:lineRule="auto"/>
              <w:ind w:left="458"/>
              <w:rPr>
                <w:rFonts w:hint="default" w:ascii="Times New Roman" w:hAnsi="Times New Roman" w:cs="Times New Roman"/>
                <w:sz w:val="21"/>
                <w:szCs w:val="21"/>
              </w:rPr>
            </w:pPr>
            <w:r>
              <w:rPr>
                <w:rFonts w:hint="default" w:ascii="Times New Roman" w:hAnsi="Times New Roman" w:cs="Times New Roman"/>
                <w:b/>
                <w:bCs/>
                <w:spacing w:val="-3"/>
                <w:sz w:val="21"/>
                <w:szCs w:val="21"/>
              </w:rPr>
              <w:t>地面漫流</w:t>
            </w:r>
          </w:p>
        </w:tc>
        <w:tc>
          <w:tcPr>
            <w:tcW w:w="1106" w:type="pct"/>
            <w:noWrap w:val="0"/>
            <w:vAlign w:val="top"/>
          </w:tcPr>
          <w:p w14:paraId="5DDECB1E">
            <w:pPr>
              <w:pStyle w:val="113"/>
              <w:spacing w:before="67" w:line="220" w:lineRule="auto"/>
              <w:ind w:left="470"/>
              <w:rPr>
                <w:rFonts w:hint="default" w:ascii="Times New Roman" w:hAnsi="Times New Roman" w:cs="Times New Roman"/>
                <w:sz w:val="21"/>
                <w:szCs w:val="21"/>
              </w:rPr>
            </w:pPr>
            <w:r>
              <w:rPr>
                <w:rFonts w:hint="default" w:ascii="Times New Roman" w:hAnsi="Times New Roman" w:cs="Times New Roman"/>
                <w:b/>
                <w:bCs/>
                <w:spacing w:val="-3"/>
                <w:sz w:val="21"/>
                <w:szCs w:val="21"/>
              </w:rPr>
              <w:t>垂直入渗</w:t>
            </w:r>
          </w:p>
        </w:tc>
        <w:tc>
          <w:tcPr>
            <w:tcW w:w="585" w:type="pct"/>
            <w:noWrap w:val="0"/>
            <w:vAlign w:val="top"/>
          </w:tcPr>
          <w:p w14:paraId="7793E7D7">
            <w:pPr>
              <w:pStyle w:val="113"/>
              <w:spacing w:before="67" w:line="220" w:lineRule="auto"/>
              <w:ind w:left="252"/>
              <w:rPr>
                <w:rFonts w:hint="default" w:ascii="Times New Roman" w:hAnsi="Times New Roman" w:cs="Times New Roman"/>
                <w:sz w:val="21"/>
                <w:szCs w:val="21"/>
              </w:rPr>
            </w:pPr>
            <w:r>
              <w:rPr>
                <w:rFonts w:hint="default" w:ascii="Times New Roman" w:hAnsi="Times New Roman" w:cs="Times New Roman"/>
                <w:b/>
                <w:bCs/>
                <w:spacing w:val="-4"/>
                <w:sz w:val="21"/>
                <w:szCs w:val="21"/>
              </w:rPr>
              <w:t>其他</w:t>
            </w:r>
          </w:p>
        </w:tc>
      </w:tr>
      <w:tr w14:paraId="6A0CB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02" w:type="pct"/>
            <w:noWrap w:val="0"/>
            <w:vAlign w:val="top"/>
          </w:tcPr>
          <w:p w14:paraId="0854EB66">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建设期</w:t>
            </w:r>
          </w:p>
        </w:tc>
        <w:tc>
          <w:tcPr>
            <w:tcW w:w="1105" w:type="pct"/>
            <w:noWrap w:val="0"/>
            <w:vAlign w:val="top"/>
          </w:tcPr>
          <w:p w14:paraId="298243DD">
            <w:pPr>
              <w:pStyle w:val="113"/>
              <w:spacing w:before="67" w:line="224" w:lineRule="auto"/>
              <w:ind w:left="743"/>
              <w:rPr>
                <w:rFonts w:hint="default" w:ascii="Times New Roman" w:hAnsi="Times New Roman" w:cs="Times New Roman"/>
                <w:sz w:val="21"/>
                <w:szCs w:val="21"/>
              </w:rPr>
            </w:pPr>
            <w:r>
              <w:rPr>
                <w:rFonts w:hint="default" w:ascii="Times New Roman" w:hAnsi="Times New Roman" w:cs="Times New Roman"/>
                <w:sz w:val="21"/>
                <w:szCs w:val="21"/>
              </w:rPr>
              <w:t>/</w:t>
            </w:r>
          </w:p>
        </w:tc>
        <w:tc>
          <w:tcPr>
            <w:tcW w:w="1099" w:type="pct"/>
            <w:noWrap w:val="0"/>
            <w:vAlign w:val="top"/>
          </w:tcPr>
          <w:p w14:paraId="74F1AF42">
            <w:pPr>
              <w:pStyle w:val="113"/>
              <w:spacing w:before="67" w:line="224" w:lineRule="auto"/>
              <w:ind w:left="735"/>
              <w:rPr>
                <w:rFonts w:hint="default" w:ascii="Times New Roman" w:hAnsi="Times New Roman" w:cs="Times New Roman"/>
                <w:sz w:val="21"/>
                <w:szCs w:val="21"/>
              </w:rPr>
            </w:pPr>
            <w:r>
              <w:rPr>
                <w:rFonts w:hint="default" w:ascii="Times New Roman" w:hAnsi="Times New Roman" w:cs="Times New Roman"/>
                <w:sz w:val="21"/>
                <w:szCs w:val="21"/>
              </w:rPr>
              <w:t>/</w:t>
            </w:r>
          </w:p>
        </w:tc>
        <w:tc>
          <w:tcPr>
            <w:tcW w:w="1106" w:type="pct"/>
            <w:noWrap w:val="0"/>
            <w:vAlign w:val="top"/>
          </w:tcPr>
          <w:p w14:paraId="2CB151F6">
            <w:pPr>
              <w:pStyle w:val="113"/>
              <w:spacing w:before="67" w:line="224" w:lineRule="auto"/>
              <w:ind w:left="747"/>
              <w:rPr>
                <w:rFonts w:hint="default" w:ascii="Times New Roman" w:hAnsi="Times New Roman" w:cs="Times New Roman"/>
                <w:sz w:val="21"/>
                <w:szCs w:val="21"/>
              </w:rPr>
            </w:pPr>
            <w:r>
              <w:rPr>
                <w:rFonts w:hint="default" w:ascii="Times New Roman" w:hAnsi="Times New Roman" w:cs="Times New Roman"/>
                <w:sz w:val="21"/>
                <w:szCs w:val="21"/>
              </w:rPr>
              <w:t>/</w:t>
            </w:r>
          </w:p>
        </w:tc>
        <w:tc>
          <w:tcPr>
            <w:tcW w:w="585" w:type="pct"/>
            <w:noWrap w:val="0"/>
            <w:vAlign w:val="top"/>
          </w:tcPr>
          <w:p w14:paraId="4CBF3090">
            <w:pPr>
              <w:pStyle w:val="113"/>
              <w:spacing w:before="67" w:line="224" w:lineRule="auto"/>
              <w:ind w:left="369"/>
              <w:rPr>
                <w:rFonts w:hint="default" w:ascii="Times New Roman" w:hAnsi="Times New Roman" w:cs="Times New Roman"/>
                <w:sz w:val="21"/>
                <w:szCs w:val="21"/>
              </w:rPr>
            </w:pPr>
            <w:r>
              <w:rPr>
                <w:rFonts w:hint="default" w:ascii="Times New Roman" w:hAnsi="Times New Roman" w:cs="Times New Roman"/>
                <w:sz w:val="21"/>
                <w:szCs w:val="21"/>
              </w:rPr>
              <w:t>/</w:t>
            </w:r>
          </w:p>
        </w:tc>
      </w:tr>
      <w:tr w14:paraId="43A00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102" w:type="pct"/>
            <w:noWrap w:val="0"/>
            <w:vAlign w:val="top"/>
          </w:tcPr>
          <w:p w14:paraId="45DD7B7C">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1105" w:type="pct"/>
            <w:noWrap w:val="0"/>
            <w:vAlign w:val="top"/>
          </w:tcPr>
          <w:p w14:paraId="4F996DAC">
            <w:pPr>
              <w:pStyle w:val="113"/>
              <w:spacing w:before="79" w:line="224" w:lineRule="auto"/>
              <w:ind w:left="743"/>
              <w:rPr>
                <w:rFonts w:hint="default" w:ascii="Times New Roman" w:hAnsi="Times New Roman" w:cs="Times New Roman"/>
                <w:sz w:val="21"/>
                <w:szCs w:val="21"/>
              </w:rPr>
            </w:pPr>
            <w:r>
              <w:rPr>
                <w:rFonts w:hint="default" w:ascii="Times New Roman" w:hAnsi="Times New Roman" w:cs="Times New Roman"/>
                <w:sz w:val="21"/>
                <w:szCs w:val="21"/>
              </w:rPr>
              <w:t>/</w:t>
            </w:r>
          </w:p>
        </w:tc>
        <w:tc>
          <w:tcPr>
            <w:tcW w:w="1099" w:type="pct"/>
            <w:noWrap w:val="0"/>
            <w:vAlign w:val="top"/>
          </w:tcPr>
          <w:p w14:paraId="6049CBCF">
            <w:pPr>
              <w:pStyle w:val="113"/>
              <w:spacing w:before="90" w:line="221" w:lineRule="auto"/>
              <w:ind w:left="695"/>
              <w:rPr>
                <w:rFonts w:hint="default" w:ascii="Times New Roman" w:hAnsi="Times New Roman" w:cs="Times New Roman"/>
                <w:sz w:val="21"/>
                <w:szCs w:val="21"/>
              </w:rPr>
            </w:pPr>
            <w:r>
              <w:rPr>
                <w:rFonts w:hint="default" w:ascii="Times New Roman" w:hAnsi="Times New Roman" w:cs="Times New Roman"/>
                <w:sz w:val="21"/>
                <w:szCs w:val="21"/>
              </w:rPr>
              <w:t>√</w:t>
            </w:r>
          </w:p>
        </w:tc>
        <w:tc>
          <w:tcPr>
            <w:tcW w:w="1106" w:type="pct"/>
            <w:noWrap w:val="0"/>
            <w:vAlign w:val="top"/>
          </w:tcPr>
          <w:p w14:paraId="4E80D5CE">
            <w:pPr>
              <w:pStyle w:val="113"/>
              <w:spacing w:before="90" w:line="221" w:lineRule="auto"/>
              <w:ind w:left="708"/>
              <w:rPr>
                <w:rFonts w:hint="default" w:ascii="Times New Roman" w:hAnsi="Times New Roman" w:cs="Times New Roman"/>
                <w:sz w:val="21"/>
                <w:szCs w:val="21"/>
              </w:rPr>
            </w:pPr>
            <w:r>
              <w:rPr>
                <w:rFonts w:hint="default" w:ascii="Times New Roman" w:hAnsi="Times New Roman" w:cs="Times New Roman"/>
                <w:sz w:val="21"/>
                <w:szCs w:val="21"/>
              </w:rPr>
              <w:t>√</w:t>
            </w:r>
          </w:p>
        </w:tc>
        <w:tc>
          <w:tcPr>
            <w:tcW w:w="585" w:type="pct"/>
            <w:noWrap w:val="0"/>
            <w:vAlign w:val="top"/>
          </w:tcPr>
          <w:p w14:paraId="68FD4197">
            <w:pPr>
              <w:pStyle w:val="113"/>
              <w:spacing w:before="79" w:line="224" w:lineRule="auto"/>
              <w:ind w:left="369"/>
              <w:rPr>
                <w:rFonts w:hint="default" w:ascii="Times New Roman" w:hAnsi="Times New Roman" w:cs="Times New Roman"/>
                <w:sz w:val="21"/>
                <w:szCs w:val="21"/>
              </w:rPr>
            </w:pPr>
            <w:r>
              <w:rPr>
                <w:rFonts w:hint="default" w:ascii="Times New Roman" w:hAnsi="Times New Roman" w:cs="Times New Roman"/>
                <w:sz w:val="21"/>
                <w:szCs w:val="21"/>
              </w:rPr>
              <w:t>/</w:t>
            </w:r>
          </w:p>
        </w:tc>
      </w:tr>
    </w:tbl>
    <w:p w14:paraId="618C467D">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rPr>
        <w:t>本项目对土壤的影响主要是废水污染物出现地面漫流或垂直入渗对土壤环境的污染影响，具体的影响因子详见下表。</w:t>
      </w:r>
    </w:p>
    <w:p w14:paraId="0337264D">
      <w:pPr>
        <w:pStyle w:val="14"/>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rPr>
        <w:t>污染影响型土壤环境影响源及影响因子一览表</w:t>
      </w:r>
    </w:p>
    <w:tbl>
      <w:tblPr>
        <w:tblStyle w:val="76"/>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65"/>
        <w:gridCol w:w="1252"/>
        <w:gridCol w:w="1702"/>
        <w:gridCol w:w="2140"/>
        <w:gridCol w:w="1496"/>
        <w:gridCol w:w="808"/>
      </w:tblGrid>
      <w:tr w14:paraId="0BDA0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77" w:type="pct"/>
            <w:noWrap w:val="0"/>
            <w:vAlign w:val="center"/>
          </w:tcPr>
          <w:p w14:paraId="6750F750">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748" w:type="pct"/>
            <w:noWrap w:val="0"/>
            <w:vAlign w:val="center"/>
          </w:tcPr>
          <w:p w14:paraId="14F6EBB0">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工艺流程/节点</w:t>
            </w:r>
          </w:p>
        </w:tc>
        <w:tc>
          <w:tcPr>
            <w:tcW w:w="1017" w:type="pct"/>
            <w:noWrap w:val="0"/>
            <w:vAlign w:val="center"/>
          </w:tcPr>
          <w:p w14:paraId="4FD50486">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影响途径</w:t>
            </w:r>
          </w:p>
        </w:tc>
        <w:tc>
          <w:tcPr>
            <w:tcW w:w="1279" w:type="pct"/>
            <w:noWrap w:val="0"/>
            <w:vAlign w:val="center"/>
          </w:tcPr>
          <w:p w14:paraId="16D43292">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全部污染指标</w:t>
            </w:r>
          </w:p>
        </w:tc>
        <w:tc>
          <w:tcPr>
            <w:tcW w:w="894" w:type="pct"/>
            <w:noWrap w:val="0"/>
            <w:vAlign w:val="center"/>
          </w:tcPr>
          <w:p w14:paraId="4B8DFF21">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特征因子</w:t>
            </w:r>
          </w:p>
        </w:tc>
        <w:tc>
          <w:tcPr>
            <w:tcW w:w="483" w:type="pct"/>
            <w:noWrap w:val="0"/>
            <w:vAlign w:val="center"/>
          </w:tcPr>
          <w:p w14:paraId="6FCEEB13">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00D9C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577" w:type="pct"/>
            <w:noWrap w:val="0"/>
            <w:vAlign w:val="center"/>
          </w:tcPr>
          <w:p w14:paraId="0A59A00F">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废水收集</w:t>
            </w:r>
            <w:r>
              <w:rPr>
                <w:rFonts w:hint="default" w:ascii="Times New Roman" w:hAnsi="Times New Roman" w:eastAsia="宋体" w:cs="Times New Roman"/>
                <w:color w:val="auto"/>
                <w:sz w:val="21"/>
                <w:szCs w:val="21"/>
                <w:highlight w:val="none"/>
              </w:rPr>
              <w:t>池</w:t>
            </w:r>
          </w:p>
        </w:tc>
        <w:tc>
          <w:tcPr>
            <w:tcW w:w="748" w:type="pct"/>
            <w:noWrap w:val="0"/>
            <w:vAlign w:val="center"/>
          </w:tcPr>
          <w:p w14:paraId="7F7447EC">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污水收集渗漏</w:t>
            </w:r>
          </w:p>
        </w:tc>
        <w:tc>
          <w:tcPr>
            <w:tcW w:w="1017" w:type="pct"/>
            <w:noWrap w:val="0"/>
            <w:vAlign w:val="center"/>
          </w:tcPr>
          <w:p w14:paraId="34D078BC">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垂直入渗、地面</w:t>
            </w:r>
          </w:p>
          <w:p w14:paraId="348300B0">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漫流</w:t>
            </w:r>
          </w:p>
        </w:tc>
        <w:tc>
          <w:tcPr>
            <w:tcW w:w="1279" w:type="pct"/>
            <w:noWrap w:val="0"/>
            <w:vAlign w:val="center"/>
          </w:tcPr>
          <w:p w14:paraId="2C33C817">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COD、氨氮、总磷、总氮、SS、BOD₅</w:t>
            </w:r>
          </w:p>
        </w:tc>
        <w:tc>
          <w:tcPr>
            <w:tcW w:w="894" w:type="pct"/>
            <w:noWrap w:val="0"/>
            <w:vAlign w:val="center"/>
          </w:tcPr>
          <w:p w14:paraId="61AA3DEA">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COD、氨氮</w:t>
            </w:r>
          </w:p>
        </w:tc>
        <w:tc>
          <w:tcPr>
            <w:tcW w:w="483" w:type="pct"/>
            <w:noWrap w:val="0"/>
            <w:vAlign w:val="center"/>
          </w:tcPr>
          <w:p w14:paraId="466D603E">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r w14:paraId="38798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577" w:type="pct"/>
            <w:noWrap w:val="0"/>
            <w:vAlign w:val="center"/>
          </w:tcPr>
          <w:p w14:paraId="7C63BDF6">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鸡粪</w:t>
            </w:r>
            <w:r>
              <w:rPr>
                <w:rFonts w:hint="default" w:ascii="Times New Roman" w:hAnsi="Times New Roman" w:eastAsia="宋体" w:cs="Times New Roman"/>
                <w:color w:val="auto"/>
                <w:sz w:val="21"/>
                <w:szCs w:val="21"/>
                <w:highlight w:val="none"/>
                <w:lang w:val="en-US" w:eastAsia="zh-CN"/>
              </w:rPr>
              <w:t>发酵</w:t>
            </w:r>
            <w:r>
              <w:rPr>
                <w:rFonts w:hint="default" w:ascii="Times New Roman" w:hAnsi="Times New Roman" w:eastAsia="宋体" w:cs="Times New Roman"/>
                <w:color w:val="auto"/>
                <w:sz w:val="21"/>
                <w:szCs w:val="21"/>
                <w:highlight w:val="none"/>
              </w:rPr>
              <w:t>房</w:t>
            </w:r>
          </w:p>
        </w:tc>
        <w:tc>
          <w:tcPr>
            <w:tcW w:w="748" w:type="pct"/>
            <w:noWrap w:val="0"/>
            <w:vAlign w:val="center"/>
          </w:tcPr>
          <w:p w14:paraId="3E87FCB3">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渗漏</w:t>
            </w:r>
          </w:p>
        </w:tc>
        <w:tc>
          <w:tcPr>
            <w:tcW w:w="1017" w:type="pct"/>
            <w:noWrap w:val="0"/>
            <w:vAlign w:val="center"/>
          </w:tcPr>
          <w:p w14:paraId="593E911A">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垂直入渗、地面</w:t>
            </w:r>
          </w:p>
          <w:p w14:paraId="79AA916B">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漫流</w:t>
            </w:r>
          </w:p>
        </w:tc>
        <w:tc>
          <w:tcPr>
            <w:tcW w:w="1279" w:type="pct"/>
            <w:noWrap w:val="0"/>
            <w:vAlign w:val="center"/>
          </w:tcPr>
          <w:p w14:paraId="48AD994B">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COD、氨氮、总磷、总氮、SS、BODs</w:t>
            </w:r>
          </w:p>
        </w:tc>
        <w:tc>
          <w:tcPr>
            <w:tcW w:w="894" w:type="pct"/>
            <w:noWrap w:val="0"/>
            <w:vAlign w:val="center"/>
          </w:tcPr>
          <w:p w14:paraId="3DBA278E">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COD、氨氮</w:t>
            </w:r>
          </w:p>
        </w:tc>
        <w:tc>
          <w:tcPr>
            <w:tcW w:w="483" w:type="pct"/>
            <w:noWrap w:val="0"/>
            <w:vAlign w:val="center"/>
          </w:tcPr>
          <w:p w14:paraId="5C5CF83A">
            <w:pPr>
              <w:pStyle w:val="16"/>
              <w:keepNext w:val="0"/>
              <w:keepLines w:val="0"/>
              <w:pageBreakBefore w:val="0"/>
              <w:widowControl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bl>
    <w:p w14:paraId="5AA151CC">
      <w:pPr>
        <w:pStyle w:val="5"/>
        <w:numPr>
          <w:ilvl w:val="0"/>
          <w:numId w:val="0"/>
        </w:numPr>
        <w:bidi w:val="0"/>
        <w:ind w:leftChars="0"/>
        <w:rPr>
          <w:rFonts w:hint="default" w:ascii="Times New Roman" w:hAnsi="Times New Roman" w:cs="Times New Roman"/>
        </w:rPr>
      </w:pPr>
      <w:r>
        <w:rPr>
          <w:rFonts w:hint="default" w:ascii="Times New Roman" w:hAnsi="Times New Roman" w:cs="Times New Roman"/>
          <w:lang w:val="en-US" w:eastAsia="zh-CN"/>
        </w:rPr>
        <w:t>5.2.5.1</w:t>
      </w:r>
      <w:r>
        <w:rPr>
          <w:rFonts w:hint="default" w:ascii="Times New Roman" w:hAnsi="Times New Roman" w:cs="Times New Roman"/>
        </w:rPr>
        <w:t>土壤污染</w:t>
      </w:r>
    </w:p>
    <w:p w14:paraId="625E7E0D">
      <w:pPr>
        <w:pStyle w:val="16"/>
        <w:bidi w:val="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rPr>
        <w:t>根据建设项目自身性质及其对土壤环境影响的特点，需要对运营期土壤的影响进行定性分析、预测和评价项目投产后对土壤环境可能造成的影响，并针对这种影响提出防治对策，从而达到预防与控制环境恶化，减轻不良环境影响的目的，为土壤环境保护提供科学依据。</w:t>
      </w:r>
    </w:p>
    <w:p w14:paraId="1E1056E6">
      <w:pPr>
        <w:pStyle w:val="16"/>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1</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废水影响</w:t>
      </w:r>
    </w:p>
    <w:p w14:paraId="1A9722B3">
      <w:pPr>
        <w:pStyle w:val="16"/>
        <w:bidi w:val="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本项目为蛋鸡养殖项目，运行过程中产生废水主要为</w:t>
      </w:r>
      <w:r>
        <w:rPr>
          <w:rFonts w:hint="default" w:ascii="Times New Roman" w:hAnsi="Times New Roman" w:cs="Times New Roman"/>
          <w:b w:val="0"/>
          <w:bCs w:val="0"/>
          <w:color w:val="auto"/>
          <w:highlight w:val="none"/>
          <w:lang w:val="en-US" w:eastAsia="zh-CN"/>
        </w:rPr>
        <w:t>鸡粪收集系统</w:t>
      </w:r>
      <w:r>
        <w:rPr>
          <w:rFonts w:hint="default" w:ascii="Times New Roman" w:hAnsi="Times New Roman" w:cs="Times New Roman"/>
          <w:b w:val="0"/>
          <w:bCs w:val="0"/>
          <w:color w:val="auto"/>
          <w:highlight w:val="none"/>
          <w:lang w:eastAsia="zh-CN"/>
        </w:rPr>
        <w:t>冲洗废水</w:t>
      </w:r>
      <w:r>
        <w:rPr>
          <w:rFonts w:hint="default" w:ascii="Times New Roman" w:hAnsi="Times New Roman" w:cs="Times New Roman"/>
          <w:b w:val="0"/>
          <w:bCs w:val="0"/>
          <w:color w:val="auto"/>
          <w:highlight w:val="none"/>
          <w:lang w:val="en-US" w:eastAsia="zh-CN"/>
        </w:rPr>
        <w:t>和</w:t>
      </w:r>
      <w:r>
        <w:rPr>
          <w:rFonts w:hint="default" w:ascii="Times New Roman" w:hAnsi="Times New Roman" w:cs="Times New Roman"/>
          <w:b w:val="0"/>
          <w:bCs w:val="0"/>
          <w:color w:val="auto"/>
          <w:highlight w:val="none"/>
          <w:lang w:eastAsia="zh-CN"/>
        </w:rPr>
        <w:t>员工生活污水，废水中主要污染物为CODcr、BOD</w:t>
      </w:r>
      <w:r>
        <w:rPr>
          <w:rFonts w:hint="default" w:ascii="Times New Roman" w:hAnsi="Times New Roman" w:cs="Times New Roman"/>
          <w:b w:val="0"/>
          <w:bCs w:val="0"/>
          <w:color w:val="auto"/>
          <w:highlight w:val="none"/>
          <w:vertAlign w:val="subscript"/>
          <w:lang w:eastAsia="zh-CN"/>
        </w:rPr>
        <w:t>5</w:t>
      </w:r>
      <w:r>
        <w:rPr>
          <w:rFonts w:hint="default" w:ascii="Times New Roman" w:hAnsi="Times New Roman" w:cs="Times New Roman"/>
          <w:b w:val="0"/>
          <w:bCs w:val="0"/>
          <w:color w:val="auto"/>
          <w:highlight w:val="none"/>
          <w:lang w:eastAsia="zh-CN"/>
        </w:rPr>
        <w:t>、氨氮、总氮、总磷等有机物，不含有毒有害化学物质及重金属等特征污染物，若大量SS及有机物进入土壤环境将会造成土壤胶结，影响其通气透气性，进而抑制土壤中细菌活动，降低土壤酶活性。若厌氧发酵池发生损坏时，废水泄漏通过垂直入渗途径污染土壤，项目通过定期对</w:t>
      </w:r>
      <w:r>
        <w:rPr>
          <w:rFonts w:hint="default" w:ascii="Times New Roman" w:hAnsi="Times New Roman" w:cs="Times New Roman"/>
          <w:b w:val="0"/>
          <w:bCs w:val="0"/>
          <w:color w:val="auto"/>
          <w:highlight w:val="none"/>
          <w:lang w:val="en-US" w:eastAsia="zh-CN"/>
        </w:rPr>
        <w:t>废水收集</w:t>
      </w:r>
      <w:r>
        <w:rPr>
          <w:rFonts w:hint="default" w:ascii="Times New Roman" w:hAnsi="Times New Roman" w:cs="Times New Roman"/>
          <w:b w:val="0"/>
          <w:bCs w:val="0"/>
          <w:color w:val="auto"/>
          <w:highlight w:val="none"/>
          <w:lang w:eastAsia="zh-CN"/>
        </w:rPr>
        <w:t>池进行检查，是否存在开裂、渗漏，及时修补和发现问题，解决问题。通过全面落实分区防渗措施，污废水发生渗漏的可能性极小，不会对周边土壤环境产生污染影响。</w:t>
      </w:r>
    </w:p>
    <w:p w14:paraId="70FA60E4">
      <w:pPr>
        <w:pStyle w:val="16"/>
        <w:bidi w:val="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2</w:t>
      </w:r>
      <w:r>
        <w:rPr>
          <w:rFonts w:hint="default" w:ascii="Times New Roman" w:hAnsi="Times New Roman" w:cs="Times New Roman"/>
          <w:b w:val="0"/>
          <w:bCs w:val="0"/>
          <w:color w:val="auto"/>
          <w:highlight w:val="none"/>
          <w:lang w:eastAsia="zh-CN"/>
        </w:rPr>
        <w:t>）固体废物影响</w:t>
      </w:r>
    </w:p>
    <w:p w14:paraId="5508B601">
      <w:pPr>
        <w:pStyle w:val="16"/>
        <w:bidi w:val="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项目运行期间产生的固体废物包括干清鸡粪、病死鸡、废鸡蛋、饲料残渣、散落鸡毛、废包装袋生活垃圾和医疗废物等，根据固体废物环境影响分析及保护措施，固体废物可做到集中收集，处置率达到100%，暂存点均进行三防+防渗处理，不会造成二次污染，对土壤肥力污染影响小。</w:t>
      </w:r>
    </w:p>
    <w:p w14:paraId="6C51E381">
      <w:pPr>
        <w:pStyle w:val="5"/>
        <w:numPr>
          <w:ilvl w:val="0"/>
          <w:numId w:val="0"/>
        </w:numPr>
        <w:bidi w:val="0"/>
        <w:ind w:leftChars="0"/>
        <w:rPr>
          <w:rFonts w:hint="default" w:ascii="Times New Roman" w:hAnsi="Times New Roman" w:cs="Times New Roman"/>
          <w:lang w:eastAsia="zh-CN"/>
        </w:rPr>
      </w:pPr>
      <w:r>
        <w:rPr>
          <w:rFonts w:hint="default" w:ascii="Times New Roman" w:hAnsi="Times New Roman" w:cs="Times New Roman"/>
          <w:lang w:val="en-US" w:eastAsia="zh-CN"/>
        </w:rPr>
        <w:t>5.2.5.2土壤防治措施</w:t>
      </w:r>
    </w:p>
    <w:p w14:paraId="44E58E97">
      <w:pPr>
        <w:pStyle w:val="16"/>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根据土壤污染途径分析结果，本项目</w:t>
      </w:r>
      <w:r>
        <w:rPr>
          <w:rFonts w:hint="default" w:ascii="Times New Roman" w:hAnsi="Times New Roman" w:cs="Times New Roman"/>
          <w:color w:val="auto"/>
          <w:highlight w:val="none"/>
          <w:lang w:val="en-US" w:eastAsia="zh-CN"/>
        </w:rPr>
        <w:t>养鸡场</w:t>
      </w:r>
      <w:r>
        <w:rPr>
          <w:rFonts w:hint="default" w:ascii="Times New Roman" w:hAnsi="Times New Roman" w:cs="Times New Roman"/>
          <w:color w:val="auto"/>
          <w:highlight w:val="none"/>
          <w:lang w:eastAsia="zh-CN"/>
        </w:rPr>
        <w:t>可能对土壤造成污染的主要有废水和固废。正常工况下，</w:t>
      </w:r>
      <w:r>
        <w:rPr>
          <w:rFonts w:hint="default" w:ascii="Times New Roman" w:hAnsi="Times New Roman" w:cs="Times New Roman"/>
          <w:color w:val="auto"/>
          <w:highlight w:val="none"/>
          <w:lang w:val="en-US" w:eastAsia="zh-CN"/>
        </w:rPr>
        <w:t>重点防渗区和一般防渗区按照要求规定</w:t>
      </w:r>
      <w:r>
        <w:rPr>
          <w:rFonts w:hint="default" w:ascii="Times New Roman" w:hAnsi="Times New Roman" w:cs="Times New Roman"/>
          <w:color w:val="auto"/>
          <w:highlight w:val="none"/>
          <w:lang w:eastAsia="zh-CN"/>
        </w:rPr>
        <w:t>采取防渗、防溢流等措施，正常工况下不会进入地下对土壤环境造成污染。</w:t>
      </w:r>
    </w:p>
    <w:p w14:paraId="1D0DE764">
      <w:pPr>
        <w:pStyle w:val="16"/>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非正常工况指</w:t>
      </w:r>
      <w:r>
        <w:rPr>
          <w:rFonts w:hint="default" w:ascii="Times New Roman" w:hAnsi="Times New Roman" w:cs="Times New Roman"/>
          <w:color w:val="auto"/>
          <w:highlight w:val="none"/>
          <w:lang w:val="en-US" w:eastAsia="zh-CN"/>
        </w:rPr>
        <w:t>重点防渗区和一般防渗区</w:t>
      </w:r>
      <w:r>
        <w:rPr>
          <w:rFonts w:hint="default" w:ascii="Times New Roman" w:hAnsi="Times New Roman" w:cs="Times New Roman"/>
          <w:color w:val="auto"/>
          <w:highlight w:val="none"/>
          <w:lang w:eastAsia="zh-CN"/>
        </w:rPr>
        <w:t>防渗层破裂或污水管道发生泄漏，污水等从破裂处进入土壤，从而污染物进入土壤环境中污染土壤。首先，本项目渗滤液主要污染物为氨氮、COD、BOD</w:t>
      </w:r>
      <w:r>
        <w:rPr>
          <w:rFonts w:hint="default" w:ascii="Times New Roman" w:hAnsi="Times New Roman" w:cs="Times New Roman"/>
          <w:color w:val="auto"/>
          <w:highlight w:val="none"/>
          <w:vertAlign w:val="subscript"/>
          <w:lang w:eastAsia="zh-CN"/>
        </w:rPr>
        <w:t>5</w:t>
      </w:r>
      <w:r>
        <w:rPr>
          <w:rFonts w:hint="default" w:ascii="Times New Roman" w:hAnsi="Times New Roman" w:cs="Times New Roman"/>
          <w:color w:val="auto"/>
          <w:highlight w:val="none"/>
          <w:lang w:eastAsia="zh-CN"/>
        </w:rPr>
        <w:t>、SS、TP、TN，这些污染物不属于</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土</w:t>
      </w:r>
      <w:r>
        <w:rPr>
          <w:rFonts w:hint="default" w:ascii="Times New Roman" w:hAnsi="Times New Roman" w:cs="Times New Roman"/>
          <w:color w:val="auto"/>
          <w:highlight w:val="none"/>
        </w:rPr>
        <w:t>壤环境质量农用地土壤污染风险管控标准（试行）</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（GB15618-2018）</w:t>
      </w:r>
      <w:r>
        <w:rPr>
          <w:rFonts w:hint="default" w:ascii="Times New Roman" w:hAnsi="Times New Roman" w:cs="Times New Roman"/>
          <w:color w:val="auto"/>
          <w:highlight w:val="none"/>
          <w:lang w:val="en-US" w:eastAsia="zh-CN"/>
        </w:rPr>
        <w:t>中土壤环境质量评价指标</w:t>
      </w:r>
      <w:r>
        <w:rPr>
          <w:rFonts w:hint="default" w:ascii="Times New Roman" w:hAnsi="Times New Roman" w:cs="Times New Roman"/>
          <w:color w:val="auto"/>
          <w:highlight w:val="none"/>
          <w:lang w:eastAsia="zh-CN"/>
        </w:rPr>
        <w:t>，因此，这些污染物对土壤环境影响不是很大。其次，环评要求在厂界四周设土壤跟踪监测点，建立土壤污染监控、预警体系，定期开展一次土壤环境质量监测，如发现异常，及时找到污染源头并采取措施切断并处理，尽量减轻对土壤的污染。</w:t>
      </w:r>
    </w:p>
    <w:p w14:paraId="501E70EF">
      <w:pPr>
        <w:pStyle w:val="16"/>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）废水处理措施</w:t>
      </w:r>
    </w:p>
    <w:p w14:paraId="188F1662">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eastAsia="宋体" w:cs="Times New Roman"/>
          <w:color w:val="auto"/>
          <w:sz w:val="24"/>
          <w:szCs w:val="24"/>
          <w:highlight w:val="none"/>
          <w:lang w:val="en-US" w:eastAsia="zh-CN" w:bidi="zh-CN"/>
        </w:rPr>
        <w:t>本项目</w:t>
      </w:r>
      <w:r>
        <w:rPr>
          <w:rFonts w:hint="default" w:ascii="Times New Roman" w:hAnsi="Times New Roman" w:cs="Times New Roman"/>
          <w:color w:val="auto"/>
          <w:sz w:val="24"/>
          <w:highlight w:val="none"/>
        </w:rPr>
        <w:t>废水主要为鸡舍粪便</w:t>
      </w:r>
      <w:r>
        <w:rPr>
          <w:rFonts w:hint="default" w:ascii="Times New Roman" w:hAnsi="Times New Roman" w:cs="Times New Roman"/>
          <w:color w:val="auto"/>
          <w:sz w:val="24"/>
          <w:highlight w:val="none"/>
          <w:lang w:eastAsia="zh-CN"/>
        </w:rPr>
        <w:t>收集设施（</w:t>
      </w:r>
      <w:r>
        <w:rPr>
          <w:rFonts w:hint="eastAsia" w:ascii="Times New Roman" w:hAnsi="Times New Roman" w:cs="Times New Roman"/>
          <w:color w:val="auto"/>
          <w:sz w:val="24"/>
          <w:highlight w:val="none"/>
          <w:lang w:eastAsia="zh-CN"/>
        </w:rPr>
        <w:t>粪便传送带</w:t>
      </w:r>
      <w:r>
        <w:rPr>
          <w:rFonts w:hint="default" w:ascii="Times New Roman" w:hAnsi="Times New Roman" w:cs="Times New Roman"/>
          <w:color w:val="auto"/>
          <w:sz w:val="24"/>
          <w:highlight w:val="none"/>
          <w:lang w:eastAsia="zh-CN"/>
        </w:rPr>
        <w:t>和清粪机）</w:t>
      </w:r>
      <w:r>
        <w:rPr>
          <w:rFonts w:hint="default" w:ascii="Times New Roman" w:hAnsi="Times New Roman" w:cs="Times New Roman"/>
          <w:color w:val="auto"/>
          <w:sz w:val="24"/>
          <w:highlight w:val="none"/>
        </w:rPr>
        <w:t>清洗废水</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工作人员生活污水</w:t>
      </w:r>
      <w:r>
        <w:rPr>
          <w:rFonts w:hint="default" w:ascii="Times New Roman" w:hAnsi="Times New Roman" w:cs="Times New Roman"/>
          <w:color w:val="auto"/>
          <w:sz w:val="24"/>
          <w:highlight w:val="none"/>
          <w:lang w:eastAsia="zh-CN"/>
        </w:rPr>
        <w:t>和少量锅炉排污水</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均</w:t>
      </w:r>
      <w:r>
        <w:rPr>
          <w:rFonts w:hint="default" w:ascii="Times New Roman" w:hAnsi="Times New Roman" w:cs="Times New Roman"/>
          <w:color w:val="auto"/>
          <w:sz w:val="24"/>
          <w:highlight w:val="none"/>
        </w:rPr>
        <w:t>进入废水收集池容积100m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，上设封盖。</w:t>
      </w:r>
      <w:r>
        <w:rPr>
          <w:rFonts w:hint="default" w:ascii="Times New Roman" w:hAnsi="Times New Roman" w:cs="Times New Roman"/>
          <w:color w:val="auto"/>
          <w:sz w:val="24"/>
          <w:highlight w:val="none"/>
          <w:lang w:eastAsia="zh-CN"/>
        </w:rPr>
        <w:t>用于粪便堆肥，增加有机肥湿度</w:t>
      </w:r>
      <w:r>
        <w:rPr>
          <w:rFonts w:hint="default" w:ascii="Times New Roman" w:hAnsi="Times New Roman" w:eastAsia="宋体" w:cs="Times New Roman"/>
          <w:color w:val="auto"/>
          <w:sz w:val="24"/>
          <w:szCs w:val="24"/>
          <w:highlight w:val="none"/>
          <w:lang w:val="zh-CN" w:eastAsia="zh-CN" w:bidi="zh-CN"/>
        </w:rPr>
        <w:t>。</w:t>
      </w:r>
    </w:p>
    <w:p w14:paraId="20F935BB">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sz w:val="24"/>
          <w:szCs w:val="24"/>
          <w:highlight w:val="none"/>
          <w:lang w:eastAsia="zh-CN"/>
        </w:rPr>
        <w:t>本工程投产后，正常情况下产生的污水仅仅为大气降水进入各分区域场地后形成的渗滤液，</w:t>
      </w:r>
      <w:r>
        <w:rPr>
          <w:rFonts w:hint="default" w:ascii="Times New Roman" w:hAnsi="Times New Roman" w:cs="Times New Roman"/>
          <w:color w:val="auto"/>
          <w:sz w:val="24"/>
          <w:szCs w:val="24"/>
          <w:highlight w:val="none"/>
          <w:lang w:val="en-US" w:eastAsia="zh-CN"/>
        </w:rPr>
        <w:t>养殖场</w:t>
      </w:r>
      <w:r>
        <w:rPr>
          <w:rFonts w:hint="default" w:ascii="Times New Roman" w:hAnsi="Times New Roman" w:eastAsia="宋体" w:cs="Times New Roman"/>
          <w:color w:val="auto"/>
          <w:sz w:val="24"/>
          <w:szCs w:val="24"/>
          <w:highlight w:val="none"/>
          <w:lang w:val="zh-CN" w:eastAsia="zh-CN" w:bidi="zh-CN"/>
        </w:rPr>
        <w:t>医疗废物暂存间</w:t>
      </w:r>
      <w:r>
        <w:rPr>
          <w:rFonts w:hint="default" w:ascii="Times New Roman" w:hAnsi="Times New Roman" w:eastAsia="宋体" w:cs="Times New Roman"/>
          <w:color w:val="auto"/>
          <w:sz w:val="24"/>
          <w:szCs w:val="24"/>
          <w:highlight w:val="none"/>
          <w:lang w:val="en-US" w:eastAsia="zh-CN" w:bidi="zh-CN"/>
        </w:rPr>
        <w:t>均</w:t>
      </w:r>
      <w:r>
        <w:rPr>
          <w:rFonts w:hint="default" w:ascii="Times New Roman" w:hAnsi="Times New Roman" w:eastAsia="宋体" w:cs="Times New Roman"/>
          <w:color w:val="auto"/>
          <w:sz w:val="24"/>
          <w:szCs w:val="24"/>
          <w:highlight w:val="none"/>
          <w:lang w:val="zh-CN" w:eastAsia="zh-CN" w:bidi="zh-CN"/>
        </w:rPr>
        <w:t>按《危险废物贮存污染控制标准》（GB18597-2023）的相关要求，防渗层为至少1m厚黏土层（渗透系数不大于10</w:t>
      </w:r>
      <w:r>
        <w:rPr>
          <w:rFonts w:hint="default" w:ascii="Times New Roman" w:hAnsi="Times New Roman" w:eastAsia="宋体" w:cs="Times New Roman"/>
          <w:color w:val="auto"/>
          <w:sz w:val="24"/>
          <w:szCs w:val="24"/>
          <w:highlight w:val="none"/>
          <w:vertAlign w:val="superscript"/>
          <w:lang w:val="zh-CN" w:eastAsia="zh-CN" w:bidi="zh-CN"/>
        </w:rPr>
        <w:t>-7</w:t>
      </w:r>
      <w:r>
        <w:rPr>
          <w:rFonts w:hint="default" w:ascii="Times New Roman" w:hAnsi="Times New Roman" w:eastAsia="宋体" w:cs="Times New Roman"/>
          <w:color w:val="auto"/>
          <w:sz w:val="24"/>
          <w:szCs w:val="24"/>
          <w:highlight w:val="none"/>
          <w:lang w:val="zh-CN" w:eastAsia="zh-CN" w:bidi="zh-CN"/>
        </w:rPr>
        <w:t>cm/s），或至少2mm厚高密度聚乙烯膜等人工防渗材料（渗透系数不大于10</w:t>
      </w:r>
      <w:r>
        <w:rPr>
          <w:rFonts w:hint="default" w:ascii="Times New Roman" w:hAnsi="Times New Roman" w:eastAsia="宋体" w:cs="Times New Roman"/>
          <w:color w:val="auto"/>
          <w:sz w:val="24"/>
          <w:szCs w:val="24"/>
          <w:highlight w:val="none"/>
          <w:vertAlign w:val="superscript"/>
          <w:lang w:val="zh-CN" w:eastAsia="zh-CN" w:bidi="zh-CN"/>
        </w:rPr>
        <w:t>-10</w:t>
      </w:r>
      <w:r>
        <w:rPr>
          <w:rFonts w:hint="default" w:ascii="Times New Roman" w:hAnsi="Times New Roman" w:eastAsia="宋体" w:cs="Times New Roman"/>
          <w:color w:val="auto"/>
          <w:sz w:val="24"/>
          <w:szCs w:val="24"/>
          <w:highlight w:val="none"/>
          <w:lang w:val="zh-CN" w:eastAsia="zh-CN" w:bidi="zh-CN"/>
        </w:rPr>
        <w:t>cm/s），或其他防渗性能等效的材料。</w:t>
      </w:r>
      <w:r>
        <w:rPr>
          <w:rFonts w:hint="default" w:ascii="Times New Roman" w:hAnsi="Times New Roman" w:eastAsia="宋体" w:cs="Times New Roman"/>
          <w:color w:val="auto"/>
          <w:sz w:val="24"/>
          <w:szCs w:val="24"/>
          <w:highlight w:val="none"/>
          <w:lang w:val="en-US" w:eastAsia="zh-CN" w:bidi="zh-CN"/>
        </w:rPr>
        <w:t>鸡舍、</w:t>
      </w:r>
      <w:r>
        <w:rPr>
          <w:rFonts w:hint="default" w:ascii="Times New Roman" w:hAnsi="Times New Roman" w:eastAsia="宋体" w:cs="Times New Roman"/>
          <w:color w:val="auto"/>
          <w:sz w:val="24"/>
          <w:szCs w:val="24"/>
          <w:highlight w:val="none"/>
          <w:lang w:val="zh-CN" w:eastAsia="zh-CN" w:bidi="zh-CN"/>
        </w:rPr>
        <w:t>废水收集池、鸡粪发酵处理场</w:t>
      </w:r>
      <w:r>
        <w:rPr>
          <w:rFonts w:hint="default" w:ascii="Times New Roman" w:hAnsi="Times New Roman" w:eastAsia="宋体" w:cs="Times New Roman"/>
          <w:color w:val="auto"/>
          <w:sz w:val="24"/>
          <w:szCs w:val="24"/>
          <w:highlight w:val="none"/>
          <w:lang w:val="en-US" w:eastAsia="zh-CN" w:bidi="zh-CN"/>
        </w:rPr>
        <w:t>均</w:t>
      </w:r>
      <w:r>
        <w:rPr>
          <w:rFonts w:hint="default" w:ascii="Times New Roman" w:hAnsi="Times New Roman" w:eastAsia="宋体" w:cs="Times New Roman"/>
          <w:color w:val="auto"/>
          <w:sz w:val="24"/>
          <w:szCs w:val="24"/>
          <w:highlight w:val="none"/>
          <w:lang w:val="zh-CN" w:eastAsia="zh-CN" w:bidi="zh-CN"/>
        </w:rPr>
        <w:t>采用防渗固化底面，等效黏土防渗层Mb≥6m，渗透系数≤1×10</w:t>
      </w:r>
      <w:r>
        <w:rPr>
          <w:rFonts w:hint="default" w:ascii="Times New Roman" w:hAnsi="Times New Roman" w:eastAsia="宋体" w:cs="Times New Roman"/>
          <w:color w:val="auto"/>
          <w:sz w:val="24"/>
          <w:szCs w:val="24"/>
          <w:highlight w:val="none"/>
          <w:vertAlign w:val="superscript"/>
          <w:lang w:val="zh-CN" w:eastAsia="zh-CN" w:bidi="zh-CN"/>
        </w:rPr>
        <w:t>-7</w:t>
      </w:r>
      <w:r>
        <w:rPr>
          <w:rFonts w:hint="default" w:ascii="Times New Roman" w:hAnsi="Times New Roman" w:eastAsia="宋体" w:cs="Times New Roman"/>
          <w:color w:val="auto"/>
          <w:sz w:val="24"/>
          <w:szCs w:val="24"/>
          <w:highlight w:val="none"/>
          <w:lang w:val="zh-CN" w:eastAsia="zh-CN" w:bidi="zh-CN"/>
        </w:rPr>
        <w:t>cm/s。</w:t>
      </w:r>
      <w:r>
        <w:rPr>
          <w:rFonts w:hint="default" w:ascii="Times New Roman" w:hAnsi="Times New Roman" w:cs="Times New Roman"/>
          <w:color w:val="auto"/>
          <w:sz w:val="24"/>
          <w:szCs w:val="24"/>
          <w:highlight w:val="none"/>
          <w:lang w:eastAsia="zh-CN"/>
        </w:rPr>
        <w:t>渗滤液透过场地周边的内衬层扩散到周围土壤中的过程是较为缓慢的，渗漏量也是较小的。而且，由于衬层的吸附，渗漏到周围土壤中的渗滤液其污染物浓度已有较大程度地降低，对土壤的污染也会有相应程度的降低。因而，正常运营情况下，渗滤液不会进入土壤中，进而不会污染周围土壤环境和地下水环境。</w:t>
      </w:r>
    </w:p>
    <w:p w14:paraId="28CCE309">
      <w:pPr>
        <w:pStyle w:val="1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）固废处理措施</w:t>
      </w:r>
    </w:p>
    <w:p w14:paraId="2B7F42BF">
      <w:pPr>
        <w:pStyle w:val="1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每栋鸡舍均设自动清粪系统，鸡舍内设</w:t>
      </w:r>
      <w:r>
        <w:rPr>
          <w:rFonts w:hint="eastAsia" w:ascii="Times New Roman" w:hAnsi="Times New Roman" w:cs="Times New Roman"/>
          <w:color w:val="auto"/>
          <w:lang w:eastAsia="zh-CN"/>
        </w:rPr>
        <w:t>横</w:t>
      </w:r>
      <w:r>
        <w:rPr>
          <w:rFonts w:hint="default" w:ascii="Times New Roman" w:hAnsi="Times New Roman" w:cs="Times New Roman"/>
          <w:color w:val="auto"/>
          <w:lang w:eastAsia="zh-CN"/>
        </w:rPr>
        <w:t>向</w:t>
      </w:r>
      <w:r>
        <w:rPr>
          <w:rFonts w:hint="eastAsia" w:ascii="Times New Roman" w:hAnsi="Times New Roman" w:cs="Times New Roman"/>
          <w:color w:val="auto"/>
          <w:lang w:eastAsia="zh-CN"/>
        </w:rPr>
        <w:t>粪便传送带</w:t>
      </w:r>
      <w:r>
        <w:rPr>
          <w:rFonts w:hint="default" w:ascii="Times New Roman" w:hAnsi="Times New Roman" w:cs="Times New Roman"/>
          <w:color w:val="auto"/>
          <w:lang w:eastAsia="zh-CN"/>
        </w:rPr>
        <w:t>，鸡排出的粪便主要通过清粪机进入横向</w:t>
      </w:r>
      <w:r>
        <w:rPr>
          <w:rFonts w:hint="eastAsia" w:ascii="Times New Roman" w:hAnsi="Times New Roman" w:cs="Times New Roman"/>
          <w:color w:val="auto"/>
          <w:lang w:eastAsia="zh-CN"/>
        </w:rPr>
        <w:t>粪便传送带</w:t>
      </w:r>
      <w:r>
        <w:rPr>
          <w:rFonts w:hint="default" w:ascii="Times New Roman" w:hAnsi="Times New Roman" w:cs="Times New Roman"/>
          <w:color w:val="auto"/>
          <w:lang w:eastAsia="zh-CN"/>
        </w:rPr>
        <w:t>内，传输至清粪房再通过斜向</w:t>
      </w:r>
      <w:r>
        <w:rPr>
          <w:rFonts w:hint="eastAsia" w:ascii="Times New Roman" w:hAnsi="Times New Roman" w:cs="Times New Roman"/>
          <w:color w:val="auto"/>
          <w:lang w:eastAsia="zh-CN"/>
        </w:rPr>
        <w:t>粪便传送带</w:t>
      </w:r>
      <w:r>
        <w:rPr>
          <w:rFonts w:hint="default" w:ascii="Times New Roman" w:hAnsi="Times New Roman" w:cs="Times New Roman"/>
          <w:color w:val="auto"/>
          <w:lang w:eastAsia="zh-CN"/>
        </w:rPr>
        <w:t>进入鸡粪发酵处理场，发酵处理后，外售农户综合利用；医疗废物收集后暂存在医疗危废暂存间，委托有资质的单位定期处理，场区设医疗危废暂存间，暂存间按照《危险废物贮存污染控制标准》（GB18597-20</w:t>
      </w:r>
      <w:r>
        <w:rPr>
          <w:rFonts w:hint="default" w:ascii="Times New Roman" w:hAnsi="Times New Roman" w:cs="Times New Roman"/>
          <w:color w:val="auto"/>
          <w:lang w:val="en-US" w:eastAsia="zh-CN"/>
        </w:rPr>
        <w:t>23</w:t>
      </w:r>
      <w:r>
        <w:rPr>
          <w:rFonts w:hint="default" w:ascii="Times New Roman" w:hAnsi="Times New Roman" w:cs="Times New Roman"/>
          <w:color w:val="auto"/>
          <w:lang w:eastAsia="zh-CN"/>
        </w:rPr>
        <w:t>）的要求进行了防渗和封闭处理，在此处存放的危废采用袋装或桶装形式。</w:t>
      </w:r>
    </w:p>
    <w:p w14:paraId="3EA99CB6">
      <w:pPr>
        <w:pStyle w:val="1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本项目在确保各项预防措施得以落实并得到良好维护的前提下，项目生产在短期内不会对土壤造成明显的影响；考虑长期影响，要求企业每5年内开展1次跟踪监测工作。</w:t>
      </w:r>
    </w:p>
    <w:p w14:paraId="42B290E6">
      <w:pPr>
        <w:pStyle w:val="1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此外，本项目区所在地及其周围均为农业用地，无集中饮用水水源地或居民区、学校、医院、疗养院、养老院等土壤环境敏感目标分布。</w:t>
      </w:r>
    </w:p>
    <w:p w14:paraId="3DF433BB">
      <w:pPr>
        <w:pStyle w:val="1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本项目产生的各项污染物均采取了有效的防治措施。项目投产后应加强管理，确保环保设施的正常运行，杜绝污染事故的发生，其排放的污染物不会对土壤环境造成明显的影响。</w:t>
      </w:r>
    </w:p>
    <w:p w14:paraId="1D0A59C0">
      <w:pPr>
        <w:pStyle w:val="1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因此，本项目的土壤环境影响是可接受的。</w:t>
      </w:r>
    </w:p>
    <w:p w14:paraId="7AF82400">
      <w:pPr>
        <w:pStyle w:val="16"/>
        <w:bidi w:val="0"/>
        <w:rPr>
          <w:rFonts w:hint="default" w:ascii="Times New Roman" w:hAnsi="Times New Roman" w:cs="Times New Roman"/>
          <w:color w:val="auto"/>
          <w:highlight w:val="yellow"/>
          <w:lang w:eastAsia="zh-CN"/>
        </w:rPr>
      </w:pPr>
      <w:r>
        <w:rPr>
          <w:rFonts w:hint="default" w:ascii="Times New Roman" w:hAnsi="Times New Roman" w:cs="Times New Roman"/>
          <w:color w:val="auto"/>
          <w:lang w:eastAsia="zh-CN"/>
        </w:rPr>
        <w:t>本项目土壤环境自查表见</w:t>
      </w:r>
      <w:r>
        <w:rPr>
          <w:rFonts w:hint="default" w:ascii="Times New Roman" w:hAnsi="Times New Roman" w:cs="Times New Roman"/>
          <w:color w:val="auto"/>
          <w:highlight w:val="none"/>
          <w:lang w:eastAsia="zh-CN"/>
        </w:rPr>
        <w:t>表5.2-</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lang w:eastAsia="zh-CN"/>
        </w:rPr>
        <w:t>。</w:t>
      </w:r>
    </w:p>
    <w:p w14:paraId="6A40815F">
      <w:pPr>
        <w:pStyle w:val="14"/>
        <w:bidi w:val="0"/>
        <w:rPr>
          <w:rFonts w:hint="default" w:ascii="Times New Roman" w:hAnsi="Times New Roman" w:cs="Times New Roman"/>
          <w:lang w:val="zh-CN"/>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5.2</w:t>
      </w:r>
      <w:r>
        <w:rPr>
          <w:rFonts w:hint="default" w:ascii="Times New Roman" w:hAnsi="Times New Roman" w:cs="Times New Roman"/>
          <w:highlight w:val="none"/>
        </w:rPr>
        <w:fldChar w:fldCharType="end"/>
      </w:r>
      <w:r>
        <w:rPr>
          <w:rFonts w:hint="default" w:ascii="Times New Roman" w:hAnsi="Times New Roman" w:cs="Times New Roman"/>
          <w:highlight w:val="none"/>
          <w:lang w:eastAsia="zh-CN"/>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21</w:t>
      </w:r>
      <w:r>
        <w:rPr>
          <w:rFonts w:hint="default" w:ascii="Times New Roman" w:hAnsi="Times New Roman" w:cs="Times New Roman"/>
          <w:highlight w:val="none"/>
        </w:rPr>
        <w:fldChar w:fldCharType="end"/>
      </w:r>
      <w:r>
        <w:rPr>
          <w:rFonts w:hint="default" w:ascii="Times New Roman" w:hAnsi="Times New Roman" w:cs="Times New Roman"/>
          <w:lang w:val="zh-CN"/>
        </w:rPr>
        <w:t>土壤环境影响评价自查表</w:t>
      </w:r>
    </w:p>
    <w:tbl>
      <w:tblPr>
        <w:tblStyle w:val="33"/>
        <w:tblW w:w="8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526"/>
        <w:gridCol w:w="1533"/>
        <w:gridCol w:w="1276"/>
        <w:gridCol w:w="19"/>
        <w:gridCol w:w="1385"/>
        <w:gridCol w:w="1226"/>
        <w:gridCol w:w="1120"/>
      </w:tblGrid>
      <w:tr w14:paraId="2802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82" w:type="dxa"/>
            <w:gridSpan w:val="2"/>
            <w:noWrap w:val="0"/>
            <w:vAlign w:val="center"/>
          </w:tcPr>
          <w:p w14:paraId="616F55A5">
            <w:pPr>
              <w:pStyle w:val="14"/>
              <w:bidi w:val="0"/>
              <w:rPr>
                <w:rFonts w:hint="default" w:ascii="Times New Roman" w:hAnsi="Times New Roman" w:cs="Times New Roman"/>
                <w:b/>
                <w:bCs w:val="0"/>
              </w:rPr>
            </w:pPr>
            <w:r>
              <w:rPr>
                <w:rFonts w:hint="default" w:ascii="Times New Roman" w:hAnsi="Times New Roman" w:cs="Times New Roman"/>
                <w:b/>
                <w:bCs w:val="0"/>
              </w:rPr>
              <w:t>工作内容</w:t>
            </w:r>
          </w:p>
        </w:tc>
        <w:tc>
          <w:tcPr>
            <w:tcW w:w="5439" w:type="dxa"/>
            <w:gridSpan w:val="5"/>
            <w:noWrap w:val="0"/>
            <w:vAlign w:val="center"/>
          </w:tcPr>
          <w:p w14:paraId="128D2931">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完成情况</w:t>
            </w:r>
          </w:p>
        </w:tc>
        <w:tc>
          <w:tcPr>
            <w:tcW w:w="1120" w:type="dxa"/>
            <w:noWrap w:val="0"/>
            <w:vAlign w:val="center"/>
          </w:tcPr>
          <w:p w14:paraId="30AF4065">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备注</w:t>
            </w:r>
          </w:p>
        </w:tc>
      </w:tr>
      <w:tr w14:paraId="414B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restart"/>
            <w:noWrap w:val="0"/>
            <w:vAlign w:val="center"/>
          </w:tcPr>
          <w:p w14:paraId="0123FBB8">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影响识别</w:t>
            </w:r>
          </w:p>
        </w:tc>
        <w:tc>
          <w:tcPr>
            <w:tcW w:w="1526" w:type="dxa"/>
            <w:noWrap w:val="0"/>
            <w:vAlign w:val="center"/>
          </w:tcPr>
          <w:p w14:paraId="436CD8B4">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影响类型</w:t>
            </w:r>
          </w:p>
        </w:tc>
        <w:tc>
          <w:tcPr>
            <w:tcW w:w="5439" w:type="dxa"/>
            <w:gridSpan w:val="5"/>
            <w:noWrap w:val="0"/>
            <w:vAlign w:val="center"/>
          </w:tcPr>
          <w:p w14:paraId="73DF243F">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污染影响型</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；生态影响型</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；两种兼有</w:t>
            </w:r>
            <w:r>
              <w:rPr>
                <w:rFonts w:hint="default" w:ascii="Times New Roman" w:hAnsi="Times New Roman" w:eastAsia="MS Mincho" w:cs="Times New Roman"/>
                <w:color w:val="auto"/>
                <w:sz w:val="21"/>
                <w:szCs w:val="21"/>
                <w:highlight w:val="none"/>
                <w:lang w:bidi="zh-CN"/>
              </w:rPr>
              <w:t>□</w:t>
            </w:r>
          </w:p>
        </w:tc>
        <w:tc>
          <w:tcPr>
            <w:tcW w:w="1120" w:type="dxa"/>
            <w:noWrap w:val="0"/>
            <w:vAlign w:val="center"/>
          </w:tcPr>
          <w:p w14:paraId="7EDB4647">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210C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68982558">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3A3B1E0B">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土地利用类型</w:t>
            </w:r>
          </w:p>
        </w:tc>
        <w:tc>
          <w:tcPr>
            <w:tcW w:w="5439" w:type="dxa"/>
            <w:gridSpan w:val="5"/>
            <w:noWrap w:val="0"/>
            <w:vAlign w:val="center"/>
          </w:tcPr>
          <w:p w14:paraId="29E91610">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建设用地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；农用地</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；未利用地（）</w:t>
            </w:r>
          </w:p>
        </w:tc>
        <w:tc>
          <w:tcPr>
            <w:tcW w:w="1120" w:type="dxa"/>
            <w:noWrap w:val="0"/>
            <w:vAlign w:val="center"/>
          </w:tcPr>
          <w:p w14:paraId="4C75EFBC">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16CD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559D882E">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5D242726">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占地规模</w:t>
            </w:r>
          </w:p>
        </w:tc>
        <w:tc>
          <w:tcPr>
            <w:tcW w:w="5439" w:type="dxa"/>
            <w:gridSpan w:val="5"/>
            <w:noWrap w:val="0"/>
            <w:vAlign w:val="center"/>
          </w:tcPr>
          <w:p w14:paraId="3031DF4D">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103727.63</w:t>
            </w:r>
            <w:r>
              <w:rPr>
                <w:rFonts w:hint="default" w:ascii="Times New Roman" w:hAnsi="Times New Roman" w:eastAsia="宋体" w:cs="Times New Roman"/>
                <w:color w:val="auto"/>
                <w:sz w:val="21"/>
                <w:szCs w:val="21"/>
                <w:highlight w:val="none"/>
              </w:rPr>
              <w:t>）hm</w:t>
            </w:r>
            <w:r>
              <w:rPr>
                <w:rFonts w:hint="default" w:ascii="Times New Roman" w:hAnsi="Times New Roman" w:eastAsia="宋体" w:cs="Times New Roman"/>
                <w:color w:val="auto"/>
                <w:sz w:val="21"/>
                <w:szCs w:val="21"/>
                <w:highlight w:val="none"/>
                <w:vertAlign w:val="superscript"/>
              </w:rPr>
              <w:t>2</w:t>
            </w:r>
          </w:p>
        </w:tc>
        <w:tc>
          <w:tcPr>
            <w:tcW w:w="1120" w:type="dxa"/>
            <w:noWrap w:val="0"/>
            <w:vAlign w:val="center"/>
          </w:tcPr>
          <w:p w14:paraId="7C79AA23">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7F24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134053F7">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417B337B">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敏感目标信息</w:t>
            </w:r>
          </w:p>
        </w:tc>
        <w:tc>
          <w:tcPr>
            <w:tcW w:w="5439" w:type="dxa"/>
            <w:gridSpan w:val="5"/>
            <w:noWrap w:val="0"/>
            <w:vAlign w:val="center"/>
          </w:tcPr>
          <w:p w14:paraId="0EA80B74">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敏感目标（</w:t>
            </w:r>
            <w:r>
              <w:rPr>
                <w:rFonts w:hint="default" w:ascii="Times New Roman" w:hAnsi="Times New Roman" w:eastAsia="宋体" w:cs="Times New Roman"/>
                <w:color w:val="auto"/>
                <w:sz w:val="21"/>
                <w:szCs w:val="21"/>
                <w:highlight w:val="none"/>
                <w:lang w:val="en-US" w:eastAsia="zh-CN"/>
              </w:rPr>
              <w:t>农用地</w:t>
            </w:r>
            <w:r>
              <w:rPr>
                <w:rFonts w:hint="default" w:ascii="Times New Roman" w:hAnsi="Times New Roman" w:eastAsia="宋体" w:cs="Times New Roman"/>
                <w:color w:val="auto"/>
                <w:sz w:val="21"/>
                <w:szCs w:val="21"/>
                <w:highlight w:val="none"/>
              </w:rPr>
              <w:t>）、方位（）、距离（紧邻）</w:t>
            </w:r>
          </w:p>
        </w:tc>
        <w:tc>
          <w:tcPr>
            <w:tcW w:w="1120" w:type="dxa"/>
            <w:noWrap w:val="0"/>
            <w:vAlign w:val="center"/>
          </w:tcPr>
          <w:p w14:paraId="2F121E10">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6A8D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72D4B3A7">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0ADDA03F">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影响途径</w:t>
            </w:r>
          </w:p>
        </w:tc>
        <w:tc>
          <w:tcPr>
            <w:tcW w:w="5439" w:type="dxa"/>
            <w:gridSpan w:val="5"/>
            <w:noWrap w:val="0"/>
            <w:vAlign w:val="center"/>
          </w:tcPr>
          <w:p w14:paraId="6ABF767B">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大气沉降（）；地面漫流（√）；垂直入渗（√）；地下水位（）；其他（）</w:t>
            </w:r>
          </w:p>
        </w:tc>
        <w:tc>
          <w:tcPr>
            <w:tcW w:w="1120" w:type="dxa"/>
            <w:noWrap w:val="0"/>
            <w:vAlign w:val="center"/>
          </w:tcPr>
          <w:p w14:paraId="1CB8CABC">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0E13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73C8C9CA">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4ACFE6FD">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全部污染物</w:t>
            </w:r>
          </w:p>
        </w:tc>
        <w:tc>
          <w:tcPr>
            <w:tcW w:w="5439" w:type="dxa"/>
            <w:gridSpan w:val="5"/>
            <w:noWrap w:val="0"/>
            <w:vAlign w:val="center"/>
          </w:tcPr>
          <w:p w14:paraId="5D8494D8">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、氨氮、总氮、总磷</w:t>
            </w:r>
          </w:p>
        </w:tc>
        <w:tc>
          <w:tcPr>
            <w:tcW w:w="1120" w:type="dxa"/>
            <w:noWrap w:val="0"/>
            <w:vAlign w:val="center"/>
          </w:tcPr>
          <w:p w14:paraId="2CDB176D">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407B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19802CBE">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4549C89A">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特征因子</w:t>
            </w:r>
          </w:p>
        </w:tc>
        <w:tc>
          <w:tcPr>
            <w:tcW w:w="5439" w:type="dxa"/>
            <w:gridSpan w:val="5"/>
            <w:noWrap w:val="0"/>
            <w:vAlign w:val="center"/>
          </w:tcPr>
          <w:p w14:paraId="72985F90">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、氨氮、总氮、总磷</w:t>
            </w:r>
          </w:p>
        </w:tc>
        <w:tc>
          <w:tcPr>
            <w:tcW w:w="1120" w:type="dxa"/>
            <w:noWrap w:val="0"/>
            <w:vAlign w:val="center"/>
          </w:tcPr>
          <w:p w14:paraId="5ACEC966">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1BF3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1643C30A">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6D4D641F">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所属土壤环境影响评价项目类别</w:t>
            </w:r>
          </w:p>
        </w:tc>
        <w:tc>
          <w:tcPr>
            <w:tcW w:w="5439" w:type="dxa"/>
            <w:gridSpan w:val="5"/>
            <w:noWrap w:val="0"/>
            <w:vAlign w:val="center"/>
          </w:tcPr>
          <w:p w14:paraId="26F93628">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Ⅰ类</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；Ⅱ类</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；Ⅲ类</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；Ⅳ类</w:t>
            </w:r>
            <w:r>
              <w:rPr>
                <w:rFonts w:hint="default" w:ascii="Times New Roman" w:hAnsi="Times New Roman" w:eastAsia="MS Mincho" w:cs="Times New Roman"/>
                <w:color w:val="auto"/>
                <w:sz w:val="21"/>
                <w:szCs w:val="21"/>
                <w:highlight w:val="none"/>
                <w:lang w:bidi="zh-CN"/>
              </w:rPr>
              <w:t>□</w:t>
            </w:r>
          </w:p>
        </w:tc>
        <w:tc>
          <w:tcPr>
            <w:tcW w:w="1120" w:type="dxa"/>
            <w:noWrap w:val="0"/>
            <w:vAlign w:val="center"/>
          </w:tcPr>
          <w:p w14:paraId="4A945776">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7356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66BE4C50">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223F5C7D">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敏感程度</w:t>
            </w:r>
          </w:p>
        </w:tc>
        <w:tc>
          <w:tcPr>
            <w:tcW w:w="5439" w:type="dxa"/>
            <w:gridSpan w:val="5"/>
            <w:noWrap w:val="0"/>
            <w:vAlign w:val="center"/>
          </w:tcPr>
          <w:p w14:paraId="0B369484">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敏感</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；较敏感</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；不敏感</w:t>
            </w:r>
            <w:r>
              <w:rPr>
                <w:rFonts w:hint="default" w:ascii="Times New Roman" w:hAnsi="Times New Roman" w:eastAsia="MS Mincho" w:cs="Times New Roman"/>
                <w:color w:val="auto"/>
                <w:sz w:val="21"/>
                <w:szCs w:val="21"/>
                <w:highlight w:val="none"/>
                <w:lang w:bidi="zh-CN"/>
              </w:rPr>
              <w:t>□</w:t>
            </w:r>
          </w:p>
        </w:tc>
        <w:tc>
          <w:tcPr>
            <w:tcW w:w="1120" w:type="dxa"/>
            <w:noWrap w:val="0"/>
            <w:vAlign w:val="center"/>
          </w:tcPr>
          <w:p w14:paraId="2DEFE5BA">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563B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82" w:type="dxa"/>
            <w:gridSpan w:val="2"/>
            <w:noWrap w:val="0"/>
            <w:vAlign w:val="center"/>
          </w:tcPr>
          <w:p w14:paraId="5D73B842">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5439" w:type="dxa"/>
            <w:gridSpan w:val="5"/>
            <w:noWrap w:val="0"/>
            <w:vAlign w:val="center"/>
          </w:tcPr>
          <w:p w14:paraId="31047EA5">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一级</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；二级</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；三级</w:t>
            </w:r>
            <w:r>
              <w:rPr>
                <w:rFonts w:hint="default" w:ascii="Times New Roman" w:hAnsi="Times New Roman" w:eastAsia="MS Mincho" w:cs="Times New Roman"/>
                <w:color w:val="auto"/>
                <w:sz w:val="21"/>
                <w:szCs w:val="21"/>
                <w:highlight w:val="none"/>
                <w:lang w:bidi="zh-CN"/>
              </w:rPr>
              <w:t>☑</w:t>
            </w:r>
          </w:p>
        </w:tc>
        <w:tc>
          <w:tcPr>
            <w:tcW w:w="1120" w:type="dxa"/>
            <w:noWrap w:val="0"/>
            <w:vAlign w:val="center"/>
          </w:tcPr>
          <w:p w14:paraId="7FF67468">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6272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restart"/>
            <w:noWrap w:val="0"/>
            <w:vAlign w:val="center"/>
          </w:tcPr>
          <w:p w14:paraId="34D275A2">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现状调查内容</w:t>
            </w:r>
          </w:p>
        </w:tc>
        <w:tc>
          <w:tcPr>
            <w:tcW w:w="1526" w:type="dxa"/>
            <w:noWrap w:val="0"/>
            <w:vAlign w:val="center"/>
          </w:tcPr>
          <w:p w14:paraId="0C32A4F6">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资料收集</w:t>
            </w:r>
          </w:p>
        </w:tc>
        <w:tc>
          <w:tcPr>
            <w:tcW w:w="5439" w:type="dxa"/>
            <w:gridSpan w:val="5"/>
            <w:noWrap w:val="0"/>
            <w:vAlign w:val="center"/>
          </w:tcPr>
          <w:p w14:paraId="3E6C3FF9">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lang w:eastAsia="zh-CN"/>
              </w:rPr>
            </w:pPr>
          </w:p>
        </w:tc>
        <w:tc>
          <w:tcPr>
            <w:tcW w:w="1120" w:type="dxa"/>
            <w:noWrap w:val="0"/>
            <w:vAlign w:val="center"/>
          </w:tcPr>
          <w:p w14:paraId="6EA60122">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4A3D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56" w:type="dxa"/>
            <w:vMerge w:val="continue"/>
            <w:noWrap w:val="0"/>
            <w:vAlign w:val="center"/>
          </w:tcPr>
          <w:p w14:paraId="3068BF0B">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5A242592">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理化特性</w:t>
            </w:r>
          </w:p>
        </w:tc>
        <w:tc>
          <w:tcPr>
            <w:tcW w:w="5439" w:type="dxa"/>
            <w:gridSpan w:val="5"/>
            <w:noWrap w:val="0"/>
            <w:vAlign w:val="center"/>
          </w:tcPr>
          <w:p w14:paraId="4EF803F1">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noWrap w:val="0"/>
            <w:vAlign w:val="center"/>
          </w:tcPr>
          <w:p w14:paraId="61475EB6">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同附录C</w:t>
            </w:r>
          </w:p>
        </w:tc>
      </w:tr>
      <w:tr w14:paraId="4657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36211B55">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vMerge w:val="restart"/>
            <w:noWrap w:val="0"/>
            <w:vAlign w:val="center"/>
          </w:tcPr>
          <w:p w14:paraId="12C07EDA">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现状监测点位</w:t>
            </w:r>
          </w:p>
        </w:tc>
        <w:tc>
          <w:tcPr>
            <w:tcW w:w="1533" w:type="dxa"/>
            <w:noWrap w:val="0"/>
            <w:vAlign w:val="center"/>
          </w:tcPr>
          <w:p w14:paraId="42891CFD">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276" w:type="dxa"/>
            <w:noWrap w:val="0"/>
            <w:vAlign w:val="center"/>
          </w:tcPr>
          <w:p w14:paraId="20BA6346">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w:t>
            </w:r>
          </w:p>
        </w:tc>
        <w:tc>
          <w:tcPr>
            <w:tcW w:w="1404" w:type="dxa"/>
            <w:gridSpan w:val="2"/>
            <w:noWrap w:val="0"/>
            <w:vAlign w:val="center"/>
          </w:tcPr>
          <w:p w14:paraId="3439918A">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占地范围外</w:t>
            </w:r>
          </w:p>
        </w:tc>
        <w:tc>
          <w:tcPr>
            <w:tcW w:w="1226" w:type="dxa"/>
            <w:noWrap w:val="0"/>
            <w:vAlign w:val="center"/>
          </w:tcPr>
          <w:p w14:paraId="2448E064">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深度</w:t>
            </w:r>
          </w:p>
        </w:tc>
        <w:tc>
          <w:tcPr>
            <w:tcW w:w="1120" w:type="dxa"/>
            <w:vMerge w:val="restart"/>
            <w:noWrap w:val="0"/>
            <w:vAlign w:val="center"/>
          </w:tcPr>
          <w:p w14:paraId="5156DF6B">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点位布置图</w:t>
            </w:r>
          </w:p>
        </w:tc>
      </w:tr>
      <w:tr w14:paraId="1C09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085CED1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vMerge w:val="continue"/>
            <w:noWrap w:val="0"/>
            <w:vAlign w:val="center"/>
          </w:tcPr>
          <w:p w14:paraId="4F3E164A">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33" w:type="dxa"/>
            <w:noWrap w:val="0"/>
            <w:vAlign w:val="center"/>
          </w:tcPr>
          <w:p w14:paraId="45B505BC">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表层样点数</w:t>
            </w:r>
          </w:p>
        </w:tc>
        <w:tc>
          <w:tcPr>
            <w:tcW w:w="1276" w:type="dxa"/>
            <w:noWrap w:val="0"/>
            <w:vAlign w:val="center"/>
          </w:tcPr>
          <w:p w14:paraId="47FFFA16">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1404" w:type="dxa"/>
            <w:gridSpan w:val="2"/>
            <w:noWrap w:val="0"/>
            <w:vAlign w:val="center"/>
          </w:tcPr>
          <w:p w14:paraId="6F4FA69B">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26" w:type="dxa"/>
            <w:noWrap w:val="0"/>
            <w:vAlign w:val="center"/>
          </w:tcPr>
          <w:p w14:paraId="79F587E8">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0-20m</w:t>
            </w:r>
          </w:p>
        </w:tc>
        <w:tc>
          <w:tcPr>
            <w:tcW w:w="1120" w:type="dxa"/>
            <w:vMerge w:val="continue"/>
            <w:noWrap w:val="0"/>
            <w:vAlign w:val="center"/>
          </w:tcPr>
          <w:p w14:paraId="3289CB0D">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3AFE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49375F23">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vMerge w:val="continue"/>
            <w:noWrap w:val="0"/>
            <w:vAlign w:val="center"/>
          </w:tcPr>
          <w:p w14:paraId="43618D07">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33" w:type="dxa"/>
            <w:noWrap w:val="0"/>
            <w:vAlign w:val="center"/>
          </w:tcPr>
          <w:p w14:paraId="5C48E50B">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柱状样点数</w:t>
            </w:r>
          </w:p>
        </w:tc>
        <w:tc>
          <w:tcPr>
            <w:tcW w:w="1276" w:type="dxa"/>
            <w:noWrap w:val="0"/>
            <w:vAlign w:val="center"/>
          </w:tcPr>
          <w:p w14:paraId="5F19593A">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04" w:type="dxa"/>
            <w:gridSpan w:val="2"/>
            <w:noWrap w:val="0"/>
            <w:vAlign w:val="center"/>
          </w:tcPr>
          <w:p w14:paraId="327C6E75">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26" w:type="dxa"/>
            <w:noWrap w:val="0"/>
            <w:vAlign w:val="center"/>
          </w:tcPr>
          <w:p w14:paraId="45FA394F">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20" w:type="dxa"/>
            <w:vMerge w:val="continue"/>
            <w:noWrap w:val="0"/>
            <w:vAlign w:val="center"/>
          </w:tcPr>
          <w:p w14:paraId="09AEA491">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3C21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46C0A97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1BEC503C">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现状监测因子</w:t>
            </w:r>
          </w:p>
        </w:tc>
        <w:tc>
          <w:tcPr>
            <w:tcW w:w="5439" w:type="dxa"/>
            <w:gridSpan w:val="5"/>
            <w:noWrap w:val="0"/>
            <w:vAlign w:val="center"/>
          </w:tcPr>
          <w:p w14:paraId="694A3062">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bidi="zh-CN"/>
              </w:rPr>
              <w:t>土壤45项</w:t>
            </w:r>
          </w:p>
        </w:tc>
        <w:tc>
          <w:tcPr>
            <w:tcW w:w="1120" w:type="dxa"/>
            <w:noWrap w:val="0"/>
            <w:vAlign w:val="center"/>
          </w:tcPr>
          <w:p w14:paraId="36A18DED">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7F7B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restart"/>
            <w:noWrap w:val="0"/>
            <w:vAlign w:val="center"/>
          </w:tcPr>
          <w:p w14:paraId="148ACA77">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1526" w:type="dxa"/>
            <w:noWrap w:val="0"/>
            <w:vAlign w:val="center"/>
          </w:tcPr>
          <w:p w14:paraId="295EAC1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5439" w:type="dxa"/>
            <w:gridSpan w:val="5"/>
            <w:noWrap w:val="0"/>
            <w:vAlign w:val="center"/>
          </w:tcPr>
          <w:p w14:paraId="498330A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bidi="zh-CN"/>
              </w:rPr>
              <w:t>土壤45项</w:t>
            </w:r>
          </w:p>
        </w:tc>
        <w:tc>
          <w:tcPr>
            <w:tcW w:w="1120" w:type="dxa"/>
            <w:noWrap w:val="0"/>
            <w:vAlign w:val="center"/>
          </w:tcPr>
          <w:p w14:paraId="14EF283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05DC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6BEDA5C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14A8F9B0">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w:t>
            </w:r>
          </w:p>
        </w:tc>
        <w:tc>
          <w:tcPr>
            <w:tcW w:w="5439" w:type="dxa"/>
            <w:gridSpan w:val="5"/>
            <w:noWrap w:val="0"/>
            <w:vAlign w:val="center"/>
          </w:tcPr>
          <w:p w14:paraId="27F7BF15">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GB15618</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；GB36600</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；表D.1</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；表D.2</w:t>
            </w:r>
            <w:r>
              <w:rPr>
                <w:rFonts w:hint="default" w:ascii="Times New Roman" w:hAnsi="Times New Roman" w:eastAsia="MS Mincho" w:cs="Times New Roman"/>
                <w:color w:val="auto"/>
                <w:sz w:val="21"/>
                <w:szCs w:val="21"/>
                <w:highlight w:val="none"/>
                <w:lang w:bidi="zh-CN"/>
              </w:rPr>
              <w:t>□</w:t>
            </w:r>
            <w:r>
              <w:rPr>
                <w:rFonts w:hint="default" w:ascii="Times New Roman" w:hAnsi="Times New Roman" w:eastAsia="宋体" w:cs="Times New Roman"/>
                <w:color w:val="auto"/>
                <w:sz w:val="21"/>
                <w:szCs w:val="21"/>
                <w:highlight w:val="none"/>
              </w:rPr>
              <w:t>；其他</w:t>
            </w:r>
            <w:r>
              <w:rPr>
                <w:rFonts w:hint="default" w:ascii="Times New Roman" w:hAnsi="Times New Roman" w:eastAsia="MS Mincho" w:cs="Times New Roman"/>
                <w:color w:val="auto"/>
                <w:sz w:val="21"/>
                <w:szCs w:val="21"/>
                <w:highlight w:val="none"/>
                <w:lang w:bidi="zh-CN"/>
              </w:rPr>
              <w:t>□</w:t>
            </w:r>
          </w:p>
        </w:tc>
        <w:tc>
          <w:tcPr>
            <w:tcW w:w="1120" w:type="dxa"/>
            <w:noWrap w:val="0"/>
            <w:vAlign w:val="center"/>
          </w:tcPr>
          <w:p w14:paraId="38FFD1C4">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015A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456" w:type="dxa"/>
            <w:vMerge w:val="continue"/>
            <w:noWrap w:val="0"/>
            <w:vAlign w:val="center"/>
          </w:tcPr>
          <w:p w14:paraId="11ED121E">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79EB22A7">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现状评价结论</w:t>
            </w:r>
          </w:p>
        </w:tc>
        <w:tc>
          <w:tcPr>
            <w:tcW w:w="5439" w:type="dxa"/>
            <w:gridSpan w:val="5"/>
            <w:noWrap w:val="0"/>
            <w:vAlign w:val="center"/>
          </w:tcPr>
          <w:p w14:paraId="5A223048">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检测点位各检测因子均能满足《畜禽养殖产地环境评价规范》（HJ568-2010）中的表4</w:t>
            </w:r>
          </w:p>
        </w:tc>
        <w:tc>
          <w:tcPr>
            <w:tcW w:w="1120" w:type="dxa"/>
            <w:noWrap w:val="0"/>
            <w:vAlign w:val="center"/>
          </w:tcPr>
          <w:p w14:paraId="1AA9022C">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4B26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56" w:type="dxa"/>
            <w:vMerge w:val="restart"/>
            <w:noWrap w:val="0"/>
            <w:vAlign w:val="center"/>
          </w:tcPr>
          <w:p w14:paraId="31E17A12">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影响预测</w:t>
            </w:r>
          </w:p>
        </w:tc>
        <w:tc>
          <w:tcPr>
            <w:tcW w:w="1526" w:type="dxa"/>
            <w:noWrap w:val="0"/>
            <w:vAlign w:val="center"/>
          </w:tcPr>
          <w:p w14:paraId="49AEBBCA">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预测因子</w:t>
            </w:r>
          </w:p>
        </w:tc>
        <w:tc>
          <w:tcPr>
            <w:tcW w:w="5439" w:type="dxa"/>
            <w:gridSpan w:val="5"/>
            <w:noWrap w:val="0"/>
            <w:vAlign w:val="center"/>
          </w:tcPr>
          <w:p w14:paraId="477E5B3E">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noWrap w:val="0"/>
            <w:vAlign w:val="center"/>
          </w:tcPr>
          <w:p w14:paraId="0547D7A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24A4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000F5F0D">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783CF431">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预测方法</w:t>
            </w:r>
          </w:p>
        </w:tc>
        <w:tc>
          <w:tcPr>
            <w:tcW w:w="5439" w:type="dxa"/>
            <w:gridSpan w:val="5"/>
            <w:noWrap w:val="0"/>
            <w:vAlign w:val="center"/>
          </w:tcPr>
          <w:p w14:paraId="3CA1F0CA">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附录E</w:t>
            </w:r>
            <w:r>
              <w:rPr>
                <w:rFonts w:hint="eastAsia" w:ascii="Times New Roman" w:hAnsi="Times New Roman" w:eastAsia="宋体" w:cs="Times New Roman"/>
                <w:color w:val="auto"/>
                <w:sz w:val="21"/>
                <w:szCs w:val="21"/>
                <w:highlight w:val="none"/>
                <w:lang w:eastAsia="zh-CN"/>
              </w:rPr>
              <w:sym w:font="Wingdings" w:char="00A8"/>
            </w:r>
            <w:r>
              <w:rPr>
                <w:rFonts w:hint="default" w:ascii="Times New Roman" w:hAnsi="Times New Roman" w:eastAsia="宋体" w:cs="Times New Roman"/>
                <w:color w:val="auto"/>
                <w:sz w:val="21"/>
                <w:szCs w:val="21"/>
                <w:highlight w:val="none"/>
              </w:rPr>
              <w:t>附录F</w:t>
            </w:r>
            <w:r>
              <w:rPr>
                <w:rFonts w:hint="eastAsia" w:ascii="Times New Roman" w:hAnsi="Times New Roman" w:eastAsia="宋体" w:cs="Times New Roman"/>
                <w:color w:val="auto"/>
                <w:sz w:val="21"/>
                <w:szCs w:val="21"/>
                <w:highlight w:val="none"/>
                <w:lang w:eastAsia="zh-CN"/>
              </w:rPr>
              <w:sym w:font="Wingdings" w:char="00A8"/>
            </w:r>
            <w:r>
              <w:rPr>
                <w:rFonts w:hint="default" w:ascii="Times New Roman" w:hAnsi="Times New Roman" w:eastAsia="宋体" w:cs="Times New Roman"/>
                <w:color w:val="auto"/>
                <w:sz w:val="21"/>
                <w:szCs w:val="21"/>
                <w:highlight w:val="none"/>
              </w:rPr>
              <w:t>；其他（）</w:t>
            </w:r>
          </w:p>
        </w:tc>
        <w:tc>
          <w:tcPr>
            <w:tcW w:w="1120" w:type="dxa"/>
            <w:noWrap w:val="0"/>
            <w:vAlign w:val="center"/>
          </w:tcPr>
          <w:p w14:paraId="6733F23F">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0430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23CE1D1D">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379A4902">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预测分析内容</w:t>
            </w:r>
          </w:p>
        </w:tc>
        <w:tc>
          <w:tcPr>
            <w:tcW w:w="5439" w:type="dxa"/>
            <w:gridSpan w:val="5"/>
            <w:noWrap w:val="0"/>
            <w:vAlign w:val="center"/>
          </w:tcPr>
          <w:p w14:paraId="4B52DDB3">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影响范围（）</w:t>
            </w:r>
          </w:p>
          <w:p w14:paraId="66D451E0">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影响程度（）</w:t>
            </w:r>
          </w:p>
        </w:tc>
        <w:tc>
          <w:tcPr>
            <w:tcW w:w="1120" w:type="dxa"/>
            <w:noWrap w:val="0"/>
            <w:vAlign w:val="center"/>
          </w:tcPr>
          <w:p w14:paraId="3CF4DB2D">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1516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2E608920">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49B30A8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预测结论</w:t>
            </w:r>
          </w:p>
        </w:tc>
        <w:tc>
          <w:tcPr>
            <w:tcW w:w="5439" w:type="dxa"/>
            <w:gridSpan w:val="5"/>
            <w:noWrap w:val="0"/>
            <w:vAlign w:val="center"/>
          </w:tcPr>
          <w:p w14:paraId="763CB581">
            <w:pPr>
              <w:pStyle w:val="103"/>
              <w:snapToGrid w:val="0"/>
              <w:spacing w:line="240" w:lineRule="auto"/>
              <w:ind w:left="0" w:leftChars="0" w:right="-10" w:rightChars="0"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达标结论：a</w:t>
            </w:r>
            <w:r>
              <w:rPr>
                <w:rFonts w:hint="eastAsia" w:ascii="Times New Roman" w:hAnsi="Times New Roman" w:eastAsia="宋体" w:cs="Times New Roman"/>
                <w:color w:val="auto"/>
                <w:sz w:val="21"/>
                <w:szCs w:val="21"/>
                <w:highlight w:val="none"/>
                <w:lang w:eastAsia="zh-CN"/>
              </w:rPr>
              <w:sym w:font="Wingdings" w:char="00A8"/>
            </w:r>
            <w:r>
              <w:rPr>
                <w:rFonts w:hint="default" w:ascii="Times New Roman" w:hAnsi="Times New Roman" w:eastAsia="宋体" w:cs="Times New Roman"/>
                <w:color w:val="auto"/>
                <w:sz w:val="21"/>
                <w:szCs w:val="21"/>
                <w:highlight w:val="none"/>
              </w:rPr>
              <w:t>b</w:t>
            </w:r>
            <w:r>
              <w:rPr>
                <w:rFonts w:hint="eastAsia" w:ascii="Times New Roman" w:hAnsi="Times New Roman" w:eastAsia="宋体" w:cs="Times New Roman"/>
                <w:color w:val="auto"/>
                <w:sz w:val="21"/>
                <w:szCs w:val="21"/>
                <w:highlight w:val="none"/>
                <w:lang w:eastAsia="zh-CN"/>
              </w:rPr>
              <w:sym w:font="Wingdings" w:char="00A8"/>
            </w:r>
            <w:r>
              <w:rPr>
                <w:rFonts w:hint="default" w:ascii="Times New Roman" w:hAnsi="Times New Roman" w:eastAsia="宋体" w:cs="Times New Roman"/>
                <w:color w:val="auto"/>
                <w:sz w:val="21"/>
                <w:szCs w:val="21"/>
                <w:highlight w:val="none"/>
              </w:rPr>
              <w:t>c</w:t>
            </w:r>
            <w:r>
              <w:rPr>
                <w:rFonts w:hint="eastAsia" w:ascii="Times New Roman" w:hAnsi="Times New Roman" w:eastAsia="宋体" w:cs="Times New Roman"/>
                <w:color w:val="auto"/>
                <w:sz w:val="21"/>
                <w:szCs w:val="21"/>
                <w:highlight w:val="none"/>
                <w:lang w:eastAsia="zh-CN"/>
              </w:rPr>
              <w:sym w:font="Wingdings" w:char="00A8"/>
            </w:r>
          </w:p>
          <w:p w14:paraId="13FCA0A8">
            <w:pPr>
              <w:pStyle w:val="103"/>
              <w:snapToGrid w:val="0"/>
              <w:spacing w:line="240" w:lineRule="auto"/>
              <w:ind w:left="0" w:leftChars="0" w:right="-10" w:rightChars="0"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不达标结论：a</w:t>
            </w:r>
            <w:r>
              <w:rPr>
                <w:rFonts w:hint="eastAsia" w:ascii="Times New Roman" w:hAnsi="Times New Roman" w:eastAsia="宋体" w:cs="Times New Roman"/>
                <w:color w:val="auto"/>
                <w:sz w:val="21"/>
                <w:szCs w:val="21"/>
                <w:highlight w:val="none"/>
                <w:lang w:eastAsia="zh-CN"/>
              </w:rPr>
              <w:sym w:font="Wingdings" w:char="00A8"/>
            </w:r>
            <w:r>
              <w:rPr>
                <w:rFonts w:hint="default" w:ascii="Times New Roman" w:hAnsi="Times New Roman" w:eastAsia="宋体" w:cs="Times New Roman"/>
                <w:color w:val="auto"/>
                <w:sz w:val="21"/>
                <w:szCs w:val="21"/>
                <w:highlight w:val="none"/>
              </w:rPr>
              <w:t>b</w:t>
            </w:r>
            <w:r>
              <w:rPr>
                <w:rFonts w:hint="eastAsia" w:ascii="Times New Roman" w:hAnsi="Times New Roman" w:eastAsia="宋体" w:cs="Times New Roman"/>
                <w:color w:val="auto"/>
                <w:sz w:val="21"/>
                <w:szCs w:val="21"/>
                <w:highlight w:val="none"/>
                <w:lang w:eastAsia="zh-CN"/>
              </w:rPr>
              <w:sym w:font="Wingdings" w:char="00A8"/>
            </w:r>
          </w:p>
        </w:tc>
        <w:tc>
          <w:tcPr>
            <w:tcW w:w="1120" w:type="dxa"/>
            <w:noWrap w:val="0"/>
            <w:vAlign w:val="center"/>
          </w:tcPr>
          <w:p w14:paraId="69991B5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783C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restart"/>
            <w:noWrap w:val="0"/>
            <w:vAlign w:val="center"/>
          </w:tcPr>
          <w:p w14:paraId="28C1A58F">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防治措施</w:t>
            </w:r>
          </w:p>
        </w:tc>
        <w:tc>
          <w:tcPr>
            <w:tcW w:w="1526" w:type="dxa"/>
            <w:noWrap w:val="0"/>
            <w:vAlign w:val="center"/>
          </w:tcPr>
          <w:p w14:paraId="7C54DD18">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防控措施</w:t>
            </w:r>
          </w:p>
        </w:tc>
        <w:tc>
          <w:tcPr>
            <w:tcW w:w="5439" w:type="dxa"/>
            <w:gridSpan w:val="5"/>
            <w:noWrap w:val="0"/>
            <w:vAlign w:val="center"/>
          </w:tcPr>
          <w:p w14:paraId="4AF15537">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土壤环境质量现状保障（√）；源头控制（√）；过程防控（）；其他（√）</w:t>
            </w:r>
          </w:p>
        </w:tc>
        <w:tc>
          <w:tcPr>
            <w:tcW w:w="1120" w:type="dxa"/>
            <w:noWrap w:val="0"/>
            <w:vAlign w:val="center"/>
          </w:tcPr>
          <w:p w14:paraId="48EC2457">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1EDB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Merge w:val="continue"/>
            <w:noWrap w:val="0"/>
            <w:vAlign w:val="center"/>
          </w:tcPr>
          <w:p w14:paraId="7D1DAD16">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vMerge w:val="restart"/>
            <w:noWrap w:val="0"/>
            <w:vAlign w:val="center"/>
          </w:tcPr>
          <w:p w14:paraId="47BB5112">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跟踪监测</w:t>
            </w:r>
          </w:p>
        </w:tc>
        <w:tc>
          <w:tcPr>
            <w:tcW w:w="2828" w:type="dxa"/>
            <w:gridSpan w:val="3"/>
            <w:noWrap w:val="0"/>
            <w:vAlign w:val="center"/>
          </w:tcPr>
          <w:p w14:paraId="6525D820">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监测点数</w:t>
            </w:r>
          </w:p>
        </w:tc>
        <w:tc>
          <w:tcPr>
            <w:tcW w:w="1385" w:type="dxa"/>
            <w:noWrap w:val="0"/>
            <w:vAlign w:val="center"/>
          </w:tcPr>
          <w:p w14:paraId="01FBBD3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监测指标</w:t>
            </w:r>
          </w:p>
        </w:tc>
        <w:tc>
          <w:tcPr>
            <w:tcW w:w="1226" w:type="dxa"/>
            <w:noWrap w:val="0"/>
            <w:vAlign w:val="center"/>
          </w:tcPr>
          <w:p w14:paraId="72B84748">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1120" w:type="dxa"/>
            <w:noWrap w:val="0"/>
            <w:vAlign w:val="center"/>
          </w:tcPr>
          <w:p w14:paraId="78C18400">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15DB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6" w:type="dxa"/>
            <w:vMerge w:val="continue"/>
            <w:noWrap w:val="0"/>
            <w:vAlign w:val="center"/>
          </w:tcPr>
          <w:p w14:paraId="30D43D37">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vMerge w:val="continue"/>
            <w:noWrap w:val="0"/>
            <w:vAlign w:val="center"/>
          </w:tcPr>
          <w:p w14:paraId="7CFDF3F4">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828" w:type="dxa"/>
            <w:gridSpan w:val="3"/>
            <w:noWrap w:val="0"/>
            <w:vAlign w:val="center"/>
          </w:tcPr>
          <w:p w14:paraId="71F90BCB">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385" w:type="dxa"/>
            <w:noWrap w:val="0"/>
            <w:vAlign w:val="center"/>
          </w:tcPr>
          <w:p w14:paraId="14D6DC31">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bidi="zh-CN"/>
              </w:rPr>
              <w:t>/</w:t>
            </w:r>
          </w:p>
        </w:tc>
        <w:tc>
          <w:tcPr>
            <w:tcW w:w="1226" w:type="dxa"/>
            <w:noWrap w:val="0"/>
            <w:vAlign w:val="center"/>
          </w:tcPr>
          <w:p w14:paraId="7291DE20">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120" w:type="dxa"/>
            <w:noWrap w:val="0"/>
            <w:vAlign w:val="center"/>
          </w:tcPr>
          <w:p w14:paraId="6E1422E4">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4F92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56" w:type="dxa"/>
            <w:vMerge w:val="continue"/>
            <w:noWrap w:val="0"/>
            <w:vAlign w:val="center"/>
          </w:tcPr>
          <w:p w14:paraId="6D9DC9E1">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noWrap w:val="0"/>
            <w:vAlign w:val="center"/>
          </w:tcPr>
          <w:p w14:paraId="6DAB810B">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信息公开指标</w:t>
            </w:r>
          </w:p>
        </w:tc>
        <w:tc>
          <w:tcPr>
            <w:tcW w:w="5439" w:type="dxa"/>
            <w:gridSpan w:val="5"/>
            <w:noWrap w:val="0"/>
            <w:vAlign w:val="center"/>
          </w:tcPr>
          <w:p w14:paraId="566DD668">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p>
        </w:tc>
        <w:tc>
          <w:tcPr>
            <w:tcW w:w="1120" w:type="dxa"/>
            <w:noWrap w:val="0"/>
            <w:vAlign w:val="center"/>
          </w:tcPr>
          <w:p w14:paraId="133A94E9">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0EEC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82" w:type="dxa"/>
            <w:gridSpan w:val="2"/>
            <w:noWrap w:val="0"/>
            <w:vAlign w:val="center"/>
          </w:tcPr>
          <w:p w14:paraId="01165CE3">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评价结论</w:t>
            </w:r>
          </w:p>
        </w:tc>
        <w:tc>
          <w:tcPr>
            <w:tcW w:w="5439" w:type="dxa"/>
            <w:gridSpan w:val="5"/>
            <w:noWrap w:val="0"/>
            <w:vAlign w:val="center"/>
          </w:tcPr>
          <w:p w14:paraId="607DEABB">
            <w:pPr>
              <w:pStyle w:val="103"/>
              <w:snapToGrid w:val="0"/>
              <w:spacing w:line="240" w:lineRule="auto"/>
              <w:ind w:left="0" w:leftChars="0" w:right="-1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本项目对土壤环境影响较小</w:t>
            </w:r>
          </w:p>
        </w:tc>
        <w:tc>
          <w:tcPr>
            <w:tcW w:w="1120" w:type="dxa"/>
            <w:noWrap w:val="0"/>
            <w:vAlign w:val="center"/>
          </w:tcPr>
          <w:p w14:paraId="43A98213">
            <w:pPr>
              <w:pStyle w:val="103"/>
              <w:snapToGrid w:val="0"/>
              <w:spacing w:line="240" w:lineRule="auto"/>
              <w:ind w:left="0" w:leftChars="0" w:right="-1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257C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421" w:type="dxa"/>
            <w:gridSpan w:val="7"/>
            <w:noWrap w:val="0"/>
            <w:vAlign w:val="center"/>
          </w:tcPr>
          <w:p w14:paraId="36EC261C">
            <w:pPr>
              <w:pStyle w:val="103"/>
              <w:snapToGrid w:val="0"/>
              <w:spacing w:line="240" w:lineRule="auto"/>
              <w:ind w:left="0" w:leftChars="0" w:right="-10" w:rightChars="0" w:firstLine="0" w:firstLineChars="0"/>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注1：“</w:t>
            </w: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color w:val="auto"/>
                <w:spacing w:val="-6"/>
                <w:sz w:val="21"/>
                <w:szCs w:val="21"/>
                <w:highlight w:val="none"/>
              </w:rPr>
              <w:t>”为勾选项，可√；“（）”为内容填写项；“备注”为其他补充内容。</w:t>
            </w:r>
          </w:p>
          <w:p w14:paraId="424909DF">
            <w:pPr>
              <w:pStyle w:val="103"/>
              <w:snapToGrid w:val="0"/>
              <w:spacing w:line="240" w:lineRule="auto"/>
              <w:ind w:left="0" w:leftChars="0" w:right="-10" w:rightChars="0" w:firstLine="0" w:firstLineChars="0"/>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注2：需要分别开展土壤</w:t>
            </w:r>
            <w:r>
              <w:rPr>
                <w:rFonts w:hint="default" w:ascii="Times New Roman" w:hAnsi="Times New Roman" w:eastAsia="宋体" w:cs="Times New Roman"/>
                <w:color w:val="auto"/>
                <w:spacing w:val="-6"/>
                <w:sz w:val="21"/>
                <w:szCs w:val="21"/>
                <w:highlight w:val="none"/>
                <w:lang w:eastAsia="zh-CN"/>
              </w:rPr>
              <w:t>环境影响评价</w:t>
            </w:r>
            <w:r>
              <w:rPr>
                <w:rFonts w:hint="default" w:ascii="Times New Roman" w:hAnsi="Times New Roman" w:eastAsia="宋体" w:cs="Times New Roman"/>
                <w:color w:val="auto"/>
                <w:spacing w:val="-6"/>
                <w:sz w:val="21"/>
                <w:szCs w:val="21"/>
                <w:highlight w:val="none"/>
              </w:rPr>
              <w:t>工作的，分别填写自查表。</w:t>
            </w:r>
          </w:p>
        </w:tc>
        <w:tc>
          <w:tcPr>
            <w:tcW w:w="1120" w:type="dxa"/>
            <w:noWrap w:val="0"/>
            <w:vAlign w:val="center"/>
          </w:tcPr>
          <w:p w14:paraId="49761328">
            <w:pPr>
              <w:pStyle w:val="103"/>
              <w:snapToGrid w:val="0"/>
              <w:spacing w:line="240" w:lineRule="auto"/>
              <w:ind w:left="0" w:leftChars="0" w:right="-10" w:rightChars="0" w:firstLine="0" w:firstLineChars="0"/>
              <w:textAlignment w:val="auto"/>
              <w:rPr>
                <w:rFonts w:hint="default" w:ascii="Times New Roman" w:hAnsi="Times New Roman" w:eastAsia="宋体" w:cs="Times New Roman"/>
                <w:color w:val="auto"/>
                <w:spacing w:val="-6"/>
                <w:sz w:val="21"/>
                <w:szCs w:val="21"/>
                <w:highlight w:val="none"/>
              </w:rPr>
            </w:pPr>
          </w:p>
        </w:tc>
      </w:tr>
    </w:tbl>
    <w:p w14:paraId="1FD5B56B">
      <w:pPr>
        <w:pStyle w:val="4"/>
        <w:bidi w:val="0"/>
        <w:rPr>
          <w:rFonts w:hint="default" w:ascii="Times New Roman" w:hAnsi="Times New Roman" w:cs="Times New Roman"/>
          <w:lang w:val="en-US"/>
        </w:rPr>
      </w:pPr>
      <w:r>
        <w:rPr>
          <w:rFonts w:hint="default" w:ascii="Times New Roman" w:hAnsi="Times New Roman" w:cs="Times New Roman"/>
          <w:lang w:val="en-US"/>
        </w:rPr>
        <w:t>生态环境影响分析</w:t>
      </w:r>
    </w:p>
    <w:p w14:paraId="27627E06">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cs="Times New Roman"/>
          <w:color w:val="000000"/>
          <w:sz w:val="24"/>
        </w:rPr>
      </w:pPr>
      <w:bookmarkStart w:id="117" w:name="_TOC_250031"/>
      <w:bookmarkEnd w:id="117"/>
      <w:bookmarkStart w:id="118" w:name="5.2.7.1_土地利用环境影响评价"/>
      <w:bookmarkEnd w:id="118"/>
      <w:bookmarkStart w:id="119" w:name="_Toc182022402"/>
      <w:bookmarkStart w:id="120" w:name="_Toc202248831"/>
      <w:bookmarkStart w:id="121" w:name="_Toc7442"/>
      <w:bookmarkStart w:id="122" w:name="_Toc28854"/>
      <w:bookmarkStart w:id="123" w:name="_Toc30987"/>
      <w:r>
        <w:rPr>
          <w:rFonts w:hint="default" w:ascii="Times New Roman" w:hAnsi="Times New Roman" w:cs="Times New Roman"/>
          <w:color w:val="000000"/>
          <w:sz w:val="24"/>
        </w:rPr>
        <w:t>（1）土地利用</w:t>
      </w:r>
      <w:bookmarkEnd w:id="119"/>
      <w:bookmarkEnd w:id="120"/>
      <w:r>
        <w:rPr>
          <w:rFonts w:hint="default" w:ascii="Times New Roman" w:hAnsi="Times New Roman" w:cs="Times New Roman"/>
          <w:color w:val="000000"/>
          <w:sz w:val="24"/>
        </w:rPr>
        <w:t>类型</w:t>
      </w:r>
    </w:p>
    <w:p w14:paraId="65F1E725">
      <w:pPr>
        <w:pStyle w:val="106"/>
        <w:keepNext w:val="0"/>
        <w:keepLines w:val="0"/>
        <w:pageBreakBefore w:val="0"/>
        <w:widowControl w:val="0"/>
        <w:kinsoku/>
        <w:wordWrap/>
        <w:overflowPunct/>
        <w:topLinePunct w:val="0"/>
        <w:bidi w:val="0"/>
        <w:adjustRightInd/>
        <w:snapToGrid/>
        <w:spacing w:line="360" w:lineRule="auto"/>
        <w:ind w:right="0"/>
        <w:textAlignment w:val="auto"/>
        <w:rPr>
          <w:rFonts w:hint="default" w:ascii="Times New Roman" w:hAnsi="Times New Roman" w:cs="Times New Roman"/>
          <w:color w:val="000000"/>
          <w:sz w:val="24"/>
        </w:rPr>
      </w:pPr>
      <w:bookmarkStart w:id="124" w:name="_Toc202248834"/>
      <w:bookmarkStart w:id="125" w:name="_Toc182022404"/>
      <w:r>
        <w:rPr>
          <w:rFonts w:hint="default" w:ascii="Times New Roman" w:hAnsi="Times New Roman" w:eastAsia="宋体" w:cs="Times New Roman"/>
          <w:color w:val="000000"/>
          <w:sz w:val="24"/>
          <w:szCs w:val="24"/>
        </w:rPr>
        <w:t>项目区建设前土地为未利用地，本项目建成后，养殖场将建成混凝土地面，并在空地和场界四周加强绿化和种植。因此本项目的实施可以提高土地利用率和生产力，且绿化种植一方面可以起到降噪降恶臭的环境功能，另一方面相对以前物种单一的荒漠草原植被，更利于对地表径流水的吸收，有利于水土保持，减少土壤侵蚀。</w:t>
      </w:r>
    </w:p>
    <w:bookmarkEnd w:id="124"/>
    <w:bookmarkEnd w:id="125"/>
    <w:p w14:paraId="69CB1FD6">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00"/>
          <w:sz w:val="24"/>
          <w:lang w:val="en-US" w:eastAsia="zh-CN"/>
        </w:rPr>
      </w:pPr>
      <w:bookmarkStart w:id="126" w:name="_Toc17171"/>
      <w:bookmarkStart w:id="127" w:name="_Toc16745"/>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lang w:eastAsia="zh-CN"/>
        </w:rPr>
        <w:t>）</w:t>
      </w:r>
      <w:bookmarkEnd w:id="126"/>
      <w:bookmarkEnd w:id="127"/>
      <w:r>
        <w:rPr>
          <w:rFonts w:hint="default" w:ascii="Times New Roman" w:hAnsi="Times New Roman" w:eastAsia="宋体" w:cs="Times New Roman"/>
          <w:color w:val="000000"/>
          <w:sz w:val="24"/>
          <w:lang w:val="en-US" w:eastAsia="zh-CN"/>
        </w:rPr>
        <w:t>植被破坏</w:t>
      </w:r>
    </w:p>
    <w:p w14:paraId="2DC572D3">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val="en-US" w:eastAsia="zh-CN"/>
        </w:rPr>
        <w:t>项目所在区域植被稀疏，在开发建设期间，由于土地使用功能发生变化，施工过程中，所有植被都被去除，这样表面植被就遭到了短期破坏。随着工程建设的完成，除被永久性占用外，其余部分地段项目采取种植树木等绿化措施进行绿化，可以有效地防止了水土流失。</w:t>
      </w:r>
    </w:p>
    <w:p w14:paraId="2644804C">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3</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对野生动物的影响</w:t>
      </w:r>
    </w:p>
    <w:p w14:paraId="0610C622">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val="en-US" w:eastAsia="zh-CN"/>
        </w:rPr>
        <w:t>本项目运营期对野生动物的主要影响是占用了动物原有的生活环境，使部分野生动物不得不搬离项目区，但项目所在地区域面积广阔，生态环境与项目占用区域原有生态环境类似，且无阻碍动物通行的建筑或工程等，因此，本项目对野生动物的影响较小</w:t>
      </w:r>
      <w:bookmarkStart w:id="128" w:name="_Toc12592"/>
      <w:bookmarkStart w:id="129" w:name="_Toc1956"/>
      <w:r>
        <w:rPr>
          <w:rFonts w:hint="default" w:ascii="Times New Roman" w:hAnsi="Times New Roman" w:eastAsia="宋体" w:cs="Times New Roman"/>
          <w:color w:val="000000"/>
          <w:sz w:val="24"/>
          <w:lang w:eastAsia="zh-CN"/>
        </w:rPr>
        <w:t>。</w:t>
      </w:r>
    </w:p>
    <w:p w14:paraId="05F7831F">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FF"/>
          <w:sz w:val="24"/>
          <w:szCs w:val="24"/>
          <w:lang w:eastAsia="zh-CN"/>
        </w:rPr>
      </w:pPr>
      <w:r>
        <w:rPr>
          <w:rFonts w:hint="default" w:ascii="Times New Roman" w:hAnsi="Times New Roman" w:cs="Times New Roman"/>
          <w:color w:val="0000FF"/>
          <w:sz w:val="24"/>
          <w:szCs w:val="24"/>
          <w:lang w:eastAsia="zh-CN"/>
        </w:rPr>
        <w:t>（</w:t>
      </w:r>
      <w:r>
        <w:rPr>
          <w:rFonts w:hint="default" w:ascii="Times New Roman" w:hAnsi="Times New Roman" w:cs="Times New Roman"/>
          <w:color w:val="0000FF"/>
          <w:sz w:val="24"/>
          <w:szCs w:val="24"/>
          <w:lang w:val="en-US" w:eastAsia="zh-CN"/>
        </w:rPr>
        <w:t>4</w:t>
      </w:r>
      <w:r>
        <w:rPr>
          <w:rFonts w:hint="default" w:ascii="Times New Roman" w:hAnsi="Times New Roman" w:cs="Times New Roman"/>
          <w:color w:val="0000FF"/>
          <w:sz w:val="24"/>
          <w:szCs w:val="24"/>
          <w:lang w:eastAsia="zh-CN"/>
        </w:rPr>
        <w:t>）</w:t>
      </w:r>
      <w:r>
        <w:rPr>
          <w:rFonts w:hint="default" w:ascii="Times New Roman" w:hAnsi="Times New Roman" w:cs="Times New Roman"/>
          <w:color w:val="0000FF"/>
          <w:sz w:val="24"/>
          <w:szCs w:val="24"/>
        </w:rPr>
        <w:t>对景观的影响</w:t>
      </w:r>
    </w:p>
    <w:p w14:paraId="59244BFC">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lang w:eastAsia="zh-CN"/>
        </w:rPr>
        <w:t>本项目完成后，将使项目所在评价区域新增养殖景观，景观格局发生一定变化。项目区占地使原有斑块发生变化，景观类型的优势度均有所下降；养殖用地的景观优势度提高，景观斑块密度增大，频度增加，但养殖景观面积相对较小，比例较低，景观斑块集中且连通，但不具备动态控制能力，对生态调控作用小，尚不构成对生态环境起决定作用的景观基底。</w:t>
      </w:r>
    </w:p>
    <w:p w14:paraId="0F10F1F5">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lang w:eastAsia="zh-CN"/>
        </w:rPr>
        <w:t>总体上看，工程建设将造成区域景观格局带来相应的改变，但由于项目地面建设工程量不大，建筑物体量较小，在采取绿化、植被恢复措施后，可减缓局部景观切割、镶嵌造成的异质性影响，不会引起区域景观整体格局的明显变化，区域的景观基底仍以自然景观为主。</w:t>
      </w:r>
    </w:p>
    <w:p w14:paraId="546BF689">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lang w:val="en-US" w:eastAsia="zh-CN"/>
        </w:rPr>
        <w:t>5</w:t>
      </w:r>
      <w:r>
        <w:rPr>
          <w:rFonts w:hint="default" w:ascii="Times New Roman" w:hAnsi="Times New Roman" w:eastAsia="宋体" w:cs="Times New Roman"/>
          <w:color w:val="0000FF"/>
          <w:sz w:val="24"/>
          <w:lang w:eastAsia="zh-CN"/>
        </w:rPr>
        <w:t>）对生态环境的有利影响</w:t>
      </w:r>
    </w:p>
    <w:p w14:paraId="470E0975">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lang w:eastAsia="zh-CN"/>
        </w:rPr>
        <w:t>拟建项目所有粪污、渗滤液及生活污水均用于堆肥发酵还田，有利于减少化肥的使用量。项目粪污资源化利用，符合粪污“减量化、无害化、资源化”处理与处置的环境保护要求，对项目区域农业生态环境的改善将产生积极作用。</w:t>
      </w:r>
    </w:p>
    <w:p w14:paraId="24D61633">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lang w:eastAsia="zh-CN"/>
        </w:rPr>
        <w:t>项目产生的粪肥在保持和提高土壤肥力的效果上远远超过化肥，其中的磷属有机磷，肥效优于磷酸钙，不易被固定，相对提高了磷肥肥效，其中含有大量腐殖质，可改良土壤并提高产量，能提高土壤水分、温度、空气和肥效，满足作物生长发育的需要。由此可见，本项目产生的粪肥可使项目所在区域农作物增产，对其产生有利的影响，可减少化肥施用量，增加有机肥施用量；将提高土壤肥力，改变土壤理化性质，改善生态环境，有利于作物生长。</w:t>
      </w:r>
    </w:p>
    <w:p w14:paraId="2E5A8459">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lang w:eastAsia="zh-CN"/>
        </w:rPr>
        <w:t>综上，项目建设对于生态环境具有显著的正效应影响。</w:t>
      </w:r>
    </w:p>
    <w:p w14:paraId="51596500">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6</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生态影响评价结论</w:t>
      </w:r>
      <w:bookmarkEnd w:id="128"/>
      <w:bookmarkEnd w:id="129"/>
    </w:p>
    <w:p w14:paraId="7FB9E2F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项目实施后，区域内动植物的种类和数量基本不受影响，生物量的减少程度对区域生态系统稳定性的影响可以承受；项目建成后随着场地地面的硬化、项目区内绿化的完成可有效防止水土流失，运营期不会加重水土流失情况；评价范围内的植被和动物均为当地常见和广布种，虽然受到运营期人为扰动的影响，但不会使整个区域动植物群落的种类组成发生明显变化，也不会造成某一动植物物种的消失。因此项目对区域生态环境的影响在可接受范围之内</w:t>
      </w:r>
      <w:r>
        <w:rPr>
          <w:rFonts w:hint="default" w:ascii="Times New Roman" w:hAnsi="Times New Roman" w:cs="Times New Roman"/>
          <w:color w:val="000000"/>
          <w:sz w:val="24"/>
        </w:rPr>
        <w:t>。</w:t>
      </w:r>
      <w:bookmarkEnd w:id="121"/>
    </w:p>
    <w:p w14:paraId="27405BF2">
      <w:pPr>
        <w:pStyle w:val="16"/>
        <w:keepNext w:val="0"/>
        <w:keepLines w:val="0"/>
        <w:pageBreakBefore w:val="0"/>
        <w:widowControl w:val="0"/>
        <w:kinsoku/>
        <w:wordWrap/>
        <w:overflowPunct/>
        <w:topLinePunct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的实施对项目区所在地生态环境影响较小，</w:t>
      </w:r>
      <w:r>
        <w:rPr>
          <w:rFonts w:hint="default" w:ascii="Times New Roman" w:hAnsi="Times New Roman" w:cs="Times New Roman"/>
          <w:color w:val="auto"/>
        </w:rPr>
        <w:t>项目实施以后，项目所在地有大量的农田，可完全消化、分解本项目养殖场产生的</w:t>
      </w:r>
      <w:r>
        <w:rPr>
          <w:rFonts w:hint="default" w:ascii="Times New Roman" w:hAnsi="Times New Roman" w:cs="Times New Roman"/>
          <w:color w:val="auto"/>
          <w:lang w:val="en-US" w:eastAsia="zh-CN"/>
        </w:rPr>
        <w:t>鸡粪</w:t>
      </w:r>
      <w:r>
        <w:rPr>
          <w:rFonts w:hint="default" w:ascii="Times New Roman" w:hAnsi="Times New Roman" w:cs="Times New Roman"/>
          <w:color w:val="auto"/>
        </w:rPr>
        <w:t>。粪污经好氧处理后综合利用，可大大改善土壤的颗粒结构，可修复长期施用无机肥而板结的土壤，从而增加了土壤的肥力，增加农作物的产量并形成良性生态循环；同时，可少施或不施农药和化肥，实现增产增收</w:t>
      </w:r>
      <w:r>
        <w:rPr>
          <w:rFonts w:hint="default" w:ascii="Times New Roman" w:hAnsi="Times New Roman" w:cs="Times New Roman"/>
          <w:color w:val="auto"/>
          <w:lang w:eastAsia="zh-CN"/>
        </w:rPr>
        <w:t>。</w:t>
      </w:r>
    </w:p>
    <w:p w14:paraId="7F95950E">
      <w:pPr>
        <w:pStyle w:val="14"/>
        <w:bidi w:val="0"/>
        <w:rPr>
          <w:rFonts w:hint="default" w:ascii="Times New Roman" w:hAnsi="Times New Roman" w:cs="Times New Roman"/>
          <w:lang w:val="zh-C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lang w:val="zh-CN"/>
        </w:rPr>
        <w:t>生态影响评价自查表</w:t>
      </w:r>
    </w:p>
    <w:tbl>
      <w:tblPr>
        <w:tblStyle w:val="33"/>
        <w:tblW w:w="8693"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2"/>
        <w:gridCol w:w="1409"/>
        <w:gridCol w:w="3498"/>
        <w:gridCol w:w="637"/>
        <w:gridCol w:w="2277"/>
      </w:tblGrid>
      <w:tr w14:paraId="6F9F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2281" w:type="dxa"/>
            <w:gridSpan w:val="2"/>
            <w:noWrap w:val="0"/>
            <w:vAlign w:val="center"/>
          </w:tcPr>
          <w:p w14:paraId="517CDEA3">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工作内容</w:t>
            </w:r>
          </w:p>
        </w:tc>
        <w:tc>
          <w:tcPr>
            <w:tcW w:w="6412" w:type="dxa"/>
            <w:gridSpan w:val="3"/>
            <w:noWrap w:val="0"/>
            <w:vAlign w:val="center"/>
          </w:tcPr>
          <w:p w14:paraId="198B0B94">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自查项目</w:t>
            </w:r>
          </w:p>
        </w:tc>
      </w:tr>
      <w:tr w14:paraId="39E0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72" w:type="dxa"/>
            <w:vMerge w:val="restart"/>
            <w:noWrap w:val="0"/>
            <w:vAlign w:val="center"/>
          </w:tcPr>
          <w:p w14:paraId="0F221223">
            <w:pPr>
              <w:pStyle w:val="69"/>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生态影响识别</w:t>
            </w:r>
          </w:p>
        </w:tc>
        <w:tc>
          <w:tcPr>
            <w:tcW w:w="1409" w:type="dxa"/>
            <w:noWrap w:val="0"/>
            <w:vAlign w:val="center"/>
          </w:tcPr>
          <w:p w14:paraId="24239EBD">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生态保护目标</w:t>
            </w:r>
          </w:p>
        </w:tc>
        <w:tc>
          <w:tcPr>
            <w:tcW w:w="6412" w:type="dxa"/>
            <w:gridSpan w:val="3"/>
            <w:noWrap w:val="0"/>
            <w:vAlign w:val="center"/>
          </w:tcPr>
          <w:p w14:paraId="4264980A">
            <w:pPr>
              <w:pStyle w:val="69"/>
              <w:keepNext w:val="0"/>
              <w:keepLines w:val="0"/>
              <w:pageBreakBefore w:val="0"/>
              <w:widowControl w:val="0"/>
              <w:kinsoku/>
              <w:wordWrap/>
              <w:overflowPunct/>
              <w:topLinePunct w:val="0"/>
              <w:autoSpaceDE w:val="0"/>
              <w:autoSpaceDN w:val="0"/>
              <w:bidi w:val="0"/>
              <w:adjustRightInd/>
              <w:snapToGrid/>
              <w:spacing w:line="242" w:lineRule="auto"/>
              <w:ind w:left="0" w:right="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重要物种□；国家公园□；自然保护区□；自然公园□；世界自然遗产□；生态保护红线□；重要生境□；其他具有重要生态功能、对保护生物多样性具有重要意义的区域□；其他□</w:t>
            </w:r>
          </w:p>
        </w:tc>
      </w:tr>
      <w:tr w14:paraId="2A52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872" w:type="dxa"/>
            <w:vMerge w:val="continue"/>
            <w:noWrap w:val="0"/>
            <w:vAlign w:val="center"/>
          </w:tcPr>
          <w:p w14:paraId="224AE5B2">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c>
          <w:tcPr>
            <w:tcW w:w="1409" w:type="dxa"/>
            <w:noWrap w:val="0"/>
            <w:vAlign w:val="center"/>
          </w:tcPr>
          <w:p w14:paraId="3198CE04">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影响方式</w:t>
            </w:r>
          </w:p>
        </w:tc>
        <w:tc>
          <w:tcPr>
            <w:tcW w:w="6412" w:type="dxa"/>
            <w:gridSpan w:val="3"/>
            <w:noWrap w:val="0"/>
            <w:vAlign w:val="center"/>
          </w:tcPr>
          <w:p w14:paraId="5BA8177D">
            <w:pPr>
              <w:pStyle w:val="69"/>
              <w:keepNext w:val="0"/>
              <w:keepLines w:val="0"/>
              <w:pageBreakBefore w:val="0"/>
              <w:widowControl w:val="0"/>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工程占用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；施工活动干扰□；改变环境条件□；其他□</w:t>
            </w:r>
          </w:p>
        </w:tc>
      </w:tr>
      <w:tr w14:paraId="0C06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72" w:type="dxa"/>
            <w:vMerge w:val="continue"/>
            <w:noWrap w:val="0"/>
            <w:vAlign w:val="center"/>
          </w:tcPr>
          <w:p w14:paraId="3807ED2D">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c>
          <w:tcPr>
            <w:tcW w:w="1409" w:type="dxa"/>
            <w:noWrap w:val="0"/>
            <w:vAlign w:val="center"/>
          </w:tcPr>
          <w:p w14:paraId="50C5A56E">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6412" w:type="dxa"/>
            <w:gridSpan w:val="3"/>
            <w:noWrap w:val="0"/>
            <w:vAlign w:val="center"/>
          </w:tcPr>
          <w:p w14:paraId="6C169B24">
            <w:pPr>
              <w:pStyle w:val="69"/>
              <w:keepNext w:val="0"/>
              <w:keepLines w:val="0"/>
              <w:pageBreakBefore w:val="0"/>
              <w:widowControl w:val="0"/>
              <w:tabs>
                <w:tab w:val="left" w:pos="3092"/>
              </w:tabs>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物种</w:t>
            </w:r>
            <w:r>
              <w:rPr>
                <w:rFonts w:hint="eastAsia" w:ascii="Times New Roman" w:hAnsi="Times New Roman" w:cs="Times New Roman"/>
                <w:color w:val="auto"/>
                <w:sz w:val="21"/>
                <w:szCs w:val="21"/>
                <w:highlight w:val="none"/>
                <w:lang w:eastAsia="zh-CN"/>
              </w:rPr>
              <w:sym w:font="Wingdings" w:char="00A8"/>
            </w:r>
            <w:r>
              <w:rPr>
                <w:rFonts w:hint="default" w:ascii="Times New Roman" w:hAnsi="Times New Roman" w:cs="Times New Roman"/>
                <w:color w:val="auto"/>
                <w:sz w:val="21"/>
                <w:szCs w:val="21"/>
                <w:highlight w:val="none"/>
              </w:rPr>
              <w:t>（）</w:t>
            </w:r>
          </w:p>
          <w:p w14:paraId="2790D85C">
            <w:pPr>
              <w:pStyle w:val="69"/>
              <w:keepNext w:val="0"/>
              <w:keepLines w:val="0"/>
              <w:pageBreakBefore w:val="0"/>
              <w:widowControl w:val="0"/>
              <w:tabs>
                <w:tab w:val="left" w:pos="3092"/>
              </w:tabs>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生境□（）</w:t>
            </w:r>
          </w:p>
          <w:p w14:paraId="4F9AE52A">
            <w:pPr>
              <w:pStyle w:val="69"/>
              <w:keepNext w:val="0"/>
              <w:keepLines w:val="0"/>
              <w:pageBreakBefore w:val="0"/>
              <w:widowControl w:val="0"/>
              <w:tabs>
                <w:tab w:val="left" w:pos="3092"/>
              </w:tabs>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生物群落□（）</w:t>
            </w:r>
          </w:p>
          <w:p w14:paraId="2137EA70">
            <w:pPr>
              <w:pStyle w:val="69"/>
              <w:keepNext w:val="0"/>
              <w:keepLines w:val="0"/>
              <w:pageBreakBefore w:val="0"/>
              <w:widowControl w:val="0"/>
              <w:tabs>
                <w:tab w:val="left" w:pos="3092"/>
              </w:tabs>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生态系统□（）</w:t>
            </w:r>
          </w:p>
          <w:p w14:paraId="7519189C">
            <w:pPr>
              <w:pStyle w:val="69"/>
              <w:keepNext w:val="0"/>
              <w:keepLines w:val="0"/>
              <w:pageBreakBefore w:val="0"/>
              <w:widowControl w:val="0"/>
              <w:tabs>
                <w:tab w:val="left" w:pos="3092"/>
              </w:tabs>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生物多样性□（）</w:t>
            </w:r>
          </w:p>
          <w:p w14:paraId="2B5271FC">
            <w:pPr>
              <w:pStyle w:val="69"/>
              <w:keepNext w:val="0"/>
              <w:keepLines w:val="0"/>
              <w:pageBreakBefore w:val="0"/>
              <w:widowControl w:val="0"/>
              <w:tabs>
                <w:tab w:val="left" w:pos="3092"/>
              </w:tabs>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生态敏感区□（）</w:t>
            </w:r>
          </w:p>
          <w:p w14:paraId="7F0E075D">
            <w:pPr>
              <w:pStyle w:val="69"/>
              <w:keepNext w:val="0"/>
              <w:keepLines w:val="0"/>
              <w:pageBreakBefore w:val="0"/>
              <w:widowControl w:val="0"/>
              <w:tabs>
                <w:tab w:val="left" w:pos="3092"/>
              </w:tabs>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自然景观□（）</w:t>
            </w:r>
          </w:p>
          <w:p w14:paraId="117B78AC">
            <w:pPr>
              <w:pStyle w:val="69"/>
              <w:keepNext w:val="0"/>
              <w:keepLines w:val="0"/>
              <w:pageBreakBefore w:val="0"/>
              <w:widowControl w:val="0"/>
              <w:tabs>
                <w:tab w:val="left" w:pos="3092"/>
              </w:tabs>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自然遗迹□（）</w:t>
            </w:r>
          </w:p>
          <w:p w14:paraId="14E01F03">
            <w:pPr>
              <w:pStyle w:val="69"/>
              <w:keepNext w:val="0"/>
              <w:keepLines w:val="0"/>
              <w:pageBreakBefore w:val="0"/>
              <w:widowControl w:val="0"/>
              <w:tabs>
                <w:tab w:val="left" w:pos="3092"/>
              </w:tabs>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w:t>
            </w:r>
            <w:r>
              <w:rPr>
                <w:rFonts w:hint="eastAsia" w:ascii="Times New Roman" w:hAnsi="Times New Roman" w:cs="Times New Roman"/>
                <w:color w:val="auto"/>
                <w:sz w:val="21"/>
                <w:szCs w:val="21"/>
                <w:highlight w:val="none"/>
                <w:lang w:eastAsia="zh-CN"/>
              </w:rPr>
              <w:sym w:font="Wingdings" w:char="00A8"/>
            </w:r>
            <w:r>
              <w:rPr>
                <w:rFonts w:hint="default" w:ascii="Times New Roman" w:hAnsi="Times New Roman" w:cs="Times New Roman"/>
                <w:color w:val="auto"/>
                <w:sz w:val="21"/>
                <w:szCs w:val="21"/>
                <w:highlight w:val="none"/>
              </w:rPr>
              <w:t>（）</w:t>
            </w:r>
          </w:p>
        </w:tc>
      </w:tr>
      <w:tr w14:paraId="7255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2281" w:type="dxa"/>
            <w:gridSpan w:val="2"/>
            <w:noWrap w:val="0"/>
            <w:vAlign w:val="center"/>
          </w:tcPr>
          <w:p w14:paraId="0652E1C9">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w:t>
            </w:r>
          </w:p>
        </w:tc>
        <w:tc>
          <w:tcPr>
            <w:tcW w:w="3498" w:type="dxa"/>
            <w:noWrap w:val="0"/>
            <w:vAlign w:val="center"/>
          </w:tcPr>
          <w:p w14:paraId="793A4300">
            <w:pPr>
              <w:pStyle w:val="69"/>
              <w:keepNext w:val="0"/>
              <w:keepLines w:val="0"/>
              <w:pageBreakBefore w:val="0"/>
              <w:widowControl w:val="0"/>
              <w:tabs>
                <w:tab w:val="left" w:pos="1471"/>
                <w:tab w:val="left" w:pos="2823"/>
              </w:tabs>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一级□</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二级□</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三级</w:t>
            </w:r>
            <w:r>
              <w:rPr>
                <w:rFonts w:hint="default" w:ascii="Times New Roman" w:hAnsi="Times New Roman" w:cs="Times New Roman"/>
                <w:color w:val="auto"/>
                <w:sz w:val="21"/>
                <w:szCs w:val="21"/>
                <w:highlight w:val="none"/>
                <w:lang w:eastAsia="zh-CN"/>
              </w:rPr>
              <w:t>☑</w:t>
            </w:r>
          </w:p>
        </w:tc>
        <w:tc>
          <w:tcPr>
            <w:tcW w:w="637" w:type="dxa"/>
            <w:noWrap w:val="0"/>
            <w:vAlign w:val="center"/>
          </w:tcPr>
          <w:p w14:paraId="36BD8404">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c>
          <w:tcPr>
            <w:tcW w:w="2277" w:type="dxa"/>
            <w:noWrap w:val="0"/>
            <w:vAlign w:val="center"/>
          </w:tcPr>
          <w:p w14:paraId="075D2198">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生态影响简单分析□</w:t>
            </w:r>
          </w:p>
        </w:tc>
      </w:tr>
      <w:tr w14:paraId="6C23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2281" w:type="dxa"/>
            <w:gridSpan w:val="2"/>
            <w:noWrap w:val="0"/>
            <w:vAlign w:val="center"/>
          </w:tcPr>
          <w:p w14:paraId="7547F518">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评价范围</w:t>
            </w:r>
          </w:p>
        </w:tc>
        <w:tc>
          <w:tcPr>
            <w:tcW w:w="3498" w:type="dxa"/>
            <w:noWrap w:val="0"/>
            <w:vAlign w:val="center"/>
          </w:tcPr>
          <w:p w14:paraId="1E2A3495">
            <w:pPr>
              <w:pStyle w:val="69"/>
              <w:keepNext w:val="0"/>
              <w:keepLines w:val="0"/>
              <w:pageBreakBefore w:val="0"/>
              <w:widowControl w:val="0"/>
              <w:tabs>
                <w:tab w:val="left" w:pos="1560"/>
              </w:tabs>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陆域面积</w:t>
            </w:r>
            <w:r>
              <w:rPr>
                <w:rFonts w:hint="default" w:ascii="Times New Roman" w:hAnsi="Times New Roman" w:cs="Times New Roman"/>
                <w:color w:val="auto"/>
                <w:spacing w:val="-92"/>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val="en-US" w:eastAsia="zh-CN"/>
              </w:rPr>
              <w:t>10.3727</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pacing w:val="-2"/>
                <w:sz w:val="21"/>
                <w:szCs w:val="21"/>
                <w:highlight w:val="none"/>
              </w:rPr>
              <w:t>k</w:t>
            </w:r>
            <w:r>
              <w:rPr>
                <w:rFonts w:hint="default" w:ascii="Times New Roman" w:hAnsi="Times New Roman" w:eastAsia="Times New Roman" w:cs="Times New Roman"/>
                <w:color w:val="auto"/>
                <w:spacing w:val="-4"/>
                <w:sz w:val="21"/>
                <w:szCs w:val="21"/>
                <w:highlight w:val="none"/>
              </w:rPr>
              <w:t>m</w:t>
            </w:r>
            <w:r>
              <w:rPr>
                <w:rFonts w:hint="default" w:ascii="Times New Roman" w:hAnsi="Times New Roman" w:eastAsia="Times New Roman" w:cs="Times New Roman"/>
                <w:color w:val="auto"/>
                <w:w w:val="97"/>
                <w:sz w:val="21"/>
                <w:szCs w:val="21"/>
                <w:highlight w:val="none"/>
                <w:vertAlign w:val="superscript"/>
              </w:rPr>
              <w:t>2</w:t>
            </w:r>
            <w:r>
              <w:rPr>
                <w:rFonts w:hint="default" w:ascii="Times New Roman" w:hAnsi="Times New Roman" w:cs="Times New Roman"/>
                <w:color w:val="auto"/>
                <w:sz w:val="21"/>
                <w:szCs w:val="21"/>
                <w:highlight w:val="none"/>
                <w:vertAlign w:val="baseline"/>
              </w:rPr>
              <w:t>；水</w:t>
            </w:r>
            <w:r>
              <w:rPr>
                <w:rFonts w:hint="default" w:ascii="Times New Roman" w:hAnsi="Times New Roman" w:cs="Times New Roman"/>
                <w:color w:val="auto"/>
                <w:spacing w:val="2"/>
                <w:sz w:val="21"/>
                <w:szCs w:val="21"/>
                <w:highlight w:val="none"/>
                <w:vertAlign w:val="baseline"/>
              </w:rPr>
              <w:t>域</w:t>
            </w:r>
            <w:r>
              <w:rPr>
                <w:rFonts w:hint="default" w:ascii="Times New Roman" w:hAnsi="Times New Roman" w:cs="Times New Roman"/>
                <w:color w:val="auto"/>
                <w:sz w:val="21"/>
                <w:szCs w:val="21"/>
                <w:highlight w:val="none"/>
                <w:vertAlign w:val="baseline"/>
              </w:rPr>
              <w:t>面积</w:t>
            </w:r>
            <w:r>
              <w:rPr>
                <w:rFonts w:hint="default" w:ascii="Times New Roman" w:hAnsi="Times New Roman" w:cs="Times New Roman"/>
                <w:color w:val="auto"/>
                <w:spacing w:val="-92"/>
                <w:sz w:val="21"/>
                <w:szCs w:val="21"/>
                <w:highlight w:val="none"/>
                <w:vertAlign w:val="baseline"/>
              </w:rPr>
              <w:t>：</w:t>
            </w:r>
          </w:p>
        </w:tc>
        <w:tc>
          <w:tcPr>
            <w:tcW w:w="637" w:type="dxa"/>
            <w:noWrap w:val="0"/>
            <w:vAlign w:val="center"/>
          </w:tcPr>
          <w:p w14:paraId="0A41A007">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km</w:t>
            </w:r>
            <w:r>
              <w:rPr>
                <w:rFonts w:hint="default" w:ascii="Times New Roman" w:hAnsi="Times New Roman" w:eastAsia="Times New Roman" w:cs="Times New Roman"/>
                <w:color w:val="auto"/>
                <w:sz w:val="21"/>
                <w:szCs w:val="21"/>
                <w:highlight w:val="none"/>
                <w:vertAlign w:val="superscript"/>
              </w:rPr>
              <w:t>2</w:t>
            </w:r>
          </w:p>
        </w:tc>
        <w:tc>
          <w:tcPr>
            <w:tcW w:w="2277" w:type="dxa"/>
            <w:noWrap w:val="0"/>
            <w:vAlign w:val="center"/>
          </w:tcPr>
          <w:p w14:paraId="0109E774">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r>
      <w:tr w14:paraId="7E67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872" w:type="dxa"/>
            <w:vMerge w:val="restart"/>
            <w:noWrap w:val="0"/>
            <w:vAlign w:val="center"/>
          </w:tcPr>
          <w:p w14:paraId="0AAAF4F7">
            <w:pPr>
              <w:pStyle w:val="69"/>
              <w:keepNext w:val="0"/>
              <w:keepLines w:val="0"/>
              <w:pageBreakBefore w:val="0"/>
              <w:widowControl w:val="0"/>
              <w:kinsoku/>
              <w:wordWrap/>
              <w:overflowPunct/>
              <w:topLinePunct w:val="0"/>
              <w:autoSpaceDE w:val="0"/>
              <w:autoSpaceDN w:val="0"/>
              <w:bidi w:val="0"/>
              <w:adjustRightInd/>
              <w:snapToGrid/>
              <w:spacing w:line="259"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生态现状</w:t>
            </w:r>
            <w:r>
              <w:rPr>
                <w:rFonts w:hint="default" w:ascii="Times New Roman" w:hAnsi="Times New Roman" w:cs="Times New Roman"/>
                <w:color w:val="auto"/>
                <w:sz w:val="21"/>
                <w:szCs w:val="21"/>
                <w:highlight w:val="none"/>
              </w:rPr>
              <w:t>调查与评价</w:t>
            </w:r>
          </w:p>
        </w:tc>
        <w:tc>
          <w:tcPr>
            <w:tcW w:w="1409" w:type="dxa"/>
            <w:noWrap w:val="0"/>
            <w:vAlign w:val="center"/>
          </w:tcPr>
          <w:p w14:paraId="7C57589B">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调查方法</w:t>
            </w:r>
          </w:p>
        </w:tc>
        <w:tc>
          <w:tcPr>
            <w:tcW w:w="6412" w:type="dxa"/>
            <w:gridSpan w:val="3"/>
            <w:noWrap w:val="0"/>
            <w:vAlign w:val="center"/>
          </w:tcPr>
          <w:p w14:paraId="6DEB6E34">
            <w:pPr>
              <w:pStyle w:val="69"/>
              <w:keepNext w:val="0"/>
              <w:keepLines w:val="0"/>
              <w:pageBreakBefore w:val="0"/>
              <w:widowControl w:val="0"/>
              <w:kinsoku/>
              <w:wordWrap/>
              <w:overflowPunct/>
              <w:topLinePunct w:val="0"/>
              <w:autoSpaceDE w:val="0"/>
              <w:autoSpaceDN w:val="0"/>
              <w:bidi w:val="0"/>
              <w:adjustRightInd/>
              <w:snapToGrid/>
              <w:spacing w:line="242"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资料收集</w:t>
            </w:r>
            <w:r>
              <w:rPr>
                <w:rFonts w:hint="eastAsia" w:ascii="Times New Roman" w:hAnsi="Times New Roman" w:cs="Times New Roman"/>
                <w:color w:val="auto"/>
                <w:sz w:val="21"/>
                <w:szCs w:val="21"/>
                <w:highlight w:val="none"/>
                <w:lang w:eastAsia="zh-CN"/>
              </w:rPr>
              <w:sym w:font="Wingdings" w:char="00A8"/>
            </w:r>
            <w:r>
              <w:rPr>
                <w:rFonts w:hint="default" w:ascii="Times New Roman" w:hAnsi="Times New Roman" w:cs="Times New Roman"/>
                <w:color w:val="auto"/>
                <w:sz w:val="21"/>
                <w:szCs w:val="21"/>
                <w:highlight w:val="none"/>
              </w:rPr>
              <w:t>；遥感调查□；调查样方、样线□；调查点位、断面□；专家和公众咨询法□；其他□</w:t>
            </w:r>
          </w:p>
        </w:tc>
      </w:tr>
      <w:tr w14:paraId="199D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872" w:type="dxa"/>
            <w:vMerge w:val="continue"/>
            <w:noWrap w:val="0"/>
            <w:vAlign w:val="center"/>
          </w:tcPr>
          <w:p w14:paraId="344D82E2">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c>
          <w:tcPr>
            <w:tcW w:w="1409" w:type="dxa"/>
            <w:noWrap w:val="0"/>
            <w:vAlign w:val="center"/>
          </w:tcPr>
          <w:p w14:paraId="708D9AED">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调查时间</w:t>
            </w:r>
          </w:p>
        </w:tc>
        <w:tc>
          <w:tcPr>
            <w:tcW w:w="6412" w:type="dxa"/>
            <w:gridSpan w:val="3"/>
            <w:noWrap w:val="0"/>
            <w:vAlign w:val="center"/>
          </w:tcPr>
          <w:p w14:paraId="45D1DF20">
            <w:pPr>
              <w:pStyle w:val="69"/>
              <w:keepNext w:val="0"/>
              <w:keepLines w:val="0"/>
              <w:pageBreakBefore w:val="0"/>
              <w:widowControl w:val="0"/>
              <w:kinsoku/>
              <w:wordWrap/>
              <w:overflowPunct/>
              <w:topLinePunct w:val="0"/>
              <w:autoSpaceDE w:val="0"/>
              <w:autoSpaceDN w:val="0"/>
              <w:bidi w:val="0"/>
              <w:adjustRightInd/>
              <w:snapToGrid/>
              <w:spacing w:line="264"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春季□；夏季</w:t>
            </w:r>
            <w:r>
              <w:rPr>
                <w:rFonts w:hint="eastAsia" w:ascii="Times New Roman" w:hAnsi="Times New Roman" w:cs="Times New Roman"/>
                <w:color w:val="auto"/>
                <w:sz w:val="21"/>
                <w:szCs w:val="21"/>
                <w:highlight w:val="none"/>
                <w:lang w:eastAsia="zh-CN"/>
              </w:rPr>
              <w:sym w:font="Wingdings" w:char="00A8"/>
            </w:r>
            <w:r>
              <w:rPr>
                <w:rFonts w:hint="default" w:ascii="Times New Roman" w:hAnsi="Times New Roman" w:cs="Times New Roman"/>
                <w:color w:val="auto"/>
                <w:sz w:val="21"/>
                <w:szCs w:val="21"/>
                <w:highlight w:val="none"/>
              </w:rPr>
              <w:t>秋季□；冬季□丰水期□；枯水期□；平水期□</w:t>
            </w:r>
          </w:p>
        </w:tc>
      </w:tr>
      <w:tr w14:paraId="494E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872" w:type="dxa"/>
            <w:vMerge w:val="continue"/>
            <w:noWrap w:val="0"/>
            <w:vAlign w:val="center"/>
          </w:tcPr>
          <w:p w14:paraId="048BFF87">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c>
          <w:tcPr>
            <w:tcW w:w="1409" w:type="dxa"/>
            <w:noWrap w:val="0"/>
            <w:vAlign w:val="center"/>
          </w:tcPr>
          <w:p w14:paraId="0F2EBD88">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所在区域的</w:t>
            </w:r>
          </w:p>
          <w:p w14:paraId="7CE48EEC">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生态问题</w:t>
            </w:r>
          </w:p>
        </w:tc>
        <w:tc>
          <w:tcPr>
            <w:tcW w:w="6412" w:type="dxa"/>
            <w:gridSpan w:val="3"/>
            <w:noWrap w:val="0"/>
            <w:vAlign w:val="center"/>
          </w:tcPr>
          <w:p w14:paraId="7C4F7E19">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水土流失</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；沙漠化</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；石漠化</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；盐渍化□；生物入侵□；污染危害□；其他□</w:t>
            </w:r>
          </w:p>
        </w:tc>
      </w:tr>
      <w:tr w14:paraId="37FC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872" w:type="dxa"/>
            <w:vMerge w:val="continue"/>
            <w:noWrap w:val="0"/>
            <w:vAlign w:val="center"/>
          </w:tcPr>
          <w:p w14:paraId="131732E4">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c>
          <w:tcPr>
            <w:tcW w:w="1409" w:type="dxa"/>
            <w:noWrap w:val="0"/>
            <w:vAlign w:val="center"/>
          </w:tcPr>
          <w:p w14:paraId="1692602E">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评价内容</w:t>
            </w:r>
          </w:p>
        </w:tc>
        <w:tc>
          <w:tcPr>
            <w:tcW w:w="6412" w:type="dxa"/>
            <w:gridSpan w:val="3"/>
            <w:noWrap w:val="0"/>
            <w:vAlign w:val="center"/>
          </w:tcPr>
          <w:p w14:paraId="6A8F1597">
            <w:pPr>
              <w:pStyle w:val="69"/>
              <w:keepNext w:val="0"/>
              <w:keepLines w:val="0"/>
              <w:pageBreakBefore w:val="0"/>
              <w:widowControl w:val="0"/>
              <w:kinsoku/>
              <w:wordWrap/>
              <w:overflowPunct/>
              <w:topLinePunct w:val="0"/>
              <w:autoSpaceDE w:val="0"/>
              <w:autoSpaceDN w:val="0"/>
              <w:bidi w:val="0"/>
              <w:adjustRightInd/>
              <w:snapToGrid/>
              <w:spacing w:line="242"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植被</w:t>
            </w:r>
            <w:r>
              <w:rPr>
                <w:rFonts w:hint="default" w:ascii="Times New Roman" w:hAnsi="Times New Roman" w:eastAsia="Times New Roman" w:cs="Times New Roman"/>
                <w:color w:val="auto"/>
                <w:sz w:val="21"/>
                <w:szCs w:val="21"/>
                <w:highlight w:val="none"/>
              </w:rPr>
              <w:t>/</w:t>
            </w:r>
            <w:r>
              <w:rPr>
                <w:rFonts w:hint="default" w:ascii="Times New Roman" w:hAnsi="Times New Roman" w:cs="Times New Roman"/>
                <w:color w:val="auto"/>
                <w:sz w:val="21"/>
                <w:szCs w:val="21"/>
                <w:highlight w:val="none"/>
              </w:rPr>
              <w:t>植物群落□；土地利用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；生态系统□；生物多样性□；重要物种□；生态敏感区□；其他□</w:t>
            </w:r>
          </w:p>
        </w:tc>
      </w:tr>
      <w:tr w14:paraId="7B4A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872" w:type="dxa"/>
            <w:vMerge w:val="restart"/>
            <w:noWrap w:val="0"/>
            <w:vAlign w:val="center"/>
          </w:tcPr>
          <w:p w14:paraId="0C531554">
            <w:pPr>
              <w:pStyle w:val="69"/>
              <w:keepNext w:val="0"/>
              <w:keepLines w:val="0"/>
              <w:pageBreakBefore w:val="0"/>
              <w:widowControl w:val="0"/>
              <w:kinsoku/>
              <w:wordWrap/>
              <w:overflowPunct/>
              <w:topLinePunct w:val="0"/>
              <w:autoSpaceDE w:val="0"/>
              <w:autoSpaceDN w:val="0"/>
              <w:bidi w:val="0"/>
              <w:adjustRightInd/>
              <w:snapToGrid/>
              <w:spacing w:line="259"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生态影响</w:t>
            </w:r>
            <w:r>
              <w:rPr>
                <w:rFonts w:hint="default" w:ascii="Times New Roman" w:hAnsi="Times New Roman" w:cs="Times New Roman"/>
                <w:color w:val="auto"/>
                <w:sz w:val="21"/>
                <w:szCs w:val="21"/>
                <w:highlight w:val="none"/>
              </w:rPr>
              <w:t>预测与评价</w:t>
            </w:r>
          </w:p>
        </w:tc>
        <w:tc>
          <w:tcPr>
            <w:tcW w:w="1409" w:type="dxa"/>
            <w:noWrap w:val="0"/>
            <w:vAlign w:val="center"/>
          </w:tcPr>
          <w:p w14:paraId="38ABF3E2">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评价方法</w:t>
            </w:r>
          </w:p>
        </w:tc>
        <w:tc>
          <w:tcPr>
            <w:tcW w:w="6412" w:type="dxa"/>
            <w:gridSpan w:val="3"/>
            <w:noWrap w:val="0"/>
            <w:vAlign w:val="center"/>
          </w:tcPr>
          <w:p w14:paraId="07CA02A8">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定性</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；定性和定量□</w:t>
            </w:r>
          </w:p>
        </w:tc>
      </w:tr>
      <w:tr w14:paraId="36E4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872" w:type="dxa"/>
            <w:vMerge w:val="continue"/>
            <w:noWrap w:val="0"/>
            <w:vAlign w:val="center"/>
          </w:tcPr>
          <w:p w14:paraId="78650148">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c>
          <w:tcPr>
            <w:tcW w:w="1409" w:type="dxa"/>
            <w:noWrap w:val="0"/>
            <w:vAlign w:val="center"/>
          </w:tcPr>
          <w:p w14:paraId="678AFE9A">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评价内容</w:t>
            </w:r>
          </w:p>
        </w:tc>
        <w:tc>
          <w:tcPr>
            <w:tcW w:w="6412" w:type="dxa"/>
            <w:gridSpan w:val="3"/>
            <w:noWrap w:val="0"/>
            <w:vAlign w:val="center"/>
          </w:tcPr>
          <w:p w14:paraId="2DC7FC99">
            <w:pPr>
              <w:pStyle w:val="69"/>
              <w:keepNext w:val="0"/>
              <w:keepLines w:val="0"/>
              <w:pageBreakBefore w:val="0"/>
              <w:widowControl w:val="0"/>
              <w:kinsoku/>
              <w:wordWrap/>
              <w:overflowPunct/>
              <w:topLinePunct w:val="0"/>
              <w:autoSpaceDE w:val="0"/>
              <w:autoSpaceDN w:val="0"/>
              <w:bidi w:val="0"/>
              <w:adjustRightInd/>
              <w:snapToGrid/>
              <w:spacing w:line="242"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植被</w:t>
            </w:r>
            <w:r>
              <w:rPr>
                <w:rFonts w:hint="default" w:ascii="Times New Roman" w:hAnsi="Times New Roman" w:eastAsia="Times New Roman" w:cs="Times New Roman"/>
                <w:color w:val="auto"/>
                <w:sz w:val="21"/>
                <w:szCs w:val="21"/>
                <w:highlight w:val="none"/>
              </w:rPr>
              <w:t>/</w:t>
            </w:r>
            <w:r>
              <w:rPr>
                <w:rFonts w:hint="default" w:ascii="Times New Roman" w:hAnsi="Times New Roman" w:cs="Times New Roman"/>
                <w:color w:val="auto"/>
                <w:sz w:val="21"/>
                <w:szCs w:val="21"/>
                <w:highlight w:val="none"/>
              </w:rPr>
              <w:t>植物群落□；土地利用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；生态系统□；生物多样性□；重要物种□；生态敏感区□；生物入侵风险□；其他□</w:t>
            </w:r>
          </w:p>
        </w:tc>
      </w:tr>
      <w:tr w14:paraId="24BE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 w:hRule="atLeast"/>
        </w:trPr>
        <w:tc>
          <w:tcPr>
            <w:tcW w:w="872" w:type="dxa"/>
            <w:vMerge w:val="restart"/>
            <w:noWrap w:val="0"/>
            <w:vAlign w:val="center"/>
          </w:tcPr>
          <w:p w14:paraId="7343065E">
            <w:pPr>
              <w:pStyle w:val="69"/>
              <w:keepNext w:val="0"/>
              <w:keepLines w:val="0"/>
              <w:pageBreakBefore w:val="0"/>
              <w:widowControl w:val="0"/>
              <w:kinsoku/>
              <w:wordWrap/>
              <w:overflowPunct/>
              <w:topLinePunct w:val="0"/>
              <w:autoSpaceDE w:val="0"/>
              <w:autoSpaceDN w:val="0"/>
              <w:bidi w:val="0"/>
              <w:adjustRightInd/>
              <w:snapToGrid/>
              <w:spacing w:line="242"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生态保护对策措施</w:t>
            </w:r>
          </w:p>
        </w:tc>
        <w:tc>
          <w:tcPr>
            <w:tcW w:w="1409" w:type="dxa"/>
            <w:noWrap w:val="0"/>
            <w:vAlign w:val="center"/>
          </w:tcPr>
          <w:p w14:paraId="75275A1F">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对策措施</w:t>
            </w:r>
          </w:p>
        </w:tc>
        <w:tc>
          <w:tcPr>
            <w:tcW w:w="6412" w:type="dxa"/>
            <w:gridSpan w:val="3"/>
            <w:noWrap w:val="0"/>
            <w:vAlign w:val="center"/>
          </w:tcPr>
          <w:p w14:paraId="63B9328B">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避让□；减缓□；生态修复</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；生态补偿□；科研□；其他</w:t>
            </w:r>
            <w:r>
              <w:rPr>
                <w:rFonts w:hint="default" w:ascii="Times New Roman" w:hAnsi="Times New Roman" w:cs="Times New Roman"/>
                <w:color w:val="auto"/>
                <w:sz w:val="21"/>
                <w:szCs w:val="21"/>
                <w:highlight w:val="none"/>
                <w:lang w:eastAsia="zh-CN"/>
              </w:rPr>
              <w:t>☑</w:t>
            </w:r>
          </w:p>
        </w:tc>
      </w:tr>
      <w:tr w14:paraId="72DF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872" w:type="dxa"/>
            <w:vMerge w:val="continue"/>
            <w:noWrap w:val="0"/>
            <w:vAlign w:val="center"/>
          </w:tcPr>
          <w:p w14:paraId="43CA7992">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c>
          <w:tcPr>
            <w:tcW w:w="1409" w:type="dxa"/>
            <w:noWrap w:val="0"/>
            <w:vAlign w:val="center"/>
          </w:tcPr>
          <w:p w14:paraId="2F6C2337">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生态监测计划</w:t>
            </w:r>
          </w:p>
        </w:tc>
        <w:tc>
          <w:tcPr>
            <w:tcW w:w="6412" w:type="dxa"/>
            <w:gridSpan w:val="3"/>
            <w:noWrap w:val="0"/>
            <w:vAlign w:val="center"/>
          </w:tcPr>
          <w:p w14:paraId="13832DAD">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全生命周期□；长期跟踪</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；常规</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；无</w:t>
            </w:r>
            <w:r>
              <w:rPr>
                <w:rFonts w:hint="default" w:ascii="Times New Roman" w:hAnsi="Times New Roman" w:cs="Times New Roman"/>
                <w:color w:val="auto"/>
                <w:sz w:val="21"/>
                <w:szCs w:val="21"/>
                <w:highlight w:val="none"/>
                <w:lang w:eastAsia="zh-CN"/>
              </w:rPr>
              <w:t>☑</w:t>
            </w:r>
          </w:p>
        </w:tc>
      </w:tr>
      <w:tr w14:paraId="6E8E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872" w:type="dxa"/>
            <w:vMerge w:val="continue"/>
            <w:noWrap w:val="0"/>
            <w:vAlign w:val="center"/>
          </w:tcPr>
          <w:p w14:paraId="556059E9">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p>
        </w:tc>
        <w:tc>
          <w:tcPr>
            <w:tcW w:w="1409" w:type="dxa"/>
            <w:noWrap w:val="0"/>
            <w:vAlign w:val="center"/>
          </w:tcPr>
          <w:p w14:paraId="3EB2CC53">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环境管理</w:t>
            </w:r>
          </w:p>
        </w:tc>
        <w:tc>
          <w:tcPr>
            <w:tcW w:w="6412" w:type="dxa"/>
            <w:gridSpan w:val="3"/>
            <w:noWrap w:val="0"/>
            <w:vAlign w:val="center"/>
          </w:tcPr>
          <w:p w14:paraId="0CAAB5CC">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环境监理□；环境影响后评价□；其他</w:t>
            </w:r>
            <w:r>
              <w:rPr>
                <w:rFonts w:hint="default" w:ascii="Times New Roman" w:hAnsi="Times New Roman" w:cs="Times New Roman"/>
                <w:color w:val="auto"/>
                <w:sz w:val="21"/>
                <w:szCs w:val="21"/>
                <w:highlight w:val="none"/>
                <w:lang w:eastAsia="zh-CN"/>
              </w:rPr>
              <w:t>□</w:t>
            </w:r>
          </w:p>
        </w:tc>
      </w:tr>
      <w:tr w14:paraId="0A50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872" w:type="dxa"/>
            <w:noWrap w:val="0"/>
            <w:vAlign w:val="center"/>
          </w:tcPr>
          <w:p w14:paraId="263BD64C">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1409" w:type="dxa"/>
            <w:noWrap w:val="0"/>
            <w:vAlign w:val="center"/>
          </w:tcPr>
          <w:p w14:paraId="60E9F051">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生态影响</w:t>
            </w:r>
          </w:p>
        </w:tc>
        <w:tc>
          <w:tcPr>
            <w:tcW w:w="6412" w:type="dxa"/>
            <w:gridSpan w:val="3"/>
            <w:noWrap w:val="0"/>
            <w:vAlign w:val="center"/>
          </w:tcPr>
          <w:p w14:paraId="62DE3C8F">
            <w:pPr>
              <w:pStyle w:val="69"/>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可行</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；不可行□</w:t>
            </w:r>
          </w:p>
        </w:tc>
      </w:tr>
      <w:tr w14:paraId="5A68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8693" w:type="dxa"/>
            <w:gridSpan w:val="5"/>
            <w:noWrap w:val="0"/>
            <w:vAlign w:val="center"/>
          </w:tcPr>
          <w:p w14:paraId="6EA29DA4">
            <w:pPr>
              <w:pStyle w:val="69"/>
              <w:keepNext w:val="0"/>
              <w:keepLines w:val="0"/>
              <w:pageBreakBefore w:val="0"/>
              <w:widowControl w:val="0"/>
              <w:tabs>
                <w:tab w:val="left" w:pos="3259"/>
              </w:tabs>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注：“□”为勾选项，可√</w:t>
            </w:r>
            <w:r>
              <w:rPr>
                <w:rFonts w:hint="default" w:ascii="Times New Roman" w:hAnsi="Times New Roman" w:cs="Times New Roman"/>
                <w:color w:val="auto"/>
                <w:spacing w:val="-92"/>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pacing w:val="-92"/>
                <w:sz w:val="21"/>
                <w:szCs w:val="21"/>
                <w:highlight w:val="none"/>
              </w:rPr>
              <w:t>）</w:t>
            </w:r>
            <w:r>
              <w:rPr>
                <w:rFonts w:hint="default" w:ascii="Times New Roman" w:hAnsi="Times New Roman" w:cs="Times New Roman"/>
                <w:color w:val="auto"/>
                <w:sz w:val="21"/>
                <w:szCs w:val="21"/>
                <w:highlight w:val="none"/>
              </w:rPr>
              <w:t>”为内容填写项。</w:t>
            </w:r>
          </w:p>
        </w:tc>
      </w:tr>
    </w:tbl>
    <w:p w14:paraId="51BFACA7">
      <w:pPr>
        <w:pStyle w:val="3"/>
        <w:bidi w:val="0"/>
        <w:rPr>
          <w:rFonts w:hint="default" w:ascii="Times New Roman" w:hAnsi="Times New Roman" w:cs="Times New Roman"/>
          <w:lang w:val="en-US"/>
        </w:rPr>
      </w:pPr>
      <w:r>
        <w:rPr>
          <w:rFonts w:hint="default" w:ascii="Times New Roman" w:hAnsi="Times New Roman" w:cs="Times New Roman"/>
          <w:lang w:val="en-US"/>
        </w:rPr>
        <w:t>环境风险分析</w:t>
      </w:r>
      <w:bookmarkEnd w:id="122"/>
      <w:bookmarkEnd w:id="123"/>
    </w:p>
    <w:p w14:paraId="17C581CF">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环境风险分析的目的是在识别项目事故风险因素的基础上，分析生产过程中潜在、突发事故危害程度，提出事故防范措施，将环境风险影响降到可接受水平。</w:t>
      </w:r>
    </w:p>
    <w:p w14:paraId="58B1462E">
      <w:pPr>
        <w:pStyle w:val="4"/>
        <w:bidi w:val="0"/>
        <w:rPr>
          <w:rFonts w:hint="default" w:ascii="Times New Roman" w:hAnsi="Times New Roman" w:cs="Times New Roman"/>
        </w:rPr>
      </w:pPr>
      <w:r>
        <w:rPr>
          <w:rFonts w:hint="default" w:ascii="Times New Roman" w:hAnsi="Times New Roman" w:cs="Times New Roman"/>
        </w:rPr>
        <w:t>风险调查</w:t>
      </w:r>
    </w:p>
    <w:p w14:paraId="2B9C813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根据</w:t>
      </w:r>
      <w:r>
        <w:rPr>
          <w:rFonts w:hint="default" w:ascii="Times New Roman" w:hAnsi="Times New Roman" w:cs="Times New Roman"/>
          <w:color w:val="auto"/>
        </w:rPr>
        <w:t>《建设项目环境风险评价技术导则》（HJ169-2018）附录B中重点关注的危险物质</w:t>
      </w:r>
      <w:r>
        <w:rPr>
          <w:rFonts w:hint="default" w:ascii="Times New Roman" w:hAnsi="Times New Roman" w:cs="Times New Roman"/>
          <w:color w:val="auto"/>
          <w:lang w:eastAsia="zh-CN"/>
        </w:rPr>
        <w:t>，因此本项目</w:t>
      </w:r>
      <w:r>
        <w:rPr>
          <w:rFonts w:hint="default" w:ascii="Times New Roman" w:hAnsi="Times New Roman" w:cs="Times New Roman"/>
          <w:color w:val="auto"/>
          <w:lang w:val="en-US" w:eastAsia="zh-CN"/>
        </w:rPr>
        <w:t>不</w:t>
      </w:r>
      <w:r>
        <w:rPr>
          <w:rFonts w:hint="default" w:ascii="Times New Roman" w:hAnsi="Times New Roman" w:cs="Times New Roman"/>
          <w:color w:val="auto"/>
          <w:lang w:eastAsia="zh-CN"/>
        </w:rPr>
        <w:t>涉及危险物。</w:t>
      </w:r>
      <w:r>
        <w:rPr>
          <w:rFonts w:hint="default" w:ascii="Times New Roman" w:hAnsi="Times New Roman" w:cs="Times New Roman"/>
          <w:color w:val="auto"/>
        </w:rPr>
        <w:t>参照同类项目，本项目可能的风险</w:t>
      </w:r>
      <w:r>
        <w:rPr>
          <w:rFonts w:hint="default" w:ascii="Times New Roman" w:hAnsi="Times New Roman" w:cs="Times New Roman"/>
          <w:color w:val="auto"/>
          <w:lang w:eastAsia="zh-CN"/>
        </w:rPr>
        <w:t>包括</w:t>
      </w:r>
      <w:r>
        <w:rPr>
          <w:rFonts w:hint="default" w:ascii="Times New Roman" w:hAnsi="Times New Roman" w:cs="Times New Roman"/>
          <w:color w:val="auto"/>
        </w:rPr>
        <w:t>疫情风险、</w:t>
      </w:r>
      <w:r>
        <w:rPr>
          <w:rFonts w:hint="default" w:ascii="Times New Roman" w:hAnsi="Times New Roman" w:cs="Times New Roman"/>
          <w:color w:val="auto"/>
          <w:lang w:eastAsia="zh-CN"/>
        </w:rPr>
        <w:t>病死鸡</w:t>
      </w:r>
      <w:r>
        <w:rPr>
          <w:rFonts w:hint="default" w:ascii="Times New Roman" w:hAnsi="Times New Roman" w:cs="Times New Roman"/>
          <w:color w:val="auto"/>
        </w:rPr>
        <w:t>风险、饲料仓储火灾风险、养殖废水泄漏等几个方面。</w:t>
      </w:r>
    </w:p>
    <w:p w14:paraId="0FB39AC6">
      <w:pPr>
        <w:pStyle w:val="4"/>
        <w:bidi w:val="0"/>
        <w:rPr>
          <w:rFonts w:hint="default" w:ascii="Times New Roman" w:hAnsi="Times New Roman" w:cs="Times New Roman"/>
        </w:rPr>
      </w:pPr>
      <w:r>
        <w:rPr>
          <w:rFonts w:hint="default" w:ascii="Times New Roman" w:hAnsi="Times New Roman" w:cs="Times New Roman"/>
        </w:rPr>
        <w:t>风险潜势初判</w:t>
      </w:r>
    </w:p>
    <w:p w14:paraId="5F4AD3EF">
      <w:pPr>
        <w:pStyle w:val="16"/>
        <w:bidi w:val="0"/>
        <w:rPr>
          <w:rFonts w:hint="default" w:ascii="Times New Roman" w:hAnsi="Times New Roman" w:cs="Times New Roman"/>
          <w:color w:val="auto"/>
        </w:rPr>
      </w:pPr>
      <w:r>
        <w:rPr>
          <w:rFonts w:hint="default" w:ascii="Times New Roman" w:hAnsi="Times New Roman" w:cs="Times New Roman"/>
          <w:color w:val="auto"/>
        </w:rPr>
        <w:t>（1）环境风险潜势划分</w:t>
      </w:r>
    </w:p>
    <w:p w14:paraId="357AE997">
      <w:pPr>
        <w:pStyle w:val="16"/>
        <w:bidi w:val="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w:t>
      </w:r>
      <w:r>
        <w:rPr>
          <w:rFonts w:hint="default" w:ascii="Times New Roman" w:hAnsi="Times New Roman" w:cs="Times New Roman"/>
          <w:color w:val="auto"/>
          <w:lang w:eastAsia="zh-CN"/>
        </w:rPr>
        <w:t>，</w:t>
      </w:r>
      <w:r>
        <w:rPr>
          <w:rFonts w:hint="default" w:ascii="Times New Roman" w:hAnsi="Times New Roman" w:cs="Times New Roman"/>
          <w:color w:val="auto"/>
        </w:rPr>
        <w:t>建设项目环境风险潜势划分为Ⅰ、Ⅱ、Ⅲ、Ⅳ/Ⅳ+级。</w:t>
      </w:r>
    </w:p>
    <w:p w14:paraId="217BCE8D">
      <w:pPr>
        <w:pStyle w:val="16"/>
        <w:bidi w:val="0"/>
        <w:rPr>
          <w:rFonts w:hint="default" w:ascii="Times New Roman" w:hAnsi="Times New Roman" w:cs="Times New Roman"/>
          <w:color w:val="auto"/>
        </w:rPr>
      </w:pPr>
      <w:r>
        <w:rPr>
          <w:rFonts w:hint="default" w:ascii="Times New Roman" w:hAnsi="Times New Roman" w:cs="Times New Roman"/>
          <w:color w:val="auto"/>
        </w:rPr>
        <w:t>根据建设项目涉及的物质和工艺系统的危险性及其所在地的环境敏感程度，结合事故</w:t>
      </w:r>
      <w:r>
        <w:rPr>
          <w:rFonts w:hint="default" w:ascii="Times New Roman" w:hAnsi="Times New Roman" w:cs="Times New Roman"/>
          <w:color w:val="auto"/>
          <w:lang w:eastAsia="zh-CN"/>
        </w:rPr>
        <w:t>情况</w:t>
      </w:r>
      <w:r>
        <w:rPr>
          <w:rFonts w:hint="default" w:ascii="Times New Roman" w:hAnsi="Times New Roman" w:cs="Times New Roman"/>
          <w:color w:val="auto"/>
        </w:rPr>
        <w:t>环境影响途径，对建设项目潜在环境危害程度进行概化分析，进而确定环境风险潜势，确定依据见表5.3-1。</w:t>
      </w:r>
    </w:p>
    <w:p w14:paraId="0CCDB555">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项目环境风险潜势划分依据一览表</w:t>
      </w:r>
    </w:p>
    <w:tbl>
      <w:tblPr>
        <w:tblStyle w:val="33"/>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12"/>
        <w:gridCol w:w="1544"/>
        <w:gridCol w:w="1545"/>
        <w:gridCol w:w="1545"/>
        <w:gridCol w:w="1687"/>
      </w:tblGrid>
      <w:tr w14:paraId="4BB6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207" w:type="pct"/>
            <w:vMerge w:val="restart"/>
            <w:noWrap w:val="0"/>
            <w:vAlign w:val="top"/>
          </w:tcPr>
          <w:p w14:paraId="5AD59F0C">
            <w:pPr>
              <w:pStyle w:val="69"/>
              <w:spacing w:before="178"/>
              <w:ind w:left="0" w:leftChars="0" w:right="-10" w:rightChars="0" w:firstLine="0" w:firstLineChars="0"/>
              <w:jc w:val="left"/>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环境敏感程度（</w:t>
            </w:r>
            <w:r>
              <w:rPr>
                <w:rFonts w:hint="default" w:ascii="Times New Roman" w:hAnsi="Times New Roman" w:eastAsia="Times New Roman" w:cs="Times New Roman"/>
                <w:b/>
                <w:bCs/>
                <w:color w:val="auto"/>
                <w:sz w:val="21"/>
                <w:highlight w:val="none"/>
              </w:rPr>
              <w:t>E</w:t>
            </w:r>
            <w:r>
              <w:rPr>
                <w:rFonts w:hint="default" w:ascii="Times New Roman" w:hAnsi="Times New Roman" w:cs="Times New Roman"/>
                <w:b/>
                <w:bCs/>
                <w:color w:val="auto"/>
                <w:sz w:val="21"/>
                <w:highlight w:val="none"/>
              </w:rPr>
              <w:t>）</w:t>
            </w:r>
          </w:p>
        </w:tc>
        <w:tc>
          <w:tcPr>
            <w:tcW w:w="3792" w:type="pct"/>
            <w:gridSpan w:val="4"/>
            <w:noWrap w:val="0"/>
            <w:vAlign w:val="top"/>
          </w:tcPr>
          <w:p w14:paraId="4367C58C">
            <w:pPr>
              <w:pStyle w:val="69"/>
              <w:spacing w:before="3" w:line="250" w:lineRule="exact"/>
              <w:ind w:left="0" w:leftChars="0" w:right="-10" w:rightChars="0" w:firstLine="0" w:firstLineChars="0"/>
              <w:jc w:val="left"/>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危险物质及工艺系统危险性（</w:t>
            </w:r>
            <w:r>
              <w:rPr>
                <w:rFonts w:hint="default" w:ascii="Times New Roman" w:hAnsi="Times New Roman" w:eastAsia="Times New Roman" w:cs="Times New Roman"/>
                <w:b/>
                <w:bCs/>
                <w:color w:val="auto"/>
                <w:sz w:val="21"/>
                <w:highlight w:val="none"/>
              </w:rPr>
              <w:t>P</w:t>
            </w:r>
            <w:r>
              <w:rPr>
                <w:rFonts w:hint="default" w:ascii="Times New Roman" w:hAnsi="Times New Roman" w:cs="Times New Roman"/>
                <w:b/>
                <w:bCs/>
                <w:color w:val="auto"/>
                <w:sz w:val="21"/>
                <w:highlight w:val="none"/>
              </w:rPr>
              <w:t>）</w:t>
            </w:r>
          </w:p>
        </w:tc>
      </w:tr>
      <w:tr w14:paraId="4132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7" w:type="pct"/>
            <w:vMerge w:val="continue"/>
            <w:noWrap w:val="0"/>
            <w:vAlign w:val="top"/>
          </w:tcPr>
          <w:p w14:paraId="1D9DF3EA">
            <w:pPr>
              <w:ind w:left="0" w:leftChars="0" w:right="-10" w:rightChars="0" w:firstLine="0" w:firstLineChars="0"/>
              <w:rPr>
                <w:rFonts w:hint="default" w:ascii="Times New Roman" w:hAnsi="Times New Roman" w:cs="Times New Roman"/>
                <w:b/>
                <w:bCs/>
                <w:color w:val="auto"/>
                <w:sz w:val="2"/>
                <w:szCs w:val="2"/>
                <w:highlight w:val="none"/>
              </w:rPr>
            </w:pPr>
          </w:p>
        </w:tc>
        <w:tc>
          <w:tcPr>
            <w:tcW w:w="926" w:type="pct"/>
            <w:noWrap w:val="0"/>
            <w:vAlign w:val="top"/>
          </w:tcPr>
          <w:p w14:paraId="24B839E5">
            <w:pPr>
              <w:pStyle w:val="69"/>
              <w:spacing w:before="34"/>
              <w:ind w:left="0" w:leftChars="0" w:right="-10" w:rightChars="0"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极高危害（</w:t>
            </w:r>
            <w:r>
              <w:rPr>
                <w:rFonts w:hint="default" w:ascii="Times New Roman" w:hAnsi="Times New Roman" w:eastAsia="Times New Roman" w:cs="Times New Roman"/>
                <w:b/>
                <w:bCs/>
                <w:color w:val="auto"/>
                <w:sz w:val="21"/>
                <w:highlight w:val="none"/>
              </w:rPr>
              <w:t>P1</w:t>
            </w:r>
            <w:r>
              <w:rPr>
                <w:rFonts w:hint="default" w:ascii="Times New Roman" w:hAnsi="Times New Roman" w:cs="Times New Roman"/>
                <w:b/>
                <w:bCs/>
                <w:color w:val="auto"/>
                <w:sz w:val="21"/>
                <w:highlight w:val="none"/>
              </w:rPr>
              <w:t>）</w:t>
            </w:r>
          </w:p>
        </w:tc>
        <w:tc>
          <w:tcPr>
            <w:tcW w:w="927" w:type="pct"/>
            <w:noWrap w:val="0"/>
            <w:vAlign w:val="top"/>
          </w:tcPr>
          <w:p w14:paraId="10933EB2">
            <w:pPr>
              <w:pStyle w:val="69"/>
              <w:spacing w:before="34"/>
              <w:ind w:left="0" w:leftChars="0" w:right="-10" w:rightChars="0"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高度危害（</w:t>
            </w:r>
            <w:r>
              <w:rPr>
                <w:rFonts w:hint="default" w:ascii="Times New Roman" w:hAnsi="Times New Roman" w:eastAsia="Times New Roman" w:cs="Times New Roman"/>
                <w:b/>
                <w:bCs/>
                <w:color w:val="auto"/>
                <w:sz w:val="21"/>
                <w:highlight w:val="none"/>
              </w:rPr>
              <w:t>P2</w:t>
            </w:r>
            <w:r>
              <w:rPr>
                <w:rFonts w:hint="default" w:ascii="Times New Roman" w:hAnsi="Times New Roman" w:cs="Times New Roman"/>
                <w:b/>
                <w:bCs/>
                <w:color w:val="auto"/>
                <w:sz w:val="21"/>
                <w:highlight w:val="none"/>
              </w:rPr>
              <w:t>）</w:t>
            </w:r>
          </w:p>
        </w:tc>
        <w:tc>
          <w:tcPr>
            <w:tcW w:w="927" w:type="pct"/>
            <w:noWrap w:val="0"/>
            <w:vAlign w:val="top"/>
          </w:tcPr>
          <w:p w14:paraId="35FFEB48">
            <w:pPr>
              <w:pStyle w:val="69"/>
              <w:spacing w:before="34"/>
              <w:ind w:left="0" w:leftChars="0" w:right="-10" w:rightChars="0"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中度危害（</w:t>
            </w:r>
            <w:r>
              <w:rPr>
                <w:rFonts w:hint="default" w:ascii="Times New Roman" w:hAnsi="Times New Roman" w:eastAsia="Times New Roman" w:cs="Times New Roman"/>
                <w:b/>
                <w:bCs/>
                <w:color w:val="auto"/>
                <w:sz w:val="21"/>
                <w:highlight w:val="none"/>
              </w:rPr>
              <w:t>P3</w:t>
            </w:r>
            <w:r>
              <w:rPr>
                <w:rFonts w:hint="default" w:ascii="Times New Roman" w:hAnsi="Times New Roman" w:cs="Times New Roman"/>
                <w:b/>
                <w:bCs/>
                <w:color w:val="auto"/>
                <w:sz w:val="21"/>
                <w:highlight w:val="none"/>
              </w:rPr>
              <w:t>）</w:t>
            </w:r>
          </w:p>
        </w:tc>
        <w:tc>
          <w:tcPr>
            <w:tcW w:w="1010" w:type="pct"/>
            <w:noWrap w:val="0"/>
            <w:vAlign w:val="top"/>
          </w:tcPr>
          <w:p w14:paraId="408D3A11">
            <w:pPr>
              <w:pStyle w:val="69"/>
              <w:spacing w:before="34"/>
              <w:ind w:left="0" w:leftChars="0" w:right="-10" w:rightChars="0"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轻度危害（</w:t>
            </w:r>
            <w:r>
              <w:rPr>
                <w:rFonts w:hint="default" w:ascii="Times New Roman" w:hAnsi="Times New Roman" w:eastAsia="Times New Roman" w:cs="Times New Roman"/>
                <w:b/>
                <w:bCs/>
                <w:color w:val="auto"/>
                <w:sz w:val="21"/>
                <w:highlight w:val="none"/>
              </w:rPr>
              <w:t>P4</w:t>
            </w:r>
            <w:r>
              <w:rPr>
                <w:rFonts w:hint="default" w:ascii="Times New Roman" w:hAnsi="Times New Roman" w:cs="Times New Roman"/>
                <w:b/>
                <w:bCs/>
                <w:color w:val="auto"/>
                <w:sz w:val="21"/>
                <w:highlight w:val="none"/>
              </w:rPr>
              <w:t>）</w:t>
            </w:r>
          </w:p>
        </w:tc>
      </w:tr>
      <w:tr w14:paraId="7C2F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207" w:type="pct"/>
            <w:noWrap w:val="0"/>
            <w:vAlign w:val="top"/>
          </w:tcPr>
          <w:p w14:paraId="69FCBF7A">
            <w:pPr>
              <w:pStyle w:val="69"/>
              <w:spacing w:before="34"/>
              <w:ind w:left="0" w:leftChars="0" w:right="-10" w:rightChars="0" w:firstLine="0" w:firstLineChars="0"/>
              <w:jc w:val="left"/>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环境高度敏感区</w:t>
            </w:r>
            <w:r>
              <w:rPr>
                <w:rFonts w:hint="default" w:ascii="Times New Roman" w:hAnsi="Times New Roman" w:eastAsia="Times New Roman" w:cs="Times New Roman"/>
                <w:color w:val="auto"/>
                <w:sz w:val="21"/>
                <w:highlight w:val="none"/>
              </w:rPr>
              <w:t>E1</w:t>
            </w:r>
          </w:p>
        </w:tc>
        <w:tc>
          <w:tcPr>
            <w:tcW w:w="926" w:type="pct"/>
            <w:noWrap w:val="0"/>
            <w:vAlign w:val="top"/>
          </w:tcPr>
          <w:p w14:paraId="6B35EAFB">
            <w:pPr>
              <w:pStyle w:val="69"/>
              <w:spacing w:before="13"/>
              <w:ind w:left="0" w:leftChars="0" w:right="-10" w:rightChars="0" w:firstLine="0" w:firstLineChars="0"/>
              <w:rPr>
                <w:rFonts w:hint="default" w:ascii="Times New Roman" w:hAnsi="Times New Roman" w:cs="Times New Roman"/>
                <w:color w:val="auto"/>
                <w:sz w:val="14"/>
                <w:highlight w:val="none"/>
              </w:rPr>
            </w:pPr>
            <w:r>
              <w:rPr>
                <w:rFonts w:hint="default" w:ascii="Times New Roman" w:hAnsi="Times New Roman" w:cs="Times New Roman"/>
                <w:color w:val="auto"/>
                <w:position w:val="-9"/>
                <w:sz w:val="21"/>
                <w:highlight w:val="none"/>
              </w:rPr>
              <w:t>Ⅳ</w:t>
            </w:r>
            <w:r>
              <w:rPr>
                <w:rFonts w:hint="default" w:ascii="Times New Roman" w:hAnsi="Times New Roman" w:cs="Times New Roman"/>
                <w:color w:val="auto"/>
                <w:sz w:val="14"/>
                <w:highlight w:val="none"/>
              </w:rPr>
              <w:t>+</w:t>
            </w:r>
          </w:p>
        </w:tc>
        <w:tc>
          <w:tcPr>
            <w:tcW w:w="927" w:type="pct"/>
            <w:noWrap w:val="0"/>
            <w:vAlign w:val="top"/>
          </w:tcPr>
          <w:p w14:paraId="4273C456">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Ⅳ</w:t>
            </w:r>
          </w:p>
        </w:tc>
        <w:tc>
          <w:tcPr>
            <w:tcW w:w="927" w:type="pct"/>
            <w:noWrap w:val="0"/>
            <w:vAlign w:val="top"/>
          </w:tcPr>
          <w:p w14:paraId="2129C27D">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1010" w:type="pct"/>
            <w:noWrap w:val="0"/>
            <w:vAlign w:val="top"/>
          </w:tcPr>
          <w:p w14:paraId="4CFEC351">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r>
      <w:tr w14:paraId="6C9C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7" w:type="pct"/>
            <w:noWrap w:val="0"/>
            <w:vAlign w:val="top"/>
          </w:tcPr>
          <w:p w14:paraId="17997C39">
            <w:pPr>
              <w:pStyle w:val="69"/>
              <w:spacing w:before="37"/>
              <w:ind w:left="0" w:leftChars="0" w:right="-10" w:rightChars="0" w:firstLine="0" w:firstLineChars="0"/>
              <w:jc w:val="left"/>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环境中度敏感区</w:t>
            </w:r>
            <w:r>
              <w:rPr>
                <w:rFonts w:hint="default" w:ascii="Times New Roman" w:hAnsi="Times New Roman" w:eastAsia="Times New Roman" w:cs="Times New Roman"/>
                <w:color w:val="auto"/>
                <w:sz w:val="21"/>
                <w:highlight w:val="none"/>
              </w:rPr>
              <w:t>E2</w:t>
            </w:r>
          </w:p>
        </w:tc>
        <w:tc>
          <w:tcPr>
            <w:tcW w:w="926" w:type="pct"/>
            <w:noWrap w:val="0"/>
            <w:vAlign w:val="top"/>
          </w:tcPr>
          <w:p w14:paraId="35DF2FA4">
            <w:pPr>
              <w:pStyle w:val="69"/>
              <w:spacing w:before="3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Ⅳ</w:t>
            </w:r>
          </w:p>
        </w:tc>
        <w:tc>
          <w:tcPr>
            <w:tcW w:w="927" w:type="pct"/>
            <w:noWrap w:val="0"/>
            <w:vAlign w:val="top"/>
          </w:tcPr>
          <w:p w14:paraId="28DA724E">
            <w:pPr>
              <w:pStyle w:val="69"/>
              <w:spacing w:before="3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927" w:type="pct"/>
            <w:noWrap w:val="0"/>
            <w:vAlign w:val="top"/>
          </w:tcPr>
          <w:p w14:paraId="33D9796C">
            <w:pPr>
              <w:pStyle w:val="69"/>
              <w:spacing w:before="3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1010" w:type="pct"/>
            <w:noWrap w:val="0"/>
            <w:vAlign w:val="top"/>
          </w:tcPr>
          <w:p w14:paraId="31281144">
            <w:pPr>
              <w:pStyle w:val="69"/>
              <w:spacing w:before="3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Ⅱ</w:t>
            </w:r>
          </w:p>
        </w:tc>
      </w:tr>
      <w:tr w14:paraId="1F30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1207" w:type="pct"/>
            <w:noWrap w:val="0"/>
            <w:vAlign w:val="top"/>
          </w:tcPr>
          <w:p w14:paraId="3ED66A01">
            <w:pPr>
              <w:pStyle w:val="69"/>
              <w:spacing w:before="34"/>
              <w:ind w:left="0" w:leftChars="0" w:right="-10" w:rightChars="0" w:firstLine="0" w:firstLineChars="0"/>
              <w:jc w:val="left"/>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环境低度敏感区</w:t>
            </w:r>
            <w:r>
              <w:rPr>
                <w:rFonts w:hint="default" w:ascii="Times New Roman" w:hAnsi="Times New Roman" w:eastAsia="Times New Roman" w:cs="Times New Roman"/>
                <w:color w:val="auto"/>
                <w:sz w:val="21"/>
                <w:highlight w:val="none"/>
              </w:rPr>
              <w:t>E3</w:t>
            </w:r>
          </w:p>
        </w:tc>
        <w:tc>
          <w:tcPr>
            <w:tcW w:w="926" w:type="pct"/>
            <w:noWrap w:val="0"/>
            <w:vAlign w:val="top"/>
          </w:tcPr>
          <w:p w14:paraId="3EED6119">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927" w:type="pct"/>
            <w:noWrap w:val="0"/>
            <w:vAlign w:val="top"/>
          </w:tcPr>
          <w:p w14:paraId="74F7F88A">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Ⅲ</w:t>
            </w:r>
          </w:p>
        </w:tc>
        <w:tc>
          <w:tcPr>
            <w:tcW w:w="927" w:type="pct"/>
            <w:noWrap w:val="0"/>
            <w:vAlign w:val="top"/>
          </w:tcPr>
          <w:p w14:paraId="405173CD">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Ⅱ</w:t>
            </w:r>
          </w:p>
        </w:tc>
        <w:tc>
          <w:tcPr>
            <w:tcW w:w="1010" w:type="pct"/>
            <w:noWrap w:val="0"/>
            <w:vAlign w:val="top"/>
          </w:tcPr>
          <w:p w14:paraId="06FEDD76">
            <w:pPr>
              <w:pStyle w:val="69"/>
              <w:spacing w:before="3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Ⅰ</w:t>
            </w:r>
          </w:p>
        </w:tc>
      </w:tr>
    </w:tbl>
    <w:p w14:paraId="6741259A">
      <w:pPr>
        <w:pStyle w:val="16"/>
        <w:bidi w:val="0"/>
        <w:rPr>
          <w:rFonts w:hint="default" w:ascii="Times New Roman" w:hAnsi="Times New Roman" w:cs="Times New Roman"/>
          <w:color w:val="auto"/>
        </w:rPr>
      </w:pPr>
      <w:r>
        <w:rPr>
          <w:rFonts w:hint="default" w:ascii="Times New Roman" w:hAnsi="Times New Roman" w:cs="Times New Roman"/>
          <w:color w:val="auto"/>
        </w:rPr>
        <w:t>①当企业只涉及一种环境风险物质时，计算该物质的总数量与其临界量比值，即为Q；</w:t>
      </w:r>
    </w:p>
    <w:p w14:paraId="76E12FDE">
      <w:pPr>
        <w:pStyle w:val="16"/>
        <w:bidi w:val="0"/>
        <w:rPr>
          <w:rFonts w:hint="default" w:ascii="Times New Roman" w:hAnsi="Times New Roman" w:cs="Times New Roman"/>
          <w:color w:val="auto"/>
          <w:lang w:eastAsia="zh-CN"/>
        </w:rPr>
      </w:pPr>
      <w:r>
        <w:rPr>
          <w:rFonts w:hint="default" w:ascii="Times New Roman" w:hAnsi="Times New Roman" w:cs="Times New Roman"/>
          <w:color w:val="auto"/>
        </w:rPr>
        <w:drawing>
          <wp:anchor distT="0" distB="0" distL="114300" distR="114300" simplePos="0" relativeHeight="251661312" behindDoc="0" locked="0" layoutInCell="1" allowOverlap="1">
            <wp:simplePos x="0" y="0"/>
            <wp:positionH relativeFrom="column">
              <wp:posOffset>1102995</wp:posOffset>
            </wp:positionH>
            <wp:positionV relativeFrom="paragraph">
              <wp:posOffset>362585</wp:posOffset>
            </wp:positionV>
            <wp:extent cx="2019300" cy="638175"/>
            <wp:effectExtent l="0" t="0" r="0" b="9525"/>
            <wp:wrapNone/>
            <wp:docPr id="2"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0"/>
                    <pic:cNvPicPr>
                      <a:picLocks noChangeAspect="1"/>
                    </pic:cNvPicPr>
                  </pic:nvPicPr>
                  <pic:blipFill>
                    <a:blip r:embed="rId34"/>
                    <a:stretch>
                      <a:fillRect/>
                    </a:stretch>
                  </pic:blipFill>
                  <pic:spPr>
                    <a:xfrm>
                      <a:off x="0" y="0"/>
                      <a:ext cx="2019300" cy="638175"/>
                    </a:xfrm>
                    <a:prstGeom prst="rect">
                      <a:avLst/>
                    </a:prstGeom>
                    <a:noFill/>
                    <a:ln>
                      <a:noFill/>
                    </a:ln>
                  </pic:spPr>
                </pic:pic>
              </a:graphicData>
            </a:graphic>
          </wp:anchor>
        </w:drawing>
      </w:r>
      <w:r>
        <w:rPr>
          <w:rFonts w:hint="default" w:ascii="Times New Roman" w:hAnsi="Times New Roman" w:cs="Times New Roman"/>
          <w:color w:val="auto"/>
        </w:rPr>
        <w:t>②当企业存在多种环境风险物质时，则按</w:t>
      </w:r>
      <w:r>
        <w:rPr>
          <w:rFonts w:hint="default" w:ascii="Times New Roman" w:hAnsi="Times New Roman" w:cs="Times New Roman"/>
          <w:color w:val="auto"/>
          <w:lang w:val="en-US" w:eastAsia="zh-CN"/>
        </w:rPr>
        <w:t>下</w:t>
      </w:r>
      <w:r>
        <w:rPr>
          <w:rFonts w:hint="default" w:ascii="Times New Roman" w:hAnsi="Times New Roman" w:cs="Times New Roman"/>
          <w:color w:val="auto"/>
        </w:rPr>
        <w:t>式计算物质数量与其临界量比（Q）；</w:t>
      </w:r>
    </w:p>
    <w:p w14:paraId="35366F1A">
      <w:pPr>
        <w:pStyle w:val="16"/>
        <w:bidi w:val="0"/>
        <w:rPr>
          <w:rFonts w:hint="default" w:ascii="Times New Roman" w:hAnsi="Times New Roman" w:cs="Times New Roman"/>
          <w:color w:val="auto"/>
        </w:rPr>
      </w:pPr>
    </w:p>
    <w:p w14:paraId="5A81D3E0">
      <w:pPr>
        <w:pStyle w:val="16"/>
        <w:bidi w:val="0"/>
        <w:rPr>
          <w:rFonts w:hint="default" w:ascii="Times New Roman" w:hAnsi="Times New Roman" w:cs="Times New Roman"/>
          <w:color w:val="auto"/>
        </w:rPr>
      </w:pPr>
    </w:p>
    <w:p w14:paraId="0178841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式中：q1，q2，...，qn——每种环境风险物质的最大存在总量，t；</w:t>
      </w:r>
    </w:p>
    <w:p w14:paraId="7F68D47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eastAsia="zh-CN"/>
        </w:rPr>
      </w:pPr>
      <w:r>
        <w:rPr>
          <w:rFonts w:hint="default" w:ascii="Times New Roman" w:hAnsi="Times New Roman" w:cs="Times New Roman"/>
          <w:color w:val="auto"/>
        </w:rPr>
        <w:t>Q1，Q2，...，Qn——每种环境风险物质的临界量，t。</w:t>
      </w:r>
    </w:p>
    <w:p w14:paraId="2722EEE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当Q＜1时，该项目环境风险潜势为Ⅰ。</w:t>
      </w:r>
    </w:p>
    <w:p w14:paraId="4A445C31">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当Q≥1时，将Q值划分为：（1）1≤Q＜10；（2）10≤Q＜100；（3）Q≥100。</w:t>
      </w:r>
    </w:p>
    <w:p w14:paraId="4301DF99">
      <w:pPr>
        <w:pStyle w:val="14"/>
        <w:bidi w:val="0"/>
        <w:rPr>
          <w:rFonts w:hint="default" w:ascii="Times New Roman" w:hAnsi="Times New Roman" w:eastAsia="黑体" w:cs="Times New Roman"/>
          <w:color w:val="FF0000"/>
          <w:spacing w:val="-1"/>
          <w:szCs w:val="22"/>
          <w:lang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5.3</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建设项目Q值确定表</w:t>
      </w:r>
    </w:p>
    <w:tbl>
      <w:tblPr>
        <w:tblStyle w:val="76"/>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3"/>
        <w:gridCol w:w="1538"/>
        <w:gridCol w:w="871"/>
        <w:gridCol w:w="1881"/>
        <w:gridCol w:w="1271"/>
        <w:gridCol w:w="1924"/>
      </w:tblGrid>
      <w:tr w14:paraId="49846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43" w:type="dxa"/>
            <w:vAlign w:val="center"/>
          </w:tcPr>
          <w:p w14:paraId="2F25EB1A">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序号</w:t>
            </w:r>
          </w:p>
        </w:tc>
        <w:tc>
          <w:tcPr>
            <w:tcW w:w="1538" w:type="dxa"/>
            <w:vAlign w:val="center"/>
          </w:tcPr>
          <w:p w14:paraId="34106116">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危险物质名称</w:t>
            </w:r>
          </w:p>
        </w:tc>
        <w:tc>
          <w:tcPr>
            <w:tcW w:w="871" w:type="dxa"/>
            <w:vAlign w:val="center"/>
          </w:tcPr>
          <w:p w14:paraId="3B252F2D">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CAS号</w:t>
            </w:r>
          </w:p>
        </w:tc>
        <w:tc>
          <w:tcPr>
            <w:tcW w:w="1881" w:type="dxa"/>
            <w:vAlign w:val="center"/>
          </w:tcPr>
          <w:p w14:paraId="12278475">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最大存在总量qn/t</w:t>
            </w:r>
          </w:p>
        </w:tc>
        <w:tc>
          <w:tcPr>
            <w:tcW w:w="1271" w:type="dxa"/>
            <w:vAlign w:val="center"/>
          </w:tcPr>
          <w:p w14:paraId="28DAA87E">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临界量Qn/t</w:t>
            </w:r>
          </w:p>
        </w:tc>
        <w:tc>
          <w:tcPr>
            <w:tcW w:w="1924" w:type="dxa"/>
            <w:vAlign w:val="center"/>
          </w:tcPr>
          <w:p w14:paraId="376E3A3B">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该种危险物质Q值</w:t>
            </w:r>
          </w:p>
        </w:tc>
      </w:tr>
      <w:tr w14:paraId="46E40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043" w:type="dxa"/>
            <w:vAlign w:val="center"/>
          </w:tcPr>
          <w:p w14:paraId="21DA4E18">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1</w:t>
            </w:r>
          </w:p>
        </w:tc>
        <w:tc>
          <w:tcPr>
            <w:tcW w:w="1538" w:type="dxa"/>
            <w:vAlign w:val="center"/>
          </w:tcPr>
          <w:p w14:paraId="702CE972">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过氧乙酸</w:t>
            </w:r>
          </w:p>
        </w:tc>
        <w:tc>
          <w:tcPr>
            <w:tcW w:w="871" w:type="dxa"/>
            <w:vAlign w:val="center"/>
          </w:tcPr>
          <w:p w14:paraId="4DCDEB55">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79-21-0</w:t>
            </w:r>
          </w:p>
        </w:tc>
        <w:tc>
          <w:tcPr>
            <w:tcW w:w="1881" w:type="dxa"/>
            <w:vAlign w:val="center"/>
          </w:tcPr>
          <w:p w14:paraId="2C37BE9C">
            <w:pPr>
              <w:pStyle w:val="69"/>
              <w:spacing w:before="34"/>
              <w:ind w:left="0" w:leftChars="0" w:right="-10" w:rightChars="0" w:firstLine="0" w:firstLineChars="0"/>
              <w:rPr>
                <w:rFonts w:hint="default" w:ascii="Times New Roman" w:hAnsi="Times New Roman" w:eastAsia="宋体" w:cs="Times New Roman"/>
                <w:color w:val="FF0000"/>
                <w:sz w:val="21"/>
                <w:highlight w:val="none"/>
                <w:lang w:eastAsia="zh-CN"/>
              </w:rPr>
            </w:pPr>
            <w:r>
              <w:rPr>
                <w:rFonts w:hint="default" w:ascii="Times New Roman" w:hAnsi="Times New Roman" w:eastAsia="宋体" w:cs="Times New Roman"/>
                <w:color w:val="FF0000"/>
                <w:sz w:val="21"/>
                <w:highlight w:val="none"/>
                <w:lang w:eastAsia="zh-CN"/>
              </w:rPr>
              <w:t>1</w:t>
            </w:r>
          </w:p>
        </w:tc>
        <w:tc>
          <w:tcPr>
            <w:tcW w:w="1271" w:type="dxa"/>
            <w:vAlign w:val="center"/>
          </w:tcPr>
          <w:p w14:paraId="2E7D1BE1">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5</w:t>
            </w:r>
          </w:p>
        </w:tc>
        <w:tc>
          <w:tcPr>
            <w:tcW w:w="1924" w:type="dxa"/>
            <w:vAlign w:val="center"/>
          </w:tcPr>
          <w:p w14:paraId="0E875A6B">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0.1</w:t>
            </w:r>
          </w:p>
        </w:tc>
      </w:tr>
      <w:tr w14:paraId="6346D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452" w:type="dxa"/>
            <w:gridSpan w:val="3"/>
            <w:vAlign w:val="center"/>
          </w:tcPr>
          <w:p w14:paraId="43DF46DA">
            <w:pPr>
              <w:pStyle w:val="69"/>
              <w:spacing w:before="34"/>
              <w:ind w:left="0" w:leftChars="0" w:right="-10" w:rightChars="0" w:firstLine="0" w:firstLineChars="0"/>
              <w:rPr>
                <w:rFonts w:hint="default" w:ascii="Times New Roman" w:hAnsi="Times New Roman" w:eastAsia="宋体" w:cs="Times New Roman"/>
                <w:color w:val="FF0000"/>
                <w:sz w:val="21"/>
                <w:highlight w:val="none"/>
              </w:rPr>
            </w:pPr>
            <w:r>
              <w:rPr>
                <w:rFonts w:hint="default" w:ascii="Times New Roman" w:hAnsi="Times New Roman" w:eastAsia="宋体" w:cs="Times New Roman"/>
                <w:color w:val="FF0000"/>
                <w:sz w:val="21"/>
                <w:highlight w:val="none"/>
              </w:rPr>
              <w:t>项目Q值</w:t>
            </w:r>
          </w:p>
        </w:tc>
        <w:tc>
          <w:tcPr>
            <w:tcW w:w="5076" w:type="dxa"/>
            <w:gridSpan w:val="3"/>
            <w:vAlign w:val="center"/>
          </w:tcPr>
          <w:p w14:paraId="76023C29">
            <w:pPr>
              <w:pStyle w:val="69"/>
              <w:spacing w:before="34"/>
              <w:ind w:left="0" w:leftChars="0" w:right="-10" w:rightChars="0" w:firstLine="0" w:firstLineChars="0"/>
              <w:rPr>
                <w:rFonts w:hint="default" w:ascii="Times New Roman" w:hAnsi="Times New Roman" w:eastAsia="宋体" w:cs="Times New Roman"/>
                <w:color w:val="FF0000"/>
                <w:sz w:val="21"/>
                <w:highlight w:val="none"/>
                <w:lang w:eastAsia="zh-CN"/>
              </w:rPr>
            </w:pPr>
            <w:r>
              <w:rPr>
                <w:rFonts w:hint="default" w:ascii="Times New Roman" w:hAnsi="Times New Roman" w:eastAsia="宋体" w:cs="Times New Roman"/>
                <w:color w:val="FF0000"/>
                <w:sz w:val="21"/>
                <w:highlight w:val="none"/>
              </w:rPr>
              <w:t>0.</w:t>
            </w:r>
            <w:r>
              <w:rPr>
                <w:rFonts w:hint="default" w:ascii="Times New Roman" w:hAnsi="Times New Roman" w:eastAsia="宋体" w:cs="Times New Roman"/>
                <w:color w:val="FF0000"/>
                <w:sz w:val="21"/>
                <w:highlight w:val="none"/>
                <w:lang w:eastAsia="zh-CN"/>
              </w:rPr>
              <w:t>2</w:t>
            </w:r>
          </w:p>
        </w:tc>
      </w:tr>
    </w:tbl>
    <w:p w14:paraId="25B0503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lang w:val="en-US"/>
        </w:rPr>
        <w:t>根据上文</w:t>
      </w:r>
      <w:r>
        <w:rPr>
          <w:rFonts w:hint="default" w:ascii="Times New Roman" w:hAnsi="Times New Roman" w:cs="Times New Roman"/>
          <w:color w:val="FF0000"/>
        </w:rPr>
        <w:t>分析，本项目Q＜1，</w:t>
      </w:r>
      <w:r>
        <w:rPr>
          <w:rFonts w:hint="default" w:ascii="Times New Roman" w:hAnsi="Times New Roman" w:cs="Times New Roman"/>
          <w:color w:val="FF0000"/>
          <w:lang w:val="en-US"/>
        </w:rPr>
        <w:t>本项目环境风险潜势划分为Ⅰ类，评价工作等级划分为简单分析。</w:t>
      </w:r>
    </w:p>
    <w:p w14:paraId="46DCCC53">
      <w:pPr>
        <w:pStyle w:val="4"/>
        <w:bidi w:val="0"/>
        <w:rPr>
          <w:rFonts w:hint="default" w:ascii="Times New Roman" w:hAnsi="Times New Roman" w:cs="Times New Roman"/>
        </w:rPr>
      </w:pPr>
      <w:r>
        <w:rPr>
          <w:rFonts w:hint="default" w:ascii="Times New Roman" w:hAnsi="Times New Roman" w:cs="Times New Roman"/>
        </w:rPr>
        <w:t>评价等级及评价范围</w:t>
      </w:r>
    </w:p>
    <w:p w14:paraId="30CCEF57">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评价等级</w:t>
      </w:r>
    </w:p>
    <w:p w14:paraId="669056F2">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规定：“环境风险评价工作是依据建设项目涉及的物质及工艺系统危险性和所在地的环境敏感性确定环境风险潜势进行分级，环境影响评价工作等级划分为一级、二级、三级”，其具体分级判据见表5.3-</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14:paraId="6A26214F">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项目环境影响评价等级判据一览表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1"/>
        <w:gridCol w:w="1457"/>
        <w:gridCol w:w="1591"/>
        <w:gridCol w:w="1989"/>
        <w:gridCol w:w="1655"/>
      </w:tblGrid>
      <w:tr w14:paraId="61F2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0" w:type="pct"/>
            <w:noWrap w:val="0"/>
            <w:vAlign w:val="center"/>
          </w:tcPr>
          <w:p w14:paraId="0BBB48A0">
            <w:pPr>
              <w:pStyle w:val="69"/>
              <w:spacing w:before="72"/>
              <w:ind w:left="0" w:leftChars="0" w:right="-10" w:rightChars="0"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环境风险潜势</w:t>
            </w:r>
          </w:p>
        </w:tc>
        <w:tc>
          <w:tcPr>
            <w:tcW w:w="875" w:type="pct"/>
            <w:noWrap w:val="0"/>
            <w:vAlign w:val="center"/>
          </w:tcPr>
          <w:p w14:paraId="0E722B47">
            <w:pPr>
              <w:pStyle w:val="69"/>
              <w:spacing w:before="60"/>
              <w:ind w:left="0" w:leftChars="0" w:right="-10" w:rightChars="0" w:firstLine="0" w:firstLineChars="0"/>
              <w:jc w:val="center"/>
              <w:rPr>
                <w:rFonts w:hint="default" w:ascii="Times New Roman" w:hAnsi="Times New Roman" w:eastAsia="Times New Roman" w:cs="Times New Roman"/>
                <w:b/>
                <w:bCs/>
                <w:color w:val="auto"/>
                <w:sz w:val="21"/>
                <w:highlight w:val="none"/>
              </w:rPr>
            </w:pPr>
            <w:r>
              <w:rPr>
                <w:rFonts w:hint="default" w:ascii="Times New Roman" w:hAnsi="Times New Roman" w:cs="Times New Roman"/>
                <w:b/>
                <w:bCs/>
                <w:color w:val="auto"/>
                <w:sz w:val="21"/>
                <w:highlight w:val="none"/>
              </w:rPr>
              <w:t>Ⅳ、Ⅳ</w:t>
            </w:r>
            <w:r>
              <w:rPr>
                <w:rFonts w:hint="default" w:ascii="Times New Roman" w:hAnsi="Times New Roman" w:eastAsia="Times New Roman" w:cs="Times New Roman"/>
                <w:b/>
                <w:bCs/>
                <w:color w:val="auto"/>
                <w:sz w:val="21"/>
                <w:highlight w:val="none"/>
                <w:vertAlign w:val="superscript"/>
              </w:rPr>
              <w:t>+</w:t>
            </w:r>
          </w:p>
        </w:tc>
        <w:tc>
          <w:tcPr>
            <w:tcW w:w="956" w:type="pct"/>
            <w:noWrap w:val="0"/>
            <w:vAlign w:val="center"/>
          </w:tcPr>
          <w:p w14:paraId="115EABD0">
            <w:pPr>
              <w:pStyle w:val="69"/>
              <w:spacing w:before="60"/>
              <w:ind w:left="0" w:leftChars="0" w:right="-10" w:rightChars="0"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Ⅲ</w:t>
            </w:r>
          </w:p>
        </w:tc>
        <w:tc>
          <w:tcPr>
            <w:tcW w:w="1195" w:type="pct"/>
            <w:noWrap w:val="0"/>
            <w:vAlign w:val="center"/>
          </w:tcPr>
          <w:p w14:paraId="0ACA1976">
            <w:pPr>
              <w:pStyle w:val="69"/>
              <w:spacing w:before="60"/>
              <w:ind w:left="0" w:leftChars="0" w:right="-10" w:rightChars="0"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Ⅱ</w:t>
            </w:r>
          </w:p>
        </w:tc>
        <w:tc>
          <w:tcPr>
            <w:tcW w:w="991" w:type="pct"/>
            <w:noWrap w:val="0"/>
            <w:vAlign w:val="center"/>
          </w:tcPr>
          <w:p w14:paraId="61A5254E">
            <w:pPr>
              <w:pStyle w:val="69"/>
              <w:spacing w:before="60"/>
              <w:ind w:left="0" w:leftChars="0" w:right="-10" w:rightChars="0"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Ⅰ</w:t>
            </w:r>
          </w:p>
        </w:tc>
      </w:tr>
      <w:tr w14:paraId="69E2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980" w:type="pct"/>
            <w:noWrap w:val="0"/>
            <w:vAlign w:val="center"/>
          </w:tcPr>
          <w:p w14:paraId="3261BF61">
            <w:pPr>
              <w:pStyle w:val="69"/>
              <w:spacing w:before="70"/>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评价工作等级</w:t>
            </w:r>
          </w:p>
        </w:tc>
        <w:tc>
          <w:tcPr>
            <w:tcW w:w="875" w:type="pct"/>
            <w:noWrap w:val="0"/>
            <w:vAlign w:val="center"/>
          </w:tcPr>
          <w:p w14:paraId="64B0010B">
            <w:pPr>
              <w:pStyle w:val="69"/>
              <w:spacing w:before="61"/>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956" w:type="pct"/>
            <w:noWrap w:val="0"/>
            <w:vAlign w:val="center"/>
          </w:tcPr>
          <w:p w14:paraId="0DDC00AF">
            <w:pPr>
              <w:pStyle w:val="69"/>
              <w:spacing w:before="61"/>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c>
          <w:tcPr>
            <w:tcW w:w="1195" w:type="pct"/>
            <w:noWrap w:val="0"/>
            <w:vAlign w:val="center"/>
          </w:tcPr>
          <w:p w14:paraId="10FBBEAE">
            <w:pPr>
              <w:pStyle w:val="69"/>
              <w:spacing w:before="61"/>
              <w:ind w:left="0" w:leftChars="0" w:right="-10" w:rightChars="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w:t>
            </w:r>
          </w:p>
        </w:tc>
        <w:tc>
          <w:tcPr>
            <w:tcW w:w="991" w:type="pct"/>
            <w:noWrap w:val="0"/>
            <w:vAlign w:val="center"/>
          </w:tcPr>
          <w:p w14:paraId="4F36F626">
            <w:pPr>
              <w:pStyle w:val="69"/>
              <w:spacing w:before="61"/>
              <w:ind w:left="0" w:leftChars="0" w:right="-10" w:rightChars="0"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简单分析</w:t>
            </w:r>
            <w:r>
              <w:rPr>
                <w:rFonts w:hint="default" w:ascii="Times New Roman" w:hAnsi="Times New Roman" w:eastAsia="Times New Roman" w:cs="Times New Roman"/>
                <w:color w:val="auto"/>
                <w:sz w:val="21"/>
                <w:highlight w:val="none"/>
                <w:vertAlign w:val="superscript"/>
              </w:rPr>
              <w:t>a</w:t>
            </w:r>
          </w:p>
        </w:tc>
      </w:tr>
      <w:tr w14:paraId="191C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5000" w:type="pct"/>
            <w:gridSpan w:val="5"/>
            <w:noWrap w:val="0"/>
            <w:vAlign w:val="center"/>
          </w:tcPr>
          <w:p w14:paraId="322AC940">
            <w:pPr>
              <w:spacing w:before="101" w:line="213" w:lineRule="auto"/>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是相对于详细评级工作内容而言，在描述危险物质、环境影响途径、环境危害后果、风险防范措施等方面给出定性的说明。见附录A。</w:t>
            </w:r>
          </w:p>
        </w:tc>
      </w:tr>
    </w:tbl>
    <w:p w14:paraId="5B082F3E">
      <w:pPr>
        <w:pStyle w:val="16"/>
        <w:bidi w:val="0"/>
        <w:rPr>
          <w:rFonts w:hint="default" w:ascii="Times New Roman" w:hAnsi="Times New Roman" w:cs="Times New Roman"/>
          <w:color w:val="auto"/>
        </w:rPr>
      </w:pPr>
      <w:r>
        <w:rPr>
          <w:rFonts w:hint="default" w:ascii="Times New Roman" w:hAnsi="Times New Roman" w:cs="Times New Roman"/>
          <w:color w:val="auto"/>
        </w:rPr>
        <w:t>根据前述分析结果显示，本项目的环境风险潜势为Ⅰ级，因此本项目的环境风险评价为简单分析。</w:t>
      </w:r>
    </w:p>
    <w:p w14:paraId="295B882D">
      <w:pPr>
        <w:pStyle w:val="73"/>
        <w:numPr>
          <w:ilvl w:val="0"/>
          <w:numId w:val="0"/>
        </w:numPr>
        <w:tabs>
          <w:tab w:val="left" w:pos="1379"/>
        </w:tabs>
        <w:spacing w:line="360" w:lineRule="auto"/>
        <w:ind w:leftChars="0" w:right="-1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评价范围</w:t>
      </w:r>
    </w:p>
    <w:p w14:paraId="52551AED">
      <w:pPr>
        <w:pStyle w:val="16"/>
        <w:bidi w:val="0"/>
        <w:rPr>
          <w:rFonts w:hint="default" w:ascii="Times New Roman" w:hAnsi="Times New Roman" w:cs="Times New Roman"/>
          <w:color w:val="auto"/>
          <w:lang w:eastAsia="zh-CN"/>
        </w:rPr>
      </w:pPr>
      <w:r>
        <w:rPr>
          <w:rFonts w:hint="default" w:ascii="Times New Roman" w:hAnsi="Times New Roman" w:cs="Times New Roman"/>
          <w:color w:val="auto"/>
        </w:rPr>
        <w:t>本项目的环境风险评价为简单分析</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不设评价范围。</w:t>
      </w:r>
    </w:p>
    <w:p w14:paraId="3F0DAFF4">
      <w:pPr>
        <w:pStyle w:val="4"/>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环境风险分析</w:t>
      </w:r>
    </w:p>
    <w:p w14:paraId="268372BA">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疫情风险</w:t>
      </w:r>
    </w:p>
    <w:p w14:paraId="3C8CB36B">
      <w:pPr>
        <w:spacing w:line="360" w:lineRule="auto"/>
        <w:ind w:firstLine="482"/>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近几年来，几种影响免疫功能的疾病困扰着我国养鸡业，给养鸡业造成了难以估量的损失，如新城疫、中等毒力或高致病性禽流感、鸡传染性支气管炎、减蛋综合征等疫病的发生流行，引起机体的基础免疫功能下降，导致鸡群免疫失败，多种病原体引起的疾病的临床病变极其严重，极易造成临床上的误诊和防治上的困难，由于这些新病的出现，有的疾病缺乏有效的防治措施，因此，鸡群发病率和死亡率提高，养鸡场损失惨重，甚至感染到人群。</w:t>
      </w:r>
    </w:p>
    <w:p w14:paraId="2CDCFF52">
      <w:pPr>
        <w:spacing w:line="360" w:lineRule="auto"/>
        <w:ind w:firstLine="482"/>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集约化养鸡场养殖规模大、密度高、传播速度快，疾病威胁严重，项目运行后可能发生各种疫情，若在疫情早期发现，并处理及时、妥当，将仅造成业主自身的经济损失；但若疫情未及时发现或处理不当，将可能传染给周围生物，进而传染给人群，致使当地造成经济损失，甚至人员伤亡等。</w:t>
      </w:r>
    </w:p>
    <w:p w14:paraId="357BDABE">
      <w:pPr>
        <w:pStyle w:val="5"/>
        <w:bidi w:val="0"/>
        <w:rPr>
          <w:rFonts w:hint="default" w:ascii="Times New Roman" w:hAnsi="Times New Roman" w:cs="Times New Roman"/>
        </w:rPr>
      </w:pPr>
      <w:bookmarkStart w:id="130" w:name="_Toc21043"/>
      <w:bookmarkStart w:id="131" w:name="_Toc4607"/>
      <w:r>
        <w:rPr>
          <w:rFonts w:hint="default" w:ascii="Times New Roman" w:hAnsi="Times New Roman" w:cs="Times New Roman"/>
        </w:rPr>
        <w:t>病死</w:t>
      </w:r>
      <w:r>
        <w:rPr>
          <w:rFonts w:hint="default" w:ascii="Times New Roman" w:hAnsi="Times New Roman" w:cs="Times New Roman"/>
          <w:lang w:eastAsia="zh-CN"/>
        </w:rPr>
        <w:t>鸡</w:t>
      </w:r>
      <w:r>
        <w:rPr>
          <w:rFonts w:hint="default" w:ascii="Times New Roman" w:hAnsi="Times New Roman" w:cs="Times New Roman"/>
        </w:rPr>
        <w:t>风险</w:t>
      </w:r>
      <w:bookmarkEnd w:id="130"/>
      <w:bookmarkEnd w:id="131"/>
    </w:p>
    <w:p w14:paraId="5318212F">
      <w:pPr>
        <w:spacing w:line="360" w:lineRule="auto"/>
        <w:ind w:firstLine="482"/>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病死的家禽多数是因患了某种传染病而死亡的。其中有一些是人畜共患的传染病，如禽流感，如食用这些病死的禽肉，人就容易被传染上这些疾病，这对人的身体健康危害极大。有些禽类虽然不是因为传染病而死，但死亡之后，体内的沙门氏菌、大肠杆菌、变形杆菌等，就会大量繁殖并迅速散播到禽类的肌肉里，有的细菌还能产生肠毒素，人若吃了这种禽类的肉，就会发生食物中毒。因此，对于病死或者死因不明的禽类，必须按照国务院畜牧兽医行政管理部门的有关规定进行无害化处理，不得随意处置。</w:t>
      </w:r>
    </w:p>
    <w:p w14:paraId="75581D97">
      <w:pPr>
        <w:spacing w:line="360" w:lineRule="auto"/>
        <w:ind w:firstLine="482"/>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根据《畜禽养殖业污染治理工程技术规范》（HJ497-2009）中第9章和《畜禽养殖业污染物防治技术规范》（HJ/T81-2001）中第9章的要求，病死畜禽尸体应及时处理，不得随意丢弃，不得出售或作为饲料再利用。因高致病性禽流感疫情导致禽类死亡，死禽尸体的处理与处置应符合《高致病性禽流感疫情处置技术规范（试行）》的规定。</w:t>
      </w:r>
    </w:p>
    <w:p w14:paraId="1BB2DA96">
      <w:pPr>
        <w:pStyle w:val="5"/>
        <w:bidi w:val="0"/>
        <w:rPr>
          <w:rFonts w:hint="default" w:ascii="Times New Roman" w:hAnsi="Times New Roman" w:eastAsia="宋体" w:cs="Times New Roman"/>
          <w:b/>
          <w:bCs/>
          <w:color w:val="auto"/>
          <w:sz w:val="24"/>
          <w:szCs w:val="24"/>
        </w:rPr>
      </w:pPr>
      <w:bookmarkStart w:id="132" w:name="_Toc25025"/>
      <w:bookmarkStart w:id="133" w:name="_Toc15255"/>
      <w:bookmarkStart w:id="134" w:name="_Toc7761"/>
      <w:bookmarkStart w:id="135" w:name="_Toc12110"/>
      <w:r>
        <w:rPr>
          <w:rFonts w:hint="default" w:ascii="Times New Roman" w:hAnsi="Times New Roman" w:eastAsia="宋体" w:cs="Times New Roman"/>
          <w:b/>
          <w:bCs/>
          <w:color w:val="auto"/>
          <w:sz w:val="24"/>
          <w:szCs w:val="24"/>
          <w:lang w:val="en-US" w:eastAsia="zh-CN"/>
        </w:rPr>
        <w:t>恶臭污染环境</w:t>
      </w:r>
      <w:r>
        <w:rPr>
          <w:rFonts w:hint="default" w:ascii="Times New Roman" w:hAnsi="Times New Roman" w:eastAsia="宋体" w:cs="Times New Roman"/>
          <w:b/>
          <w:bCs/>
          <w:color w:val="auto"/>
          <w:sz w:val="24"/>
          <w:szCs w:val="24"/>
        </w:rPr>
        <w:t>风险分析</w:t>
      </w:r>
      <w:bookmarkEnd w:id="132"/>
      <w:bookmarkEnd w:id="133"/>
    </w:p>
    <w:p w14:paraId="7CD2475B">
      <w:pPr>
        <w:spacing w:line="360" w:lineRule="auto"/>
        <w:ind w:firstLine="482"/>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项目氨气和硫化氢主要来源于鸡的粪便以及动物自身代谢产物，产生量较小，项目所在地地形开阔，厂内无组织排放的氨气和硫化氢能很快扩散到大气环境中，在厂内蓄积量甚微。环评要求建设单位日常加强管理，定期向</w:t>
      </w:r>
      <w:r>
        <w:rPr>
          <w:rFonts w:hint="default" w:ascii="Times New Roman" w:hAnsi="Times New Roman" w:cs="Times New Roman"/>
          <w:bCs/>
          <w:color w:val="auto"/>
          <w:sz w:val="24"/>
          <w:highlight w:val="none"/>
          <w:lang w:val="en-US" w:eastAsia="zh-CN"/>
        </w:rPr>
        <w:t>鸡粪发酵处理场</w:t>
      </w:r>
      <w:r>
        <w:rPr>
          <w:rFonts w:hint="default" w:ascii="Times New Roman" w:hAnsi="Times New Roman" w:cs="Times New Roman"/>
          <w:bCs/>
          <w:color w:val="auto"/>
          <w:sz w:val="24"/>
          <w:lang w:val="en-US" w:eastAsia="zh-CN"/>
        </w:rPr>
        <w:t>喷洒除臭剂，鸡舍及时清粪，日产日清，其发生的环境风险较小。</w:t>
      </w:r>
    </w:p>
    <w:p w14:paraId="7651E23B">
      <w:pPr>
        <w:pStyle w:val="5"/>
        <w:bidi w:val="0"/>
        <w:rPr>
          <w:rFonts w:hint="default" w:ascii="Times New Roman" w:hAnsi="Times New Roman" w:cs="Times New Roman"/>
          <w:color w:val="FF0000"/>
          <w:lang w:val="en-US"/>
        </w:rPr>
      </w:pPr>
      <w:r>
        <w:rPr>
          <w:rFonts w:hint="default" w:ascii="Times New Roman" w:hAnsi="Times New Roman" w:cs="Times New Roman"/>
          <w:color w:val="FF0000"/>
          <w:lang w:val="en-US"/>
        </w:rPr>
        <w:t>饲料仓储火灾风险</w:t>
      </w:r>
    </w:p>
    <w:p w14:paraId="3A15A41E">
      <w:pPr>
        <w:pStyle w:val="16"/>
        <w:bidi w:val="0"/>
        <w:rPr>
          <w:rFonts w:hint="default" w:ascii="Times New Roman" w:hAnsi="Times New Roman" w:cs="Times New Roman"/>
          <w:color w:val="FF0000"/>
        </w:rPr>
      </w:pPr>
      <w:r>
        <w:rPr>
          <w:rFonts w:hint="default" w:ascii="Times New Roman" w:hAnsi="Times New Roman" w:cs="Times New Roman"/>
          <w:color w:val="FF0000"/>
        </w:rPr>
        <w:t>①可燃物多，火灾危险性大</w:t>
      </w:r>
    </w:p>
    <w:p w14:paraId="6106AC85">
      <w:pPr>
        <w:pStyle w:val="16"/>
        <w:bidi w:val="0"/>
        <w:rPr>
          <w:rFonts w:hint="default" w:ascii="Times New Roman" w:hAnsi="Times New Roman" w:cs="Times New Roman"/>
          <w:color w:val="FF0000"/>
        </w:rPr>
      </w:pPr>
      <w:r>
        <w:rPr>
          <w:rFonts w:hint="default" w:ascii="Times New Roman" w:hAnsi="Times New Roman" w:cs="Times New Roman"/>
          <w:color w:val="FF0000"/>
        </w:rPr>
        <w:t>场内设有</w:t>
      </w:r>
      <w:r>
        <w:rPr>
          <w:rFonts w:hint="default" w:ascii="Times New Roman" w:hAnsi="Times New Roman" w:cs="Times New Roman"/>
          <w:color w:val="FF0000"/>
          <w:lang w:val="en-US" w:eastAsia="zh-CN"/>
        </w:rPr>
        <w:t>料库</w:t>
      </w:r>
      <w:r>
        <w:rPr>
          <w:rFonts w:hint="default" w:ascii="Times New Roman" w:hAnsi="Times New Roman" w:cs="Times New Roman"/>
          <w:color w:val="FF0000"/>
        </w:rPr>
        <w:t>，一般采用堆垛的方式储存。堆放的物品数量多，密度大，可燃物种类多，火灾危险性大。</w:t>
      </w:r>
    </w:p>
    <w:p w14:paraId="13A3CFBE">
      <w:pPr>
        <w:pStyle w:val="16"/>
        <w:bidi w:val="0"/>
        <w:rPr>
          <w:rFonts w:hint="default" w:ascii="Times New Roman" w:hAnsi="Times New Roman" w:cs="Times New Roman"/>
          <w:color w:val="FF0000"/>
        </w:rPr>
      </w:pPr>
      <w:r>
        <w:rPr>
          <w:rFonts w:hint="default" w:ascii="Times New Roman" w:hAnsi="Times New Roman" w:cs="Times New Roman"/>
          <w:color w:val="FF0000"/>
        </w:rPr>
        <w:t>②仓储区管理人员少，火灾发现晚</w:t>
      </w:r>
    </w:p>
    <w:p w14:paraId="1C647582">
      <w:pPr>
        <w:pStyle w:val="16"/>
        <w:bidi w:val="0"/>
        <w:rPr>
          <w:rFonts w:hint="default" w:ascii="Times New Roman" w:hAnsi="Times New Roman" w:cs="Times New Roman"/>
          <w:color w:val="FF0000"/>
        </w:rPr>
      </w:pPr>
      <w:r>
        <w:rPr>
          <w:rFonts w:hint="default" w:ascii="Times New Roman" w:hAnsi="Times New Roman" w:cs="Times New Roman"/>
          <w:color w:val="FF0000"/>
        </w:rPr>
        <w:t>一般来说，因白天上班时间人员较多，在仓储区存取物资较为频繁，发生火灾后容易发现，而下班后人员较少，仓储区中一般只有值班人员值班。有的仓储区甚至没有值班人员，一旦发生火灾，不易被发现，导致火势扩大、恶化。</w:t>
      </w:r>
    </w:p>
    <w:p w14:paraId="1BC5A28F">
      <w:pPr>
        <w:pStyle w:val="16"/>
        <w:bidi w:val="0"/>
        <w:rPr>
          <w:rFonts w:hint="default" w:ascii="Times New Roman" w:hAnsi="Times New Roman" w:cs="Times New Roman"/>
          <w:color w:val="FF0000"/>
        </w:rPr>
      </w:pPr>
      <w:r>
        <w:rPr>
          <w:rFonts w:hint="default" w:ascii="Times New Roman" w:hAnsi="Times New Roman" w:cs="Times New Roman"/>
          <w:color w:val="FF0000"/>
        </w:rPr>
        <w:t>根据火灾</w:t>
      </w:r>
      <w:r>
        <w:rPr>
          <w:rFonts w:hint="default" w:ascii="Times New Roman" w:hAnsi="Times New Roman" w:cs="Times New Roman"/>
          <w:color w:val="FF0000"/>
          <w:lang w:eastAsia="zh-CN"/>
        </w:rPr>
        <w:t>后果分析</w:t>
      </w:r>
      <w:r>
        <w:rPr>
          <w:rFonts w:hint="default" w:ascii="Times New Roman" w:hAnsi="Times New Roman" w:cs="Times New Roman"/>
          <w:color w:val="FF0000"/>
        </w:rPr>
        <w:t>，仓储区火灾发生的主要原因有严重违反防火规章制度，此外，仓储区内电气设备安装、使用不符合规定，超负荷运行、接触不良、短路等也是仓储区火灾发生的主要原因。</w:t>
      </w:r>
    </w:p>
    <w:p w14:paraId="3638E76D">
      <w:pPr>
        <w:pStyle w:val="5"/>
        <w:bidi w:val="0"/>
        <w:rPr>
          <w:rFonts w:hint="default" w:ascii="Times New Roman" w:hAnsi="Times New Roman" w:cs="Times New Roman"/>
          <w:lang w:val="en-US"/>
        </w:rPr>
      </w:pPr>
      <w:r>
        <w:rPr>
          <w:rFonts w:hint="default" w:ascii="Times New Roman" w:hAnsi="Times New Roman" w:cs="Times New Roman"/>
          <w:lang w:val="en-US"/>
        </w:rPr>
        <w:t>对养殖废水</w:t>
      </w:r>
      <w:r>
        <w:rPr>
          <w:rFonts w:hint="default" w:ascii="Times New Roman" w:hAnsi="Times New Roman" w:cs="Times New Roman"/>
          <w:lang w:val="en-US" w:eastAsia="zh-CN"/>
        </w:rPr>
        <w:t>和粪便</w:t>
      </w:r>
      <w:r>
        <w:rPr>
          <w:rFonts w:hint="default" w:ascii="Times New Roman" w:hAnsi="Times New Roman" w:cs="Times New Roman"/>
          <w:lang w:val="en-US"/>
        </w:rPr>
        <w:t>事故状态预防措施</w:t>
      </w:r>
    </w:p>
    <w:p w14:paraId="62692F29">
      <w:pPr>
        <w:pStyle w:val="16"/>
        <w:bidi w:val="0"/>
        <w:rPr>
          <w:rFonts w:hint="default" w:ascii="Times New Roman" w:hAnsi="Times New Roman" w:cs="Times New Roman"/>
          <w:color w:val="auto"/>
        </w:rPr>
      </w:pPr>
      <w:r>
        <w:rPr>
          <w:rFonts w:hint="default" w:ascii="Times New Roman" w:hAnsi="Times New Roman" w:cs="Times New Roman"/>
          <w:color w:val="auto"/>
        </w:rPr>
        <w:t>项目养殖场圈舍、污水收集管道必须做好地面硬化防渗处理，否则可能造成养殖场废水下渗污染项目区地下水环境。本项目废水</w:t>
      </w:r>
      <w:r>
        <w:rPr>
          <w:rFonts w:hint="default" w:ascii="Times New Roman" w:hAnsi="Times New Roman" w:cs="Times New Roman"/>
          <w:color w:val="auto"/>
          <w:lang w:val="en-US" w:eastAsia="zh-CN"/>
        </w:rPr>
        <w:t>及粪污</w:t>
      </w:r>
      <w:r>
        <w:rPr>
          <w:rFonts w:hint="default" w:ascii="Times New Roman" w:hAnsi="Times New Roman" w:cs="Times New Roman"/>
          <w:color w:val="auto"/>
        </w:rPr>
        <w:t>全部进入</w:t>
      </w:r>
      <w:r>
        <w:rPr>
          <w:rFonts w:hint="default" w:ascii="Times New Roman" w:hAnsi="Times New Roman" w:cs="Times New Roman"/>
          <w:color w:val="auto"/>
          <w:lang w:val="en-US" w:eastAsia="zh-CN"/>
        </w:rPr>
        <w:t>粪污收集池</w:t>
      </w:r>
      <w:r>
        <w:rPr>
          <w:rFonts w:hint="default" w:ascii="Times New Roman" w:hAnsi="Times New Roman" w:cs="Times New Roman"/>
          <w:color w:val="auto"/>
        </w:rPr>
        <w:t>后</w:t>
      </w:r>
      <w:r>
        <w:rPr>
          <w:rFonts w:hint="default" w:ascii="Times New Roman" w:hAnsi="Times New Roman" w:cs="Times New Roman"/>
          <w:color w:val="auto"/>
          <w:lang w:val="en-US" w:eastAsia="zh-CN"/>
        </w:rPr>
        <w:t>发酵处理</w:t>
      </w:r>
      <w:r>
        <w:rPr>
          <w:rFonts w:hint="default" w:ascii="Times New Roman" w:hAnsi="Times New Roman" w:cs="Times New Roman"/>
          <w:color w:val="auto"/>
        </w:rPr>
        <w:t>，做农肥还田，对地下水影响较小。</w:t>
      </w:r>
    </w:p>
    <w:p w14:paraId="37445FB4">
      <w:pPr>
        <w:pStyle w:val="16"/>
        <w:bidi w:val="0"/>
        <w:rPr>
          <w:rFonts w:hint="default" w:ascii="Times New Roman" w:hAnsi="Times New Roman" w:cs="Times New Roman"/>
          <w:color w:val="auto"/>
        </w:rPr>
      </w:pPr>
      <w:r>
        <w:rPr>
          <w:rFonts w:hint="default" w:ascii="Times New Roman" w:hAnsi="Times New Roman" w:cs="Times New Roman"/>
          <w:color w:val="FF0000"/>
          <w:lang w:val="en-US" w:eastAsia="zh-CN"/>
        </w:rPr>
        <w:t>综上所述，本项目规模养殖场氮养分配套土地面积649.52hm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，磷养分配套土地面积457.2hm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，北屯市有10万亩玉米（66670000hm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），项目周边拥有的土地面积大于需要的面积，因此本项目产生的粪污可以被周边农作物充分消纳。</w:t>
      </w:r>
    </w:p>
    <w:p w14:paraId="0B3ADB8A">
      <w:pPr>
        <w:pStyle w:val="5"/>
        <w:bidi w:val="0"/>
        <w:rPr>
          <w:rFonts w:hint="default" w:ascii="Times New Roman" w:hAnsi="Times New Roman" w:cs="Times New Roman"/>
          <w:color w:val="FF0000"/>
        </w:rPr>
      </w:pPr>
      <w:r>
        <w:rPr>
          <w:rFonts w:hint="default" w:ascii="Times New Roman" w:hAnsi="Times New Roman" w:cs="Times New Roman"/>
          <w:color w:val="FF0000"/>
        </w:rPr>
        <w:t>消毒剂泄漏风险影响分析</w:t>
      </w:r>
    </w:p>
    <w:p w14:paraId="17B68B5E">
      <w:pPr>
        <w:pStyle w:val="50"/>
        <w:rPr>
          <w:rFonts w:hint="default" w:ascii="Times New Roman" w:hAnsi="Times New Roman" w:cs="Times New Roman"/>
          <w:color w:val="FF0000"/>
        </w:rPr>
      </w:pPr>
      <w:r>
        <w:rPr>
          <w:rFonts w:hint="default" w:ascii="Times New Roman" w:hAnsi="Times New Roman" w:cs="Times New Roman"/>
          <w:color w:val="FF0000"/>
        </w:rPr>
        <w:t>项目运营期消毒剂含有过氧乙酸等风险物质，</w:t>
      </w:r>
      <w:r>
        <w:rPr>
          <w:rFonts w:hint="default" w:ascii="Times New Roman" w:hAnsi="Times New Roman" w:cs="Times New Roman"/>
          <w:color w:val="FF0000"/>
          <w:vertAlign w:val="baseline"/>
        </w:rPr>
        <w:t>过氧乙酸</w:t>
      </w:r>
      <w:r>
        <w:rPr>
          <w:rFonts w:hint="default" w:ascii="Times New Roman" w:hAnsi="Times New Roman" w:cs="Times New Roman"/>
          <w:color w:val="FF0000"/>
        </w:rPr>
        <w:t>为固态消毒剂，采用袋装，每袋重量小于400g，若发生破损泄漏，由于消毒剂单个包装容量很小，一般不会泄漏到周边环境，消毒剂储存点地面采取水泥硬化，对地下水、土壤影响很小。</w:t>
      </w:r>
    </w:p>
    <w:p w14:paraId="4FA18B85">
      <w:pPr>
        <w:pStyle w:val="5"/>
        <w:bidi w:val="0"/>
        <w:rPr>
          <w:rFonts w:hint="default" w:ascii="Times New Roman" w:hAnsi="Times New Roman" w:cs="Times New Roman"/>
          <w:color w:val="FF0000"/>
        </w:rPr>
      </w:pPr>
      <w:r>
        <w:rPr>
          <w:rFonts w:hint="default" w:ascii="Times New Roman" w:hAnsi="Times New Roman" w:cs="Times New Roman"/>
          <w:color w:val="FF0000"/>
          <w:lang w:val="en-US" w:eastAsia="zh-CN"/>
        </w:rPr>
        <w:t>医疗废物</w:t>
      </w:r>
      <w:r>
        <w:rPr>
          <w:rFonts w:hint="default" w:ascii="Times New Roman" w:hAnsi="Times New Roman" w:cs="Times New Roman"/>
          <w:color w:val="FF0000"/>
        </w:rPr>
        <w:t>洒落事故环境影响分析</w:t>
      </w:r>
    </w:p>
    <w:p w14:paraId="2C8D7698">
      <w:pPr>
        <w:pStyle w:val="50"/>
        <w:rPr>
          <w:rFonts w:hint="default" w:ascii="Times New Roman" w:hAnsi="Times New Roman" w:cs="Times New Roman"/>
          <w:color w:val="FF0000"/>
        </w:rPr>
      </w:pPr>
      <w:r>
        <w:rPr>
          <w:rFonts w:hint="default" w:ascii="Times New Roman" w:hAnsi="Times New Roman" w:cs="Times New Roman"/>
          <w:color w:val="FF0000"/>
        </w:rPr>
        <w:t>项目医疗废物主要为疫（菌）苗空瓶和抗生药物的瓶（袋）、动物药物废弃瓶（袋），均为固体物质，医疗废物正常贮存并在加强管理的条件下不会对周边环境产生太大影响。若医疗废物收集及贮存过程中失误操作或者管理不善，导致医疗废物洒落进入周边环境且未及时收集处置或者医疗废物临时贮存仓库漏雨，在雨水的长期冲刷下，医疗废物的冲刷物最后会进入土壤及地下水环境对其造成污染。</w:t>
      </w:r>
    </w:p>
    <w:p w14:paraId="1A004F2D">
      <w:pPr>
        <w:pStyle w:val="50"/>
        <w:rPr>
          <w:rFonts w:hint="default" w:ascii="Times New Roman" w:hAnsi="Times New Roman" w:cs="Times New Roman"/>
          <w:color w:val="FF0000"/>
        </w:rPr>
      </w:pPr>
      <w:r>
        <w:rPr>
          <w:rFonts w:hint="default" w:ascii="Times New Roman" w:hAnsi="Times New Roman" w:cs="Times New Roman"/>
          <w:color w:val="FF0000"/>
        </w:rPr>
        <w:t>项目按照相关规范建设了医疗废物堆场，并设置了防风、防雨、防晒及防渗等相关措施，项目运营过程中严格按照相关规范操作，并在加强管理的情况下不会对</w:t>
      </w:r>
      <w:r>
        <w:rPr>
          <w:rFonts w:hint="default" w:ascii="Times New Roman" w:hAnsi="Times New Roman" w:cs="Times New Roman"/>
          <w:color w:val="FF0000"/>
          <w:lang w:eastAsia="zh-CN"/>
        </w:rPr>
        <w:t>周边</w:t>
      </w:r>
      <w:r>
        <w:rPr>
          <w:rFonts w:hint="default" w:ascii="Times New Roman" w:hAnsi="Times New Roman" w:cs="Times New Roman"/>
          <w:color w:val="FF0000"/>
        </w:rPr>
        <w:t>环境产生太大影响。</w:t>
      </w:r>
    </w:p>
    <w:p w14:paraId="51822691">
      <w:pPr>
        <w:pStyle w:val="4"/>
        <w:bidi w:val="0"/>
        <w:rPr>
          <w:rFonts w:hint="default" w:ascii="Times New Roman" w:hAnsi="Times New Roman" w:eastAsia="宋体" w:cs="Times New Roman"/>
          <w:b/>
          <w:bCs/>
          <w:color w:val="auto"/>
          <w:lang w:val="en-US" w:eastAsia="zh-CN"/>
        </w:rPr>
      </w:pPr>
      <w:bookmarkStart w:id="136" w:name="_Toc30862"/>
      <w:bookmarkStart w:id="137" w:name="_Toc20107"/>
      <w:bookmarkStart w:id="138" w:name="_Toc23874"/>
      <w:bookmarkStart w:id="139" w:name="_Toc15696"/>
      <w:bookmarkStart w:id="140" w:name="_Toc18741"/>
      <w:bookmarkStart w:id="141" w:name="_Toc4372"/>
      <w:r>
        <w:rPr>
          <w:rFonts w:hint="default" w:ascii="Times New Roman" w:hAnsi="Times New Roman" w:eastAsia="宋体" w:cs="Times New Roman"/>
          <w:b/>
          <w:bCs/>
          <w:color w:val="auto"/>
          <w:lang w:val="en-US" w:eastAsia="zh-CN"/>
        </w:rPr>
        <w:t>风险事故防范措施</w:t>
      </w:r>
      <w:bookmarkEnd w:id="134"/>
      <w:bookmarkEnd w:id="135"/>
      <w:bookmarkEnd w:id="136"/>
      <w:bookmarkEnd w:id="137"/>
      <w:bookmarkEnd w:id="138"/>
      <w:bookmarkEnd w:id="139"/>
      <w:bookmarkEnd w:id="140"/>
      <w:bookmarkEnd w:id="141"/>
    </w:p>
    <w:p w14:paraId="00B72B05">
      <w:pPr>
        <w:pStyle w:val="62"/>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在养殖场生产中应坚持“防病重于治病”的方针，防止和消灭疾病，特别是传染病、代谢病，使</w:t>
      </w:r>
      <w:r>
        <w:rPr>
          <w:rFonts w:hint="default" w:ascii="Times New Roman" w:hAnsi="Times New Roman" w:cs="Times New Roman"/>
          <w:color w:val="auto"/>
          <w:sz w:val="24"/>
          <w:szCs w:val="24"/>
          <w:lang w:eastAsia="zh-CN"/>
        </w:rPr>
        <w:t>鸡</w:t>
      </w:r>
      <w:r>
        <w:rPr>
          <w:rFonts w:hint="default" w:ascii="Times New Roman" w:hAnsi="Times New Roman" w:eastAsia="宋体" w:cs="Times New Roman"/>
          <w:color w:val="auto"/>
          <w:sz w:val="24"/>
          <w:szCs w:val="24"/>
        </w:rPr>
        <w:t>更好地发挥生长性能，提高养殖场的经济效益。</w:t>
      </w:r>
    </w:p>
    <w:p w14:paraId="16FF656F">
      <w:pPr>
        <w:pStyle w:val="5"/>
        <w:bidi w:val="0"/>
        <w:rPr>
          <w:rFonts w:hint="default" w:ascii="Times New Roman" w:hAnsi="Times New Roman" w:cs="Times New Roman"/>
          <w:lang w:val="zh-CN"/>
        </w:rPr>
      </w:pPr>
      <w:r>
        <w:rPr>
          <w:rFonts w:hint="default" w:ascii="Times New Roman" w:hAnsi="Times New Roman" w:cs="Times New Roman"/>
          <w:lang w:val="zh-CN" w:eastAsia="zh-CN"/>
        </w:rPr>
        <w:t>养鸡场疾病及疫情事故风险防范措施</w:t>
      </w:r>
    </w:p>
    <w:p w14:paraId="46E4E1B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首先要树立“防疫至上”的理念，将防疫工作始终作为整个场区生产管理的生命线；其次要健全管理制度，防患于未然，制订内部疾病的净化流程，同时，建立饲料采购供应制度和疾病检测制度及危机处理制度，尽最大可能减少疫病发生概率并杜绝病鸡流入市场；再次要加大硬件投入，高标准做好卫生防疫工作；最后要加强技术研究，为防范疫病风险提供保障，在加强有效管理的同时加强与国内外牲畜疫病研究机构的合作，为疫病控制防范提供强有力的技术支撑，大幅度降低疾病发生所带来的风险。</w:t>
      </w:r>
    </w:p>
    <w:p w14:paraId="76E76D6F">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养鸡场应定期检查鸡群健康状况，做到及时发现、及时隔离、及时救治，严格控制疾病大面积传播。病死鸡只要及时进行无害化处理，严禁随意丢弃，严禁出售或作为饲料再利用。一旦发现死鸡，首先，立即进行隔离，并且应当立即报告当地动物防疫监督机构，并做好临时看管工作。不得随意处置及出售、转运、加工和食用。动物防疫监督机构到达现场后，应当采集病料，调查疫源，划定疫点、疫区、受威胁区。发生人畜共患病的，应当及时通报卫生行政管理部门。需对疫点、疫区实行封锁的，应当及时报请同级人民政府发布封锁令。经诊断分析，能确定死亡病因的，应按照国家相应动物疫病防治技术规范的规定，由动物防疫监督机构组织按照《畜禽养殖业污染防治技术规范》（HJ/T81-2001)、《畜禽养殖业污染治理工程技术规范》（HJ49-2009)和《病害动物和病害动物产品生物安全处理规程》（GB16548-2006）规定进行无害化处置。</w:t>
      </w:r>
    </w:p>
    <w:p w14:paraId="3360ED3F">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①</w:t>
      </w:r>
      <w:r>
        <w:rPr>
          <w:rFonts w:hint="default" w:ascii="Times New Roman" w:hAnsi="Times New Roman" w:cs="Times New Roman"/>
          <w:color w:val="auto"/>
          <w:sz w:val="24"/>
          <w:lang w:val="en-US" w:eastAsia="zh-CN"/>
        </w:rPr>
        <w:t>消灭病原</w:t>
      </w:r>
    </w:p>
    <w:p w14:paraId="401A25A6">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搞好饲养场内环境卫生，及时清扫鸡的排泄物、饲料残渣等污物；定期消毒，定时更换消毒药，人员、车辆出入以及饲养管理人员工作时执行严格的消毒制度。</w:t>
      </w:r>
    </w:p>
    <w:p w14:paraId="76C12E7D">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②</w:t>
      </w:r>
      <w:r>
        <w:rPr>
          <w:rFonts w:hint="default" w:ascii="Times New Roman" w:hAnsi="Times New Roman" w:cs="Times New Roman"/>
          <w:color w:val="auto"/>
          <w:sz w:val="24"/>
          <w:lang w:val="en-US" w:eastAsia="zh-CN"/>
        </w:rPr>
        <w:t>切断传播途径</w:t>
      </w:r>
    </w:p>
    <w:p w14:paraId="17BAE54D">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养殖场设有隔离舍，健康动物饲养必须做到进出通道、排泄物等污物、饲养空间的绝对隔离。发现有病动物及时送入隔离舍处置。消灭蚊、蝇、鼠等害虫。</w:t>
      </w:r>
    </w:p>
    <w:p w14:paraId="5655924D">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③</w:t>
      </w:r>
      <w:r>
        <w:rPr>
          <w:rFonts w:hint="default" w:ascii="Times New Roman" w:hAnsi="Times New Roman" w:cs="Times New Roman"/>
          <w:color w:val="auto"/>
          <w:sz w:val="24"/>
          <w:lang w:val="en-US" w:eastAsia="zh-CN"/>
        </w:rPr>
        <w:t>适时、有针对性地开展免疫效果、病原学检测</w:t>
      </w:r>
    </w:p>
    <w:p w14:paraId="79918C1C">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疫苗质量、隐性感染无法直观判断，因此实验室检测显得尤为重要，要把免疫效果、病原学检测放在动物防疫的突出位置，适时、有针对性地开展免疫效果、病原学检测，及时发现防疫漏洞，及时补救，是防患于未然的根本。</w:t>
      </w:r>
    </w:p>
    <w:p w14:paraId="7285515B">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④</w:t>
      </w:r>
      <w:r>
        <w:rPr>
          <w:rFonts w:hint="default" w:ascii="Times New Roman" w:hAnsi="Times New Roman" w:cs="Times New Roman"/>
          <w:color w:val="auto"/>
          <w:sz w:val="24"/>
          <w:lang w:val="en-US" w:eastAsia="zh-CN"/>
        </w:rPr>
        <w:t>改变使用抗生素作为饲料添加剂的做法，预防可使用益生菌制剂。</w:t>
      </w:r>
    </w:p>
    <w:p w14:paraId="2219F77D">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⑤</w:t>
      </w:r>
      <w:r>
        <w:rPr>
          <w:rFonts w:hint="default" w:ascii="Times New Roman" w:hAnsi="Times New Roman" w:cs="Times New Roman"/>
          <w:color w:val="auto"/>
          <w:sz w:val="24"/>
          <w:lang w:val="en-US" w:eastAsia="zh-CN"/>
        </w:rPr>
        <w:t>把好免疫关、保证免疫质量坚持从正规渠道进疫苗，运输、保存过程一定具备相应的条件，不使用过期疫苗；接种时，疫苗稀释比例、接种途径、剂量、部位要准确，稀释均匀，避免阳光照射。</w:t>
      </w:r>
    </w:p>
    <w:p w14:paraId="46FD4E37">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⑥</w:t>
      </w:r>
      <w:r>
        <w:rPr>
          <w:rFonts w:hint="default" w:ascii="Times New Roman" w:hAnsi="Times New Roman" w:cs="Times New Roman"/>
          <w:color w:val="auto"/>
          <w:sz w:val="24"/>
          <w:lang w:val="en-US" w:eastAsia="zh-CN"/>
        </w:rPr>
        <w:t>隔离病鸡，扑杀病鸡，消灭传染源</w:t>
      </w:r>
    </w:p>
    <w:p w14:paraId="502276F8">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对于病鸡可根据疫病的性质来决定：A高传染性疾病，这些病鸡应坚决扑杀，深埋。深埋地必须远离水源，坑底部撒上石灰或火碱。B对于死亡率不是很高的疾病，病鸡及时予以隔离，并采取相应的预防与治疗措施。</w:t>
      </w:r>
    </w:p>
    <w:p w14:paraId="671F4B9E">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⑦</w:t>
      </w:r>
      <w:r>
        <w:rPr>
          <w:rFonts w:hint="default" w:ascii="Times New Roman" w:hAnsi="Times New Roman" w:cs="Times New Roman"/>
          <w:color w:val="auto"/>
          <w:sz w:val="24"/>
          <w:lang w:val="en-US" w:eastAsia="zh-CN"/>
        </w:rPr>
        <w:t>实行全群人员戒严，对全群进行大消毒，切断传播途径</w:t>
      </w:r>
    </w:p>
    <w:p w14:paraId="693F8009">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疾病的传播有直接接触传染和间接传染，直接传染是健康动物和被感染动物直接接触感染，间接感染则有媒介完成控制手段有：</w:t>
      </w:r>
    </w:p>
    <w:p w14:paraId="5C927D7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A.对全体人员实行戒严不得随意窜舍和混用其他舍得工具。B.全群实行大消毒。C.合理的消毒程序。D.疫情期间不得用水冲粪。</w:t>
      </w:r>
    </w:p>
    <w:p w14:paraId="7275D31A">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⑧</w:t>
      </w:r>
      <w:r>
        <w:rPr>
          <w:rFonts w:hint="default" w:ascii="Times New Roman" w:hAnsi="Times New Roman" w:cs="Times New Roman"/>
          <w:color w:val="auto"/>
          <w:sz w:val="24"/>
          <w:lang w:val="en-US" w:eastAsia="zh-CN"/>
        </w:rPr>
        <w:t>采取综合措施，提高鸡的抵抗力，减少易感性</w:t>
      </w:r>
    </w:p>
    <w:p w14:paraId="6A86CD44">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对未发病鸡舍按发病病原紧急接种预防，一般紧急接种时用量要加大，紧急接种时时间要快。2）也可在饮水中进行药物治疗和疾病预防，药物添加时按病原而定。3）对于没有治疗价值的应及时予以处理和淘汰和隔离。4）病鸡治疗采取积极疗法和辅助疗法相结合。细菌感染有条件最好做药敏试验选择最佳抗生素。</w:t>
      </w:r>
    </w:p>
    <w:p w14:paraId="7F3E267C">
      <w:pPr>
        <w:pStyle w:val="5"/>
        <w:bidi w:val="0"/>
        <w:rPr>
          <w:rFonts w:hint="default" w:ascii="Times New Roman" w:hAnsi="Times New Roman" w:cs="Times New Roman"/>
          <w:lang w:val="zh-CN"/>
        </w:rPr>
      </w:pPr>
      <w:r>
        <w:rPr>
          <w:rFonts w:hint="default" w:ascii="Times New Roman" w:hAnsi="Times New Roman" w:cs="Times New Roman"/>
          <w:lang w:val="zh-CN" w:eastAsia="zh-CN"/>
        </w:rPr>
        <w:t>恶臭污染风险防范措施</w:t>
      </w:r>
    </w:p>
    <w:p w14:paraId="59A58190">
      <w:pPr>
        <w:spacing w:line="360" w:lineRule="auto"/>
        <w:ind w:firstLine="480" w:firstLineChars="200"/>
        <w:rPr>
          <w:rFonts w:hint="default" w:ascii="Times New Roman" w:hAnsi="Times New Roman" w:eastAsia="宋体" w:cs="Times New Roman"/>
          <w:color w:val="auto"/>
          <w:sz w:val="24"/>
          <w:lang w:val="zh-CN" w:eastAsia="zh-CN"/>
        </w:rPr>
      </w:pPr>
      <w:r>
        <w:rPr>
          <w:rFonts w:hint="default" w:ascii="Times New Roman" w:hAnsi="Times New Roman" w:eastAsia="宋体" w:cs="Times New Roman"/>
          <w:color w:val="auto"/>
          <w:sz w:val="24"/>
          <w:lang w:val="zh-CN" w:eastAsia="zh-CN"/>
        </w:rPr>
        <w:t>①鸡舍粪便及时清运至</w:t>
      </w:r>
      <w:r>
        <w:rPr>
          <w:rFonts w:hint="default" w:ascii="Times New Roman" w:hAnsi="Times New Roman" w:eastAsia="宋体" w:cs="Times New Roman"/>
          <w:color w:val="auto"/>
          <w:sz w:val="24"/>
          <w:highlight w:val="none"/>
          <w:lang w:val="en-US" w:eastAsia="zh-CN"/>
        </w:rPr>
        <w:t>鸡粪发酵处理场</w:t>
      </w:r>
      <w:r>
        <w:rPr>
          <w:rFonts w:hint="default" w:ascii="Times New Roman" w:hAnsi="Times New Roman" w:eastAsia="宋体" w:cs="Times New Roman"/>
          <w:color w:val="auto"/>
          <w:sz w:val="24"/>
          <w:lang w:val="zh-CN" w:eastAsia="zh-CN"/>
        </w:rPr>
        <w:t>，做到日产日清。</w:t>
      </w:r>
    </w:p>
    <w:p w14:paraId="609A4D5E">
      <w:pPr>
        <w:spacing w:line="360" w:lineRule="auto"/>
        <w:ind w:firstLine="480" w:firstLineChars="200"/>
        <w:rPr>
          <w:rFonts w:hint="default" w:ascii="Times New Roman" w:hAnsi="Times New Roman" w:eastAsia="宋体" w:cs="Times New Roman"/>
          <w:color w:val="auto"/>
          <w:sz w:val="24"/>
          <w:lang w:val="zh-CN" w:eastAsia="zh-CN"/>
        </w:rPr>
      </w:pPr>
      <w:r>
        <w:rPr>
          <w:rFonts w:hint="default" w:ascii="Times New Roman" w:hAnsi="Times New Roman" w:eastAsia="宋体" w:cs="Times New Roman"/>
          <w:color w:val="auto"/>
          <w:sz w:val="24"/>
          <w:lang w:val="zh-CN" w:eastAsia="zh-CN"/>
        </w:rPr>
        <w:t>②科学合理调控饲粮，同时加强鸡场环境综合管理。</w:t>
      </w:r>
    </w:p>
    <w:p w14:paraId="14ADA724">
      <w:pPr>
        <w:spacing w:line="360" w:lineRule="auto"/>
        <w:ind w:firstLine="480" w:firstLineChars="200"/>
        <w:rPr>
          <w:rFonts w:hint="default" w:ascii="Times New Roman" w:hAnsi="Times New Roman" w:eastAsia="宋体" w:cs="Times New Roman"/>
          <w:color w:val="auto"/>
          <w:sz w:val="24"/>
          <w:lang w:val="zh-CN" w:eastAsia="zh-CN"/>
        </w:rPr>
      </w:pPr>
      <w:r>
        <w:rPr>
          <w:rFonts w:hint="default" w:ascii="Times New Roman" w:hAnsi="Times New Roman" w:eastAsia="宋体" w:cs="Times New Roman"/>
          <w:color w:val="auto"/>
          <w:sz w:val="24"/>
          <w:lang w:val="zh-CN" w:eastAsia="zh-CN"/>
        </w:rPr>
        <w:t>③对</w:t>
      </w:r>
      <w:r>
        <w:rPr>
          <w:rFonts w:hint="default" w:ascii="Times New Roman" w:hAnsi="Times New Roman" w:eastAsia="宋体" w:cs="Times New Roman"/>
          <w:color w:val="auto"/>
          <w:sz w:val="24"/>
          <w:lang w:val="en-US" w:eastAsia="zh-CN"/>
        </w:rPr>
        <w:t>鸡粪发酵处理场</w:t>
      </w:r>
      <w:r>
        <w:rPr>
          <w:rFonts w:hint="default" w:ascii="Times New Roman" w:hAnsi="Times New Roman" w:eastAsia="宋体" w:cs="Times New Roman"/>
          <w:color w:val="auto"/>
          <w:sz w:val="24"/>
          <w:lang w:val="zh-CN" w:eastAsia="zh-CN"/>
        </w:rPr>
        <w:t>定期喷洒除臭剂。</w:t>
      </w:r>
    </w:p>
    <w:p w14:paraId="549D3E66">
      <w:pPr>
        <w:spacing w:line="360" w:lineRule="auto"/>
        <w:ind w:firstLine="480" w:firstLineChars="200"/>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color w:val="auto"/>
          <w:sz w:val="24"/>
          <w:lang w:val="zh-CN" w:eastAsia="zh-CN"/>
        </w:rPr>
        <w:t>④加强厂区绿化，并及时清扫厂区道路，定期洒水抑尘。</w:t>
      </w:r>
    </w:p>
    <w:p w14:paraId="2775B6D6">
      <w:pPr>
        <w:pStyle w:val="5"/>
        <w:bidi w:val="0"/>
        <w:rPr>
          <w:rFonts w:hint="default" w:ascii="Times New Roman" w:hAnsi="Times New Roman" w:cs="Times New Roman"/>
        </w:rPr>
      </w:pPr>
      <w:r>
        <w:rPr>
          <w:rFonts w:hint="default" w:ascii="Times New Roman" w:hAnsi="Times New Roman" w:cs="Times New Roman"/>
        </w:rPr>
        <w:t>饲料仓储火灾风险防范措施</w:t>
      </w:r>
    </w:p>
    <w:p w14:paraId="2F37A5BD">
      <w:pPr>
        <w:pStyle w:val="16"/>
        <w:bidi w:val="0"/>
        <w:rPr>
          <w:rFonts w:hint="default" w:ascii="Times New Roman" w:hAnsi="Times New Roman" w:cs="Times New Roman"/>
          <w:color w:val="auto"/>
        </w:rPr>
      </w:pPr>
      <w:r>
        <w:rPr>
          <w:rFonts w:hint="default" w:ascii="Times New Roman" w:hAnsi="Times New Roman" w:cs="Times New Roman"/>
          <w:color w:val="auto"/>
        </w:rPr>
        <w:t>①仓储区应有专职保管员，仓储区内物资排列有序，易燃物品与其他物品应分开保管。</w:t>
      </w:r>
    </w:p>
    <w:p w14:paraId="5AB76D94">
      <w:pPr>
        <w:pStyle w:val="16"/>
        <w:bidi w:val="0"/>
        <w:rPr>
          <w:rFonts w:hint="default" w:ascii="Times New Roman" w:hAnsi="Times New Roman" w:cs="Times New Roman"/>
          <w:color w:val="auto"/>
        </w:rPr>
      </w:pPr>
      <w:r>
        <w:rPr>
          <w:rFonts w:hint="default" w:ascii="Times New Roman" w:hAnsi="Times New Roman" w:cs="Times New Roman"/>
          <w:color w:val="auto"/>
        </w:rPr>
        <w:t>②仓储区必须配备灭火器、消防锹等消防器材，悬挂防火标志。</w:t>
      </w:r>
    </w:p>
    <w:p w14:paraId="79CDEDD7">
      <w:pPr>
        <w:pStyle w:val="16"/>
        <w:bidi w:val="0"/>
        <w:rPr>
          <w:rFonts w:hint="default" w:ascii="Times New Roman" w:hAnsi="Times New Roman" w:cs="Times New Roman"/>
          <w:color w:val="auto"/>
        </w:rPr>
      </w:pPr>
      <w:r>
        <w:rPr>
          <w:rFonts w:hint="default" w:ascii="Times New Roman" w:hAnsi="Times New Roman" w:cs="Times New Roman"/>
          <w:color w:val="auto"/>
        </w:rPr>
        <w:t>③仓储区内严禁吸烟，禁止带火种进入。</w:t>
      </w:r>
    </w:p>
    <w:p w14:paraId="33A5F3D9">
      <w:pPr>
        <w:pStyle w:val="16"/>
        <w:bidi w:val="0"/>
        <w:rPr>
          <w:rFonts w:hint="default" w:ascii="Times New Roman" w:hAnsi="Times New Roman" w:cs="Times New Roman"/>
          <w:color w:val="auto"/>
        </w:rPr>
      </w:pPr>
      <w:r>
        <w:rPr>
          <w:rFonts w:hint="default" w:ascii="Times New Roman" w:hAnsi="Times New Roman" w:cs="Times New Roman"/>
          <w:color w:val="auto"/>
        </w:rPr>
        <w:t>④仓储区内严禁住人，禁止使用电炉等大功率电器，严禁动火。</w:t>
      </w:r>
    </w:p>
    <w:p w14:paraId="02A0CE0E">
      <w:pPr>
        <w:pStyle w:val="16"/>
        <w:bidi w:val="0"/>
        <w:rPr>
          <w:rFonts w:hint="default" w:ascii="Times New Roman" w:hAnsi="Times New Roman" w:cs="Times New Roman"/>
          <w:color w:val="auto"/>
        </w:rPr>
      </w:pPr>
      <w:r>
        <w:rPr>
          <w:rFonts w:hint="default" w:ascii="Times New Roman" w:hAnsi="Times New Roman" w:cs="Times New Roman"/>
          <w:color w:val="auto"/>
        </w:rPr>
        <w:t>⑤仓储区指定消防负责人，成立义务消防组织，挂牌上墙。</w:t>
      </w:r>
    </w:p>
    <w:p w14:paraId="05579E59">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200" w:right="-11" w:right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饲料仓储火灾扑救对策</w:t>
      </w:r>
    </w:p>
    <w:p w14:paraId="615BD3F6">
      <w:pPr>
        <w:pStyle w:val="16"/>
        <w:bidi w:val="0"/>
        <w:rPr>
          <w:rFonts w:hint="default" w:ascii="Times New Roman" w:hAnsi="Times New Roman" w:cs="Times New Roman"/>
          <w:color w:val="auto"/>
        </w:rPr>
      </w:pPr>
      <w:r>
        <w:rPr>
          <w:rFonts w:hint="default" w:ascii="Times New Roman" w:hAnsi="Times New Roman" w:cs="Times New Roman"/>
          <w:color w:val="auto"/>
        </w:rPr>
        <w:t>根据饲料仓储火灾的特点，在进行火灾扑救时，要坚持速战速决和集中兵力打歼灭战的指导思想，灵活应用“先控制、后消灭”的战术。</w:t>
      </w:r>
    </w:p>
    <w:p w14:paraId="29E85BA6">
      <w:pPr>
        <w:pStyle w:val="16"/>
        <w:bidi w:val="0"/>
        <w:rPr>
          <w:rFonts w:hint="default" w:ascii="Times New Roman" w:hAnsi="Times New Roman" w:cs="Times New Roman"/>
          <w:color w:val="auto"/>
        </w:rPr>
      </w:pPr>
      <w:r>
        <w:rPr>
          <w:rFonts w:hint="default" w:ascii="Times New Roman" w:hAnsi="Times New Roman" w:cs="Times New Roman"/>
          <w:color w:val="auto"/>
        </w:rPr>
        <w:t>注重以最快的速度投入灭火战斗、集中兵力于火场，集中兵力于火场的主要方面，用最短的时间将火扑灭的战术原则贯穿于扑救火灾过程的始终。</w:t>
      </w:r>
    </w:p>
    <w:p w14:paraId="3F1773CD">
      <w:pPr>
        <w:pStyle w:val="16"/>
        <w:bidi w:val="0"/>
        <w:rPr>
          <w:rFonts w:hint="default" w:ascii="Times New Roman" w:hAnsi="Times New Roman" w:cs="Times New Roman"/>
          <w:color w:val="auto"/>
        </w:rPr>
      </w:pPr>
      <w:r>
        <w:rPr>
          <w:rFonts w:hint="default" w:ascii="Times New Roman" w:hAnsi="Times New Roman" w:cs="Times New Roman"/>
          <w:color w:val="auto"/>
        </w:rPr>
        <w:t>㈠火情侦察</w:t>
      </w:r>
    </w:p>
    <w:p w14:paraId="6FB86CCE">
      <w:pPr>
        <w:pStyle w:val="16"/>
        <w:bidi w:val="0"/>
        <w:rPr>
          <w:rFonts w:hint="default" w:ascii="Times New Roman" w:hAnsi="Times New Roman" w:cs="Times New Roman"/>
          <w:color w:val="auto"/>
        </w:rPr>
      </w:pPr>
      <w:r>
        <w:rPr>
          <w:rFonts w:hint="default" w:ascii="Times New Roman" w:hAnsi="Times New Roman" w:cs="Times New Roman"/>
          <w:color w:val="auto"/>
        </w:rPr>
        <w:t>消防人员到达现场后，要重点查明：</w:t>
      </w:r>
    </w:p>
    <w:p w14:paraId="566D82DE">
      <w:pPr>
        <w:pStyle w:val="16"/>
        <w:bidi w:val="0"/>
        <w:rPr>
          <w:rFonts w:hint="default" w:ascii="Times New Roman" w:hAnsi="Times New Roman" w:cs="Times New Roman"/>
          <w:color w:val="auto"/>
        </w:rPr>
      </w:pPr>
      <w:r>
        <w:rPr>
          <w:rFonts w:hint="default" w:ascii="Times New Roman" w:hAnsi="Times New Roman" w:cs="Times New Roman"/>
          <w:color w:val="auto"/>
        </w:rPr>
        <w:t>①起火仓储区有无人员被困，如果有人被困，必须立即组织精干力量，突破烟雾封锁，深入火场内部，将被困人员迅速抢救出来。</w:t>
      </w:r>
    </w:p>
    <w:p w14:paraId="7234718B">
      <w:pPr>
        <w:pStyle w:val="16"/>
        <w:bidi w:val="0"/>
        <w:rPr>
          <w:rFonts w:hint="default" w:ascii="Times New Roman" w:hAnsi="Times New Roman" w:cs="Times New Roman"/>
          <w:color w:val="auto"/>
        </w:rPr>
      </w:pPr>
      <w:r>
        <w:rPr>
          <w:rFonts w:hint="default" w:ascii="Times New Roman" w:hAnsi="Times New Roman" w:cs="Times New Roman"/>
          <w:color w:val="auto"/>
        </w:rPr>
        <w:t>②起火仓储区的基本情况，燃烧位置、深度以及火势蔓延的方向。</w:t>
      </w:r>
    </w:p>
    <w:p w14:paraId="3C842AB1">
      <w:pPr>
        <w:pStyle w:val="16"/>
        <w:bidi w:val="0"/>
        <w:rPr>
          <w:rFonts w:hint="default" w:ascii="Times New Roman" w:hAnsi="Times New Roman" w:cs="Times New Roman"/>
          <w:color w:val="auto"/>
        </w:rPr>
      </w:pPr>
      <w:r>
        <w:rPr>
          <w:rFonts w:hint="default" w:ascii="Times New Roman" w:hAnsi="Times New Roman" w:cs="Times New Roman"/>
          <w:color w:val="auto"/>
        </w:rPr>
        <w:t>③毗邻仓储区的储存情况。</w:t>
      </w:r>
    </w:p>
    <w:p w14:paraId="43092032">
      <w:pPr>
        <w:pStyle w:val="16"/>
        <w:bidi w:val="0"/>
        <w:rPr>
          <w:rFonts w:hint="default" w:ascii="Times New Roman" w:hAnsi="Times New Roman" w:cs="Times New Roman"/>
          <w:color w:val="auto"/>
        </w:rPr>
      </w:pPr>
      <w:r>
        <w:rPr>
          <w:rFonts w:hint="default" w:ascii="Times New Roman" w:hAnsi="Times New Roman" w:cs="Times New Roman"/>
          <w:color w:val="auto"/>
        </w:rPr>
        <w:t>④起火仓储区的电器设备情况，供电是否已被切断。</w:t>
      </w:r>
    </w:p>
    <w:p w14:paraId="1AC9BAB6">
      <w:pPr>
        <w:pStyle w:val="16"/>
        <w:bidi w:val="0"/>
        <w:rPr>
          <w:rFonts w:hint="default" w:ascii="Times New Roman" w:hAnsi="Times New Roman" w:cs="Times New Roman"/>
          <w:color w:val="auto"/>
        </w:rPr>
      </w:pPr>
      <w:r>
        <w:rPr>
          <w:rFonts w:hint="default" w:ascii="Times New Roman" w:hAnsi="Times New Roman" w:cs="Times New Roman"/>
          <w:color w:val="auto"/>
        </w:rPr>
        <w:t>⑤仓储区可供使用的水源情况。</w:t>
      </w:r>
    </w:p>
    <w:p w14:paraId="799F16D0">
      <w:pPr>
        <w:pStyle w:val="16"/>
        <w:bidi w:val="0"/>
        <w:rPr>
          <w:rFonts w:hint="default" w:ascii="Times New Roman" w:hAnsi="Times New Roman" w:cs="Times New Roman"/>
          <w:color w:val="auto"/>
        </w:rPr>
      </w:pPr>
      <w:r>
        <w:rPr>
          <w:rFonts w:hint="default" w:ascii="Times New Roman" w:hAnsi="Times New Roman" w:cs="Times New Roman"/>
          <w:color w:val="auto"/>
        </w:rPr>
        <w:t>㈡灭火战斗</w:t>
      </w:r>
    </w:p>
    <w:p w14:paraId="66463056">
      <w:pPr>
        <w:pStyle w:val="16"/>
        <w:bidi w:val="0"/>
        <w:rPr>
          <w:rFonts w:hint="default" w:ascii="Times New Roman" w:hAnsi="Times New Roman" w:cs="Times New Roman"/>
          <w:color w:val="auto"/>
        </w:rPr>
      </w:pPr>
      <w:r>
        <w:rPr>
          <w:rFonts w:hint="default" w:ascii="Times New Roman" w:hAnsi="Times New Roman" w:cs="Times New Roman"/>
          <w:color w:val="auto"/>
        </w:rPr>
        <w:t>①进入火场的消防人员，必须穿防火服，</w:t>
      </w:r>
      <w:r>
        <w:rPr>
          <w:rFonts w:hint="default" w:ascii="Times New Roman" w:hAnsi="Times New Roman" w:cs="Times New Roman"/>
          <w:color w:val="auto"/>
          <w:lang w:eastAsia="zh-CN"/>
        </w:rPr>
        <w:t>佩戴</w:t>
      </w:r>
      <w:r>
        <w:rPr>
          <w:rFonts w:hint="default" w:ascii="Times New Roman" w:hAnsi="Times New Roman" w:cs="Times New Roman"/>
          <w:color w:val="auto"/>
        </w:rPr>
        <w:t>空气呼吸器或防毒面具，携带照明、通讯工具，防止一氧化碳、二氧化碳等有害气体中毒而发生意外伤亡，并调足力量攻防并举，向燃烧猛烈部位组织强攻；对靠近燃烧点受到火势威胁的库房，要调派水枪设防保护，以防引燃。</w:t>
      </w:r>
    </w:p>
    <w:p w14:paraId="25260F82">
      <w:pPr>
        <w:pStyle w:val="16"/>
        <w:bidi w:val="0"/>
        <w:rPr>
          <w:rFonts w:hint="default" w:ascii="Times New Roman" w:hAnsi="Times New Roman" w:cs="Times New Roman"/>
          <w:color w:val="auto"/>
          <w:lang w:val="zh-CN" w:eastAsia="zh-CN"/>
        </w:rPr>
      </w:pPr>
      <w:r>
        <w:rPr>
          <w:rFonts w:hint="default" w:ascii="Times New Roman" w:hAnsi="Times New Roman" w:cs="Times New Roman"/>
          <w:color w:val="auto"/>
        </w:rPr>
        <w:t>②针对不同火情组织进攻。对初期局部火灾，不宜盲目射水，必须组织精兵深入内攻，重点突破。对发展阶段的火灾。应组织力量上下阻截，防止火势蔓延。可先用直流水枪压住火势，然后改用开花或喷雾水枪穿插分割，近战灭火。</w:t>
      </w:r>
    </w:p>
    <w:p w14:paraId="71B755B5">
      <w:pPr>
        <w:pStyle w:val="5"/>
        <w:bidi w:val="0"/>
        <w:rPr>
          <w:rFonts w:hint="default" w:ascii="Times New Roman" w:hAnsi="Times New Roman" w:cs="Times New Roman"/>
          <w:lang w:val="zh-CN"/>
        </w:rPr>
      </w:pPr>
      <w:r>
        <w:rPr>
          <w:rFonts w:hint="default" w:ascii="Times New Roman" w:hAnsi="Times New Roman" w:cs="Times New Roman"/>
          <w:lang w:val="zh-CN" w:eastAsia="zh-CN"/>
        </w:rPr>
        <w:t>废水事故性排放环境风险防范措施</w:t>
      </w:r>
    </w:p>
    <w:p w14:paraId="2C00FB5B">
      <w:pPr>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eastAsia="zh-CN"/>
        </w:rPr>
        <w:t>为了降低项目废水对周边水体的影响，环评要求建设单位在营运过程中应严格管理，禁止违规操作，保证</w:t>
      </w:r>
      <w:r>
        <w:rPr>
          <w:rFonts w:hint="default" w:ascii="Times New Roman" w:hAnsi="Times New Roman" w:cs="Times New Roman"/>
          <w:color w:val="auto"/>
          <w:sz w:val="24"/>
          <w:lang w:val="en-US" w:eastAsia="zh-CN"/>
        </w:rPr>
        <w:t>废水收集系统及收集池</w:t>
      </w:r>
      <w:r>
        <w:rPr>
          <w:rFonts w:hint="default" w:ascii="Times New Roman" w:hAnsi="Times New Roman" w:cs="Times New Roman"/>
          <w:color w:val="auto"/>
          <w:sz w:val="24"/>
          <w:lang w:val="zh-CN" w:eastAsia="zh-CN"/>
        </w:rPr>
        <w:t>正常运行，并定期对其进行检修，防止渗漏并做好相应的防范措施；如发现管网系统破损、失效等现象，应立即采取措施进行修理，必要时停产检修，在检修过程中废水引至事故污水收集池暂存，严禁外排；待修理完成能正常运行后，方能继续生产。杜绝事故排放的发生，确保项目经过处理后回用，不外排。</w:t>
      </w:r>
    </w:p>
    <w:p w14:paraId="15C6D74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企业在正常情况下，废水收集系统、废水收集池、</w:t>
      </w:r>
      <w:r>
        <w:rPr>
          <w:rFonts w:hint="default" w:ascii="Times New Roman" w:hAnsi="Times New Roman" w:cs="Times New Roman"/>
          <w:color w:val="auto"/>
          <w:sz w:val="24"/>
          <w:highlight w:val="none"/>
          <w:lang w:val="en-US" w:eastAsia="zh-CN"/>
        </w:rPr>
        <w:t>鸡粪发酵处理场、医</w:t>
      </w:r>
      <w:r>
        <w:rPr>
          <w:rFonts w:hint="default" w:ascii="Times New Roman" w:hAnsi="Times New Roman" w:cs="Times New Roman"/>
          <w:color w:val="auto"/>
          <w:sz w:val="24"/>
          <w:lang w:val="en-US" w:eastAsia="zh-CN"/>
        </w:rPr>
        <w:t>疗废物暂存间均采取了妥善的防渗措施，在发生事故的情况下，企业设有地下水监测措施，在发现特征污染物出现变化时（COD或氨氮），及时对废水收集设施和收集池进行补漏，从而有效缓解项目可能对地下水造成的污染。</w:t>
      </w:r>
    </w:p>
    <w:p w14:paraId="3F672D66">
      <w:pPr>
        <w:pStyle w:val="4"/>
        <w:bidi w:val="0"/>
        <w:rPr>
          <w:rFonts w:hint="default" w:ascii="Times New Roman" w:hAnsi="Times New Roman" w:cs="Times New Roman"/>
          <w:lang w:val="en-US"/>
        </w:rPr>
      </w:pPr>
      <w:r>
        <w:rPr>
          <w:rFonts w:hint="default" w:ascii="Times New Roman" w:hAnsi="Times New Roman" w:cs="Times New Roman"/>
          <w:lang w:val="en-US"/>
        </w:rPr>
        <w:t>应急预案</w:t>
      </w:r>
    </w:p>
    <w:p w14:paraId="43D3A39B">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突发事故应急预案框架</w:t>
      </w:r>
    </w:p>
    <w:p w14:paraId="537C840E">
      <w:pPr>
        <w:pStyle w:val="16"/>
        <w:bidi w:val="0"/>
        <w:rPr>
          <w:rFonts w:hint="default" w:ascii="Times New Roman" w:hAnsi="Times New Roman" w:cs="Times New Roman"/>
          <w:color w:val="auto"/>
        </w:rPr>
      </w:pPr>
      <w:r>
        <w:rPr>
          <w:rFonts w:hint="default" w:ascii="Times New Roman" w:hAnsi="Times New Roman" w:cs="Times New Roman"/>
          <w:color w:val="auto"/>
        </w:rPr>
        <w:t>《关于进一步加强环境影响评价管理防范环境风险的通知》（环发</w:t>
      </w:r>
      <w:r>
        <w:rPr>
          <w:rFonts w:hint="default" w:ascii="Times New Roman" w:hAnsi="Times New Roman" w:cs="Times New Roman"/>
          <w:color w:val="auto"/>
          <w:lang w:eastAsia="zh-CN"/>
        </w:rPr>
        <w:t>〔</w:t>
      </w:r>
      <w:r>
        <w:rPr>
          <w:rFonts w:hint="default" w:ascii="Times New Roman" w:hAnsi="Times New Roman" w:cs="Times New Roman"/>
          <w:color w:val="auto"/>
        </w:rPr>
        <w:t>2012</w:t>
      </w:r>
      <w:r>
        <w:rPr>
          <w:rFonts w:hint="default" w:ascii="Times New Roman" w:hAnsi="Times New Roman" w:cs="Times New Roman"/>
          <w:color w:val="auto"/>
          <w:lang w:eastAsia="zh-CN"/>
        </w:rPr>
        <w:t>〕</w:t>
      </w:r>
      <w:r>
        <w:rPr>
          <w:rFonts w:hint="default" w:ascii="Times New Roman" w:hAnsi="Times New Roman" w:cs="Times New Roman"/>
          <w:color w:val="auto"/>
        </w:rPr>
        <w:t>77号）和《关于切实加强风险防范严格环境影响评价管理的通知》（环发</w:t>
      </w:r>
      <w:r>
        <w:rPr>
          <w:rFonts w:hint="default" w:ascii="Times New Roman" w:hAnsi="Times New Roman" w:cs="Times New Roman"/>
          <w:color w:val="auto"/>
          <w:lang w:eastAsia="zh-CN"/>
        </w:rPr>
        <w:t>〔</w:t>
      </w:r>
      <w:r>
        <w:rPr>
          <w:rFonts w:hint="default" w:ascii="Times New Roman" w:hAnsi="Times New Roman" w:cs="Times New Roman"/>
          <w:color w:val="auto"/>
        </w:rPr>
        <w:t>2012</w:t>
      </w:r>
      <w:r>
        <w:rPr>
          <w:rFonts w:hint="default" w:ascii="Times New Roman" w:hAnsi="Times New Roman" w:cs="Times New Roman"/>
          <w:color w:val="auto"/>
          <w:lang w:eastAsia="zh-CN"/>
        </w:rPr>
        <w:t>〕</w:t>
      </w:r>
      <w:r>
        <w:rPr>
          <w:rFonts w:hint="default" w:ascii="Times New Roman" w:hAnsi="Times New Roman" w:cs="Times New Roman"/>
          <w:color w:val="auto"/>
        </w:rPr>
        <w:t>98号）的要求，通过对本项目可能存在的环境风险事故的风险评价，制定应对环境风险事故发生的工作计划、消除风险事故隐患的实施方案及突发性风险事故的应急办法。本项目应当建立风险事故管理和应急计划，设立急救指挥小组和风险事故处理抢险队，并与当地畜牧部门、</w:t>
      </w:r>
      <w:r>
        <w:rPr>
          <w:rFonts w:hint="default" w:ascii="Times New Roman" w:hAnsi="Times New Roman" w:cs="Times New Roman"/>
          <w:color w:val="auto"/>
          <w:lang w:eastAsia="zh-CN"/>
        </w:rPr>
        <w:t>生态环境部门</w:t>
      </w:r>
      <w:r>
        <w:rPr>
          <w:rFonts w:hint="default" w:ascii="Times New Roman" w:hAnsi="Times New Roman" w:cs="Times New Roman"/>
          <w:color w:val="auto"/>
        </w:rPr>
        <w:t>建立正常的定期联系。本项目突发事故应急预案框架见表5.3-</w:t>
      </w:r>
      <w:r>
        <w:rPr>
          <w:rFonts w:hint="default" w:ascii="Times New Roman" w:hAnsi="Times New Roman" w:cs="Times New Roman"/>
          <w:color w:val="auto"/>
          <w:lang w:val="en-US" w:eastAsia="zh-CN"/>
        </w:rPr>
        <w:t>3</w:t>
      </w:r>
      <w:r>
        <w:rPr>
          <w:rFonts w:hint="default" w:ascii="Times New Roman" w:hAnsi="Times New Roman" w:cs="Times New Roman"/>
          <w:color w:val="auto"/>
        </w:rPr>
        <w:t>。</w:t>
      </w:r>
    </w:p>
    <w:p w14:paraId="1706817C">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突发事故应急预案框架一览表</w:t>
      </w:r>
    </w:p>
    <w:tbl>
      <w:tblPr>
        <w:tblStyle w:val="33"/>
        <w:tblW w:w="8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9"/>
        <w:gridCol w:w="2177"/>
        <w:gridCol w:w="5761"/>
      </w:tblGrid>
      <w:tr w14:paraId="342A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29" w:type="dxa"/>
            <w:noWrap w:val="0"/>
            <w:vAlign w:val="center"/>
          </w:tcPr>
          <w:p w14:paraId="02FC8F73">
            <w:pPr>
              <w:pStyle w:val="69"/>
              <w:spacing w:before="28"/>
              <w:ind w:left="0" w:leftChars="0" w:right="-10" w:rightChars="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177" w:type="dxa"/>
            <w:noWrap w:val="0"/>
            <w:vAlign w:val="center"/>
          </w:tcPr>
          <w:p w14:paraId="549789D1">
            <w:pPr>
              <w:pStyle w:val="69"/>
              <w:spacing w:before="28"/>
              <w:ind w:left="0" w:leftChars="0" w:right="-10" w:rightChars="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5761" w:type="dxa"/>
            <w:noWrap w:val="0"/>
            <w:vAlign w:val="center"/>
          </w:tcPr>
          <w:p w14:paraId="7AA85D02">
            <w:pPr>
              <w:pStyle w:val="69"/>
              <w:spacing w:before="16" w:line="229" w:lineRule="exact"/>
              <w:ind w:left="0" w:leftChars="0" w:right="-10" w:rightChars="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内容及要求</w:t>
            </w:r>
          </w:p>
        </w:tc>
      </w:tr>
      <w:tr w14:paraId="13F1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629" w:type="dxa"/>
            <w:noWrap w:val="0"/>
            <w:vAlign w:val="center"/>
          </w:tcPr>
          <w:p w14:paraId="1E18BECC">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177" w:type="dxa"/>
            <w:noWrap w:val="0"/>
            <w:vAlign w:val="center"/>
          </w:tcPr>
          <w:p w14:paraId="40819E2A">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总则</w:t>
            </w:r>
          </w:p>
        </w:tc>
        <w:tc>
          <w:tcPr>
            <w:tcW w:w="5761" w:type="dxa"/>
            <w:noWrap w:val="0"/>
            <w:vAlign w:val="center"/>
          </w:tcPr>
          <w:p w14:paraId="17B4E010">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简述生产过程中涉及物料性质及可能发生的突发事故</w:t>
            </w:r>
          </w:p>
        </w:tc>
      </w:tr>
      <w:tr w14:paraId="03AD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 w:hRule="atLeast"/>
          <w:jc w:val="center"/>
        </w:trPr>
        <w:tc>
          <w:tcPr>
            <w:tcW w:w="629" w:type="dxa"/>
            <w:noWrap w:val="0"/>
            <w:vAlign w:val="center"/>
          </w:tcPr>
          <w:p w14:paraId="4448EB43">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177" w:type="dxa"/>
            <w:noWrap w:val="0"/>
            <w:vAlign w:val="center"/>
          </w:tcPr>
          <w:p w14:paraId="760706E9">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危险源概况</w:t>
            </w:r>
          </w:p>
        </w:tc>
        <w:tc>
          <w:tcPr>
            <w:tcW w:w="5761" w:type="dxa"/>
            <w:noWrap w:val="0"/>
            <w:vAlign w:val="center"/>
          </w:tcPr>
          <w:p w14:paraId="6BD0435A">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评述危险源类型、数量及其分布</w:t>
            </w:r>
          </w:p>
        </w:tc>
      </w:tr>
      <w:tr w14:paraId="68F4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629" w:type="dxa"/>
            <w:noWrap w:val="0"/>
            <w:vAlign w:val="center"/>
          </w:tcPr>
          <w:p w14:paraId="77EAD978">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177" w:type="dxa"/>
            <w:noWrap w:val="0"/>
            <w:vAlign w:val="center"/>
          </w:tcPr>
          <w:p w14:paraId="2FCBCC22">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应急计划区</w:t>
            </w:r>
          </w:p>
        </w:tc>
        <w:tc>
          <w:tcPr>
            <w:tcW w:w="5761" w:type="dxa"/>
            <w:noWrap w:val="0"/>
            <w:vAlign w:val="center"/>
          </w:tcPr>
          <w:p w14:paraId="22C08E9E">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饲养区、</w:t>
            </w:r>
            <w:r>
              <w:rPr>
                <w:rFonts w:hint="default" w:ascii="Times New Roman" w:hAnsi="Times New Roman" w:cs="Times New Roman"/>
                <w:color w:val="auto"/>
                <w:sz w:val="21"/>
                <w:szCs w:val="21"/>
                <w:highlight w:val="none"/>
                <w:lang w:eastAsia="zh-CN"/>
              </w:rPr>
              <w:t>鸡粪发酵处理场</w:t>
            </w:r>
            <w:r>
              <w:rPr>
                <w:rFonts w:hint="default" w:ascii="Times New Roman" w:hAnsi="Times New Roman" w:cs="Times New Roman"/>
                <w:color w:val="auto"/>
                <w:sz w:val="21"/>
                <w:szCs w:val="21"/>
                <w:highlight w:val="none"/>
              </w:rPr>
              <w:t>、废水处理设施、环境保护目标</w:t>
            </w:r>
          </w:p>
        </w:tc>
      </w:tr>
      <w:tr w14:paraId="4DF7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629" w:type="dxa"/>
            <w:noWrap w:val="0"/>
            <w:vAlign w:val="center"/>
          </w:tcPr>
          <w:p w14:paraId="17A690C8">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177" w:type="dxa"/>
            <w:noWrap w:val="0"/>
            <w:vAlign w:val="center"/>
          </w:tcPr>
          <w:p w14:paraId="2BE313BB">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应急组织</w:t>
            </w:r>
          </w:p>
        </w:tc>
        <w:tc>
          <w:tcPr>
            <w:tcW w:w="5761" w:type="dxa"/>
            <w:noWrap w:val="0"/>
            <w:vAlign w:val="center"/>
          </w:tcPr>
          <w:p w14:paraId="29A544D3">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养殖场：养殖场指挥部-负责整个养殖场的全面指挥</w:t>
            </w:r>
          </w:p>
          <w:p w14:paraId="12E44BEE">
            <w:pPr>
              <w:pStyle w:val="69"/>
              <w:spacing w:before="2" w:line="242" w:lineRule="auto"/>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地区：地区指挥部-负责养殖</w:t>
            </w:r>
            <w:r>
              <w:rPr>
                <w:rFonts w:hint="default" w:ascii="Times New Roman" w:hAnsi="Times New Roman" w:cs="Times New Roman"/>
                <w:color w:val="auto"/>
                <w:sz w:val="21"/>
                <w:szCs w:val="21"/>
                <w:highlight w:val="none"/>
                <w:lang w:val="en-US" w:eastAsia="zh-CN"/>
              </w:rPr>
              <w:t>场</w:t>
            </w:r>
            <w:r>
              <w:rPr>
                <w:rFonts w:hint="default" w:ascii="Times New Roman" w:hAnsi="Times New Roman" w:cs="Times New Roman"/>
                <w:color w:val="auto"/>
                <w:sz w:val="21"/>
                <w:szCs w:val="21"/>
                <w:highlight w:val="none"/>
              </w:rPr>
              <w:t>附近区域的全面指挥、救援和疏散专业救援队伍：负责事故的控制、救援和善后处理</w:t>
            </w:r>
          </w:p>
        </w:tc>
      </w:tr>
      <w:tr w14:paraId="1C4B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629" w:type="dxa"/>
            <w:noWrap w:val="0"/>
            <w:vAlign w:val="center"/>
          </w:tcPr>
          <w:p w14:paraId="066B8AF5">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177" w:type="dxa"/>
            <w:noWrap w:val="0"/>
            <w:vAlign w:val="center"/>
          </w:tcPr>
          <w:p w14:paraId="7ADC23FF">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应急状态分类及应急响应程度</w:t>
            </w:r>
          </w:p>
        </w:tc>
        <w:tc>
          <w:tcPr>
            <w:tcW w:w="5761" w:type="dxa"/>
            <w:noWrap w:val="0"/>
            <w:vAlign w:val="center"/>
          </w:tcPr>
          <w:p w14:paraId="5449A9C4">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确定事故的级别及相应应急分类响应程度</w:t>
            </w:r>
          </w:p>
        </w:tc>
      </w:tr>
      <w:tr w14:paraId="526E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2" w:hRule="atLeast"/>
          <w:jc w:val="center"/>
        </w:trPr>
        <w:tc>
          <w:tcPr>
            <w:tcW w:w="629" w:type="dxa"/>
            <w:noWrap w:val="0"/>
            <w:vAlign w:val="center"/>
          </w:tcPr>
          <w:p w14:paraId="61978733">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177" w:type="dxa"/>
            <w:noWrap w:val="0"/>
            <w:vAlign w:val="center"/>
          </w:tcPr>
          <w:p w14:paraId="22292D0F">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应急设施、设备和材料</w:t>
            </w:r>
          </w:p>
        </w:tc>
        <w:tc>
          <w:tcPr>
            <w:tcW w:w="5761" w:type="dxa"/>
            <w:noWrap w:val="0"/>
            <w:vAlign w:val="center"/>
          </w:tcPr>
          <w:p w14:paraId="30E5E487">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防火灾、防中毒等事故应急设施、设备和材料：主要为消防器材、防毒面具、防护服装等</w:t>
            </w:r>
          </w:p>
          <w:p w14:paraId="027113E6">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防止疫情扩散事故应急设施、设备和材料：主要为消毒防疫药物、防毒面具、防护服装等</w:t>
            </w:r>
          </w:p>
        </w:tc>
      </w:tr>
      <w:tr w14:paraId="62AD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629" w:type="dxa"/>
            <w:noWrap w:val="0"/>
            <w:vAlign w:val="center"/>
          </w:tcPr>
          <w:p w14:paraId="2962988B">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177" w:type="dxa"/>
            <w:noWrap w:val="0"/>
            <w:vAlign w:val="center"/>
          </w:tcPr>
          <w:p w14:paraId="118E683D">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应急通知、通讯和交通</w:t>
            </w:r>
          </w:p>
        </w:tc>
        <w:tc>
          <w:tcPr>
            <w:tcW w:w="5761" w:type="dxa"/>
            <w:noWrap w:val="0"/>
            <w:vAlign w:val="center"/>
          </w:tcPr>
          <w:p w14:paraId="070259AB">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确定应急状态下的通知方式、通讯方式和交通保障、管制措施</w:t>
            </w:r>
          </w:p>
        </w:tc>
      </w:tr>
      <w:tr w14:paraId="6C11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629" w:type="dxa"/>
            <w:noWrap w:val="0"/>
            <w:vAlign w:val="center"/>
          </w:tcPr>
          <w:p w14:paraId="3065E8D8">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177" w:type="dxa"/>
            <w:noWrap w:val="0"/>
            <w:vAlign w:val="center"/>
          </w:tcPr>
          <w:p w14:paraId="5D3C007A">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应急环境监测及事故后评估</w:t>
            </w:r>
          </w:p>
        </w:tc>
        <w:tc>
          <w:tcPr>
            <w:tcW w:w="5761" w:type="dxa"/>
            <w:noWrap w:val="0"/>
            <w:vAlign w:val="center"/>
          </w:tcPr>
          <w:p w14:paraId="09D94C1E">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由专业队伍对事故现场进行侦查监测，对风险事故的性质、参数和后果等进行评估，为指挥部门提供决策依据</w:t>
            </w:r>
          </w:p>
        </w:tc>
      </w:tr>
      <w:tr w14:paraId="0D43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3" w:hRule="atLeast"/>
          <w:jc w:val="center"/>
        </w:trPr>
        <w:tc>
          <w:tcPr>
            <w:tcW w:w="629" w:type="dxa"/>
            <w:noWrap w:val="0"/>
            <w:vAlign w:val="center"/>
          </w:tcPr>
          <w:p w14:paraId="21AD9E03">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177" w:type="dxa"/>
            <w:noWrap w:val="0"/>
            <w:vAlign w:val="center"/>
          </w:tcPr>
          <w:p w14:paraId="2D39F000">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应急防护措施、消除</w:t>
            </w:r>
            <w:r>
              <w:rPr>
                <w:rFonts w:hint="default" w:ascii="Times New Roman" w:hAnsi="Times New Roman" w:cs="Times New Roman"/>
                <w:color w:val="auto"/>
                <w:sz w:val="21"/>
                <w:szCs w:val="21"/>
                <w:highlight w:val="none"/>
                <w:lang w:eastAsia="zh-CN"/>
              </w:rPr>
              <w:t>泄漏</w:t>
            </w:r>
            <w:r>
              <w:rPr>
                <w:rFonts w:hint="default" w:ascii="Times New Roman" w:hAnsi="Times New Roman" w:cs="Times New Roman"/>
                <w:color w:val="auto"/>
                <w:sz w:val="21"/>
                <w:szCs w:val="21"/>
                <w:highlight w:val="none"/>
              </w:rPr>
              <w:t>措施、方法和器材</w:t>
            </w:r>
          </w:p>
        </w:tc>
        <w:tc>
          <w:tcPr>
            <w:tcW w:w="5761" w:type="dxa"/>
            <w:noWrap w:val="0"/>
            <w:vAlign w:val="center"/>
          </w:tcPr>
          <w:p w14:paraId="1D14914F">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事故现场：配备控制事故、防止扩大、</w:t>
            </w:r>
            <w:r>
              <w:rPr>
                <w:rFonts w:hint="default" w:ascii="Times New Roman" w:hAnsi="Times New Roman" w:cs="Times New Roman"/>
                <w:color w:val="auto"/>
                <w:sz w:val="21"/>
                <w:szCs w:val="21"/>
                <w:highlight w:val="none"/>
                <w:lang w:eastAsia="zh-CN"/>
              </w:rPr>
              <w:t>蔓延</w:t>
            </w:r>
            <w:r>
              <w:rPr>
                <w:rFonts w:hint="default" w:ascii="Times New Roman" w:hAnsi="Times New Roman" w:cs="Times New Roman"/>
                <w:color w:val="auto"/>
                <w:sz w:val="21"/>
                <w:szCs w:val="21"/>
                <w:highlight w:val="none"/>
              </w:rPr>
              <w:t>和连锁反应、消除现场泄漏物、降低危害的相应设施、设备和器材</w:t>
            </w:r>
          </w:p>
          <w:p w14:paraId="4012F8A3">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邻近区域：配备控制火灾、有毒区域、控制和消除污染的相应设施、设备和器材</w:t>
            </w:r>
          </w:p>
        </w:tc>
      </w:tr>
      <w:tr w14:paraId="5684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629" w:type="dxa"/>
            <w:noWrap w:val="0"/>
            <w:vAlign w:val="center"/>
          </w:tcPr>
          <w:p w14:paraId="348867CC">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177" w:type="dxa"/>
            <w:noWrap w:val="0"/>
            <w:vAlign w:val="center"/>
          </w:tcPr>
          <w:p w14:paraId="0218AA18">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应急剂量控制、撤离组织计划、医疗救护与公众健康</w:t>
            </w:r>
          </w:p>
        </w:tc>
        <w:tc>
          <w:tcPr>
            <w:tcW w:w="5761" w:type="dxa"/>
            <w:noWrap w:val="0"/>
            <w:vAlign w:val="center"/>
          </w:tcPr>
          <w:p w14:paraId="18523AC4">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事故现场：事故处理人员对毒物的应急剂量的控制规定，现场及邻近装置和人员的撤离组织计划及救护</w:t>
            </w:r>
          </w:p>
          <w:p w14:paraId="47FA3B2D">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邻近区域：受事故影响的邻近区域内的人员及公众对毒物的应急剂量的控制规定以及装置和人员的撤离组织计划及救护</w:t>
            </w:r>
          </w:p>
        </w:tc>
      </w:tr>
      <w:tr w14:paraId="76F4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629" w:type="dxa"/>
            <w:noWrap w:val="0"/>
            <w:vAlign w:val="center"/>
          </w:tcPr>
          <w:p w14:paraId="06013398">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177" w:type="dxa"/>
            <w:noWrap w:val="0"/>
            <w:vAlign w:val="center"/>
          </w:tcPr>
          <w:p w14:paraId="09FECA8E">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应急状态终止和恢复措施</w:t>
            </w:r>
          </w:p>
        </w:tc>
        <w:tc>
          <w:tcPr>
            <w:tcW w:w="5761" w:type="dxa"/>
            <w:noWrap w:val="0"/>
            <w:vAlign w:val="center"/>
          </w:tcPr>
          <w:p w14:paraId="01BAFA21">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规定应急状态终止程度、事故善后处理、恢复措施等，邻近区域解除事故警戒及</w:t>
            </w:r>
            <w:r>
              <w:rPr>
                <w:rFonts w:hint="default" w:ascii="Times New Roman" w:hAnsi="Times New Roman" w:cs="Times New Roman"/>
                <w:color w:val="auto"/>
                <w:sz w:val="21"/>
                <w:szCs w:val="21"/>
                <w:highlight w:val="none"/>
                <w:lang w:eastAsia="zh-CN"/>
              </w:rPr>
              <w:t>善后</w:t>
            </w:r>
            <w:r>
              <w:rPr>
                <w:rFonts w:hint="default" w:ascii="Times New Roman" w:hAnsi="Times New Roman" w:cs="Times New Roman"/>
                <w:color w:val="auto"/>
                <w:sz w:val="21"/>
                <w:szCs w:val="21"/>
                <w:highlight w:val="none"/>
              </w:rPr>
              <w:t>恢复措施</w:t>
            </w:r>
          </w:p>
        </w:tc>
      </w:tr>
      <w:tr w14:paraId="13C0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 w:hRule="atLeast"/>
          <w:jc w:val="center"/>
        </w:trPr>
        <w:tc>
          <w:tcPr>
            <w:tcW w:w="629" w:type="dxa"/>
            <w:noWrap w:val="0"/>
            <w:vAlign w:val="center"/>
          </w:tcPr>
          <w:p w14:paraId="5D3D7E22">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177" w:type="dxa"/>
            <w:noWrap w:val="0"/>
            <w:vAlign w:val="center"/>
          </w:tcPr>
          <w:p w14:paraId="0F2C7AAA">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人员培训和演练</w:t>
            </w:r>
          </w:p>
        </w:tc>
        <w:tc>
          <w:tcPr>
            <w:tcW w:w="5761" w:type="dxa"/>
            <w:noWrap w:val="0"/>
            <w:vAlign w:val="center"/>
          </w:tcPr>
          <w:p w14:paraId="2D7C032A">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应急计划制定后，平时安排人员培训和演练</w:t>
            </w:r>
          </w:p>
        </w:tc>
      </w:tr>
      <w:tr w14:paraId="3A4A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 w:hRule="atLeast"/>
          <w:jc w:val="center"/>
        </w:trPr>
        <w:tc>
          <w:tcPr>
            <w:tcW w:w="629" w:type="dxa"/>
            <w:noWrap w:val="0"/>
            <w:vAlign w:val="center"/>
          </w:tcPr>
          <w:p w14:paraId="358477DC">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2177" w:type="dxa"/>
            <w:noWrap w:val="0"/>
            <w:vAlign w:val="center"/>
          </w:tcPr>
          <w:p w14:paraId="2ED2A05D">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公众教育、培训和信息</w:t>
            </w:r>
          </w:p>
        </w:tc>
        <w:tc>
          <w:tcPr>
            <w:tcW w:w="5761" w:type="dxa"/>
            <w:noWrap w:val="0"/>
            <w:vAlign w:val="center"/>
          </w:tcPr>
          <w:p w14:paraId="3ECEC71D">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对项目周边邻近区域内开展公众教育、培训及发布相关信息</w:t>
            </w:r>
          </w:p>
        </w:tc>
      </w:tr>
      <w:tr w14:paraId="319D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629" w:type="dxa"/>
            <w:noWrap w:val="0"/>
            <w:vAlign w:val="center"/>
          </w:tcPr>
          <w:p w14:paraId="176D0B18">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2177" w:type="dxa"/>
            <w:noWrap w:val="0"/>
            <w:vAlign w:val="center"/>
          </w:tcPr>
          <w:p w14:paraId="69176F0F">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记录和报告</w:t>
            </w:r>
          </w:p>
        </w:tc>
        <w:tc>
          <w:tcPr>
            <w:tcW w:w="5761" w:type="dxa"/>
            <w:noWrap w:val="0"/>
            <w:vAlign w:val="center"/>
          </w:tcPr>
          <w:p w14:paraId="2D0F907A">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设置应急事故专门记录，建立档案和专门报告制度，设置专门部门和人员负责管理</w:t>
            </w:r>
          </w:p>
        </w:tc>
      </w:tr>
      <w:tr w14:paraId="3AD0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29" w:type="dxa"/>
            <w:noWrap w:val="0"/>
            <w:vAlign w:val="center"/>
          </w:tcPr>
          <w:p w14:paraId="56398A8E">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2177" w:type="dxa"/>
            <w:noWrap w:val="0"/>
            <w:vAlign w:val="center"/>
          </w:tcPr>
          <w:p w14:paraId="70807145">
            <w:pPr>
              <w:pStyle w:val="69"/>
              <w:spacing w:before="28"/>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附件</w:t>
            </w:r>
          </w:p>
        </w:tc>
        <w:tc>
          <w:tcPr>
            <w:tcW w:w="5761" w:type="dxa"/>
            <w:noWrap w:val="0"/>
            <w:vAlign w:val="center"/>
          </w:tcPr>
          <w:p w14:paraId="7CFB2B89">
            <w:pPr>
              <w:pStyle w:val="69"/>
              <w:spacing w:before="28"/>
              <w:ind w:left="0" w:leftChars="0" w:right="-1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与应急事故相关的多种附件材料的准备和形成</w:t>
            </w:r>
          </w:p>
        </w:tc>
      </w:tr>
    </w:tbl>
    <w:p w14:paraId="5BB13841">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发生重大动物疫情的应急措施</w:t>
      </w:r>
    </w:p>
    <w:p w14:paraId="5BEB728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根据《中华人民共和国动物防疫法》和《重大动物疫情应急条例》，本项目在发生重大动物疫情时，应做好以下应急措施：</w:t>
      </w:r>
    </w:p>
    <w:p w14:paraId="52B5DEF3">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①明确应急指挥部的职责、组成以及成员单位的分工；</w:t>
      </w:r>
    </w:p>
    <w:p w14:paraId="4FADACC6">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②做好重大动物疫情的监测、信息收集、报告和通报；</w:t>
      </w:r>
    </w:p>
    <w:p w14:paraId="79A3C90D">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③制定动物疫病确认、重大动物疫情分级和相应的应急处理工作方案；</w:t>
      </w:r>
    </w:p>
    <w:p w14:paraId="62066E8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④对重大动物疫情疫源进行追踪和调查分析；</w:t>
      </w:r>
    </w:p>
    <w:p w14:paraId="579F16E0">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⑤将预防、控制、扑灭重大动物疫情所需资金、物资纳入项目财务预算，做好技术储备与调度；</w:t>
      </w:r>
    </w:p>
    <w:p w14:paraId="0C44E07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⑥成立重大动物疫情应急处理设施和专业队伍。</w:t>
      </w:r>
    </w:p>
    <w:p w14:paraId="10CE57B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养殖小区重大动物疫情应急措施制定方针：加强领导、密切配合，依靠科学、依法防治，群防群控、果断处置，及时发现、快速反应，严格处理、减少损失。</w:t>
      </w:r>
    </w:p>
    <w:p w14:paraId="47D34DA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发生高致病性疫情第一时间内报告</w:t>
      </w:r>
      <w:r>
        <w:rPr>
          <w:rFonts w:hint="default" w:ascii="Times New Roman" w:hAnsi="Times New Roman" w:cs="Times New Roman"/>
          <w:color w:val="auto"/>
          <w:lang w:val="en-US" w:eastAsia="zh-CN"/>
        </w:rPr>
        <w:t>北屯市</w:t>
      </w:r>
      <w:r>
        <w:rPr>
          <w:rFonts w:hint="default" w:ascii="Times New Roman" w:hAnsi="Times New Roman" w:cs="Times New Roman"/>
          <w:color w:val="auto"/>
        </w:rPr>
        <w:t>动物卫生监督机构，积极配合动物卫生监督机构现场取样，调查核实初步认为属于重大动物疫情的，在2h内将情况（包括：疫情发生时间、地点，染疫、疑似染疫动物种类和数量、同群动物数量、免疫情况、死亡数量、临床症状、病理变化、诊断情况，流行病学和疫源追踪情况，已采取控制措施，疫情报告的单位、负责人、报告人及联系方式等）逐级报</w:t>
      </w:r>
      <w:r>
        <w:rPr>
          <w:rFonts w:hint="default" w:ascii="Times New Roman" w:hAnsi="Times New Roman" w:cs="Times New Roman"/>
          <w:color w:val="auto"/>
          <w:lang w:val="en-US" w:eastAsia="zh-CN"/>
        </w:rPr>
        <w:t>新疆生产建设兵团第十师188团</w:t>
      </w:r>
      <w:r>
        <w:rPr>
          <w:rFonts w:hint="default" w:ascii="Times New Roman" w:hAnsi="Times New Roman" w:cs="Times New Roman"/>
          <w:color w:val="auto"/>
        </w:rPr>
        <w:t>、</w:t>
      </w:r>
      <w:r>
        <w:rPr>
          <w:rFonts w:hint="default" w:ascii="Times New Roman" w:hAnsi="Times New Roman" w:cs="Times New Roman"/>
          <w:color w:val="auto"/>
          <w:lang w:eastAsia="zh-CN"/>
        </w:rPr>
        <w:t>北屯市</w:t>
      </w:r>
      <w:r>
        <w:rPr>
          <w:rFonts w:hint="default" w:ascii="Times New Roman" w:hAnsi="Times New Roman" w:cs="Times New Roman"/>
          <w:color w:val="auto"/>
        </w:rPr>
        <w:t>动物卫生监督机构，同时报</w:t>
      </w:r>
      <w:r>
        <w:rPr>
          <w:rFonts w:hint="default" w:ascii="Times New Roman" w:hAnsi="Times New Roman" w:cs="Times New Roman"/>
          <w:color w:val="auto"/>
          <w:lang w:val="en-US" w:eastAsia="zh-CN"/>
        </w:rPr>
        <w:t>新疆生产建设兵团第十师188团</w:t>
      </w:r>
      <w:r>
        <w:rPr>
          <w:rFonts w:hint="default" w:ascii="Times New Roman" w:hAnsi="Times New Roman" w:cs="Times New Roman"/>
          <w:color w:val="auto"/>
        </w:rPr>
        <w:t>、</w:t>
      </w:r>
      <w:r>
        <w:rPr>
          <w:rFonts w:hint="default" w:ascii="Times New Roman" w:hAnsi="Times New Roman" w:cs="Times New Roman"/>
          <w:color w:val="auto"/>
          <w:lang w:eastAsia="zh-CN"/>
        </w:rPr>
        <w:t>北屯市</w:t>
      </w:r>
      <w:r>
        <w:rPr>
          <w:rFonts w:hint="default" w:ascii="Times New Roman" w:hAnsi="Times New Roman" w:cs="Times New Roman"/>
          <w:color w:val="auto"/>
        </w:rPr>
        <w:t>兽医主管部门，兽医主管部门应及时通报同级卫生主管部门。</w:t>
      </w:r>
    </w:p>
    <w:p w14:paraId="145E5AF8">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按照应急预案确定的疫情等级由政府采取以下应急控制措施：</w:t>
      </w:r>
    </w:p>
    <w:p w14:paraId="349D2E5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对疫点应当采取下列措施：①扑杀并销毁染疫动物和易感染动物及其产品；②对病死动物、动物排泄物、被污染饲料、垫料、废（污）水进行无害化处理；③对被污染物品、用具、动物圈舍、活动场地进行严格消毒。</w:t>
      </w:r>
    </w:p>
    <w:p w14:paraId="1723CC35">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对疫区应当采取下列措施：③在疫区周围设置警示标志，出入疫区交通路口设置临时动物检疫消毒站，对出入的人员和车辆进行消毒；②扑杀并销毁染疫和疑似染疫动物及其同群动物，销毁染疫和疑似染疫动物产品，对其他易感染动物实行圈养或在指定地点放养，役用动物限制在疫区内</w:t>
      </w:r>
      <w:r>
        <w:rPr>
          <w:rFonts w:hint="default" w:ascii="Times New Roman" w:hAnsi="Times New Roman" w:cs="Times New Roman"/>
          <w:color w:val="auto"/>
          <w:lang w:eastAsia="zh-CN"/>
        </w:rPr>
        <w:t>使用</w:t>
      </w:r>
      <w:r>
        <w:rPr>
          <w:rFonts w:hint="default" w:ascii="Times New Roman" w:hAnsi="Times New Roman" w:cs="Times New Roman"/>
          <w:color w:val="auto"/>
        </w:rPr>
        <w:t>；③对易感染动物进行监测，并按国务院兽医主管部门规定实施紧急免疫接种，必要时对易感染的动物进行扑杀；④关闭动物及动物产品交易市场，禁止动物进出疫区和动物产品运出疫区；⑤对动物圈舍、动物排泄物、垫料、废（污）水和其他可能受污染的物品、场地进行消毒或无害化处理。</w:t>
      </w:r>
    </w:p>
    <w:p w14:paraId="7BFE670C">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对受威胁区应当采取下列措施：①对易感染动物进行监测；②对易感染动物根据需要实施紧急免疫接种。</w:t>
      </w:r>
    </w:p>
    <w:p w14:paraId="4C1246F9">
      <w:pPr>
        <w:pStyle w:val="16"/>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设有</w:t>
      </w:r>
      <w:r>
        <w:rPr>
          <w:rFonts w:hint="default" w:ascii="Times New Roman" w:hAnsi="Times New Roman" w:cs="Times New Roman"/>
          <w:color w:val="auto"/>
          <w:lang w:val="en-US" w:eastAsia="zh-CN"/>
        </w:rPr>
        <w:t>废水收集池</w:t>
      </w:r>
      <w:r>
        <w:rPr>
          <w:rFonts w:hint="default" w:ascii="Times New Roman" w:hAnsi="Times New Roman" w:cs="Times New Roman"/>
          <w:color w:val="auto"/>
        </w:rPr>
        <w:t>，一旦发生疫情，</w:t>
      </w:r>
      <w:r>
        <w:rPr>
          <w:rFonts w:hint="default" w:ascii="Times New Roman" w:hAnsi="Times New Roman" w:cs="Times New Roman"/>
          <w:color w:val="auto"/>
          <w:lang w:eastAsia="zh-CN"/>
        </w:rPr>
        <w:t>鸡舍</w:t>
      </w:r>
      <w:r>
        <w:rPr>
          <w:rFonts w:hint="default" w:ascii="Times New Roman" w:hAnsi="Times New Roman" w:cs="Times New Roman"/>
          <w:color w:val="auto"/>
        </w:rPr>
        <w:t>喷洒消毒剂时，过量消毒废水通过排水管网进入</w:t>
      </w:r>
      <w:r>
        <w:rPr>
          <w:rFonts w:hint="default" w:ascii="Times New Roman" w:hAnsi="Times New Roman" w:cs="Times New Roman"/>
          <w:color w:val="auto"/>
          <w:lang w:val="en-US" w:eastAsia="zh-CN"/>
        </w:rPr>
        <w:t>废水收集池</w:t>
      </w:r>
      <w:r>
        <w:rPr>
          <w:rFonts w:hint="default" w:ascii="Times New Roman" w:hAnsi="Times New Roman" w:cs="Times New Roman"/>
          <w:color w:val="auto"/>
        </w:rPr>
        <w:t>，在有针对性处理完残留消毒剂后再进行处理，避免消毒废水造成二次污染。常用残余消毒剂处理方法如下：①消特灵残留：采用酸碱中和法去除，可加盐酸；②烧碱（氢氧化钠）残留：采用酸碱中和法去除，可加盐酸；③双氧水（过氧化氢水）：氧化后不会产生二次污染；④</w:t>
      </w:r>
      <w:r>
        <w:rPr>
          <w:rFonts w:hint="default" w:ascii="Times New Roman" w:hAnsi="Times New Roman" w:cs="Times New Roman"/>
          <w:color w:val="auto"/>
          <w:lang w:eastAsia="zh-CN"/>
        </w:rPr>
        <w:t>其他不</w:t>
      </w:r>
      <w:r>
        <w:rPr>
          <w:rFonts w:hint="default" w:ascii="Times New Roman" w:hAnsi="Times New Roman" w:cs="Times New Roman"/>
          <w:color w:val="auto"/>
        </w:rPr>
        <w:t>常用消毒剂按特定方法在</w:t>
      </w:r>
      <w:r>
        <w:rPr>
          <w:rFonts w:hint="default" w:ascii="Times New Roman" w:hAnsi="Times New Roman" w:cs="Times New Roman"/>
          <w:color w:val="auto"/>
          <w:lang w:val="en-US" w:eastAsia="zh-CN"/>
        </w:rPr>
        <w:t>废水收集池</w:t>
      </w:r>
      <w:r>
        <w:rPr>
          <w:rFonts w:hint="default" w:ascii="Times New Roman" w:hAnsi="Times New Roman" w:cs="Times New Roman"/>
          <w:color w:val="auto"/>
        </w:rPr>
        <w:t>内处理干净后再进入</w:t>
      </w:r>
      <w:r>
        <w:rPr>
          <w:rFonts w:hint="default" w:ascii="Times New Roman" w:hAnsi="Times New Roman" w:cs="Times New Roman"/>
          <w:color w:val="auto"/>
          <w:lang w:val="en-US" w:eastAsia="zh-CN"/>
        </w:rPr>
        <w:t>污水处理厂</w:t>
      </w:r>
      <w:r>
        <w:rPr>
          <w:rFonts w:hint="default" w:ascii="Times New Roman" w:hAnsi="Times New Roman" w:cs="Times New Roman"/>
          <w:color w:val="auto"/>
        </w:rPr>
        <w:t>。</w:t>
      </w:r>
    </w:p>
    <w:p w14:paraId="4724728F">
      <w:pPr>
        <w:pStyle w:val="4"/>
        <w:bidi w:val="0"/>
        <w:rPr>
          <w:rFonts w:hint="default" w:ascii="Times New Roman" w:hAnsi="Times New Roman" w:cs="Times New Roman"/>
          <w:lang w:val="en-US"/>
        </w:rPr>
      </w:pPr>
      <w:r>
        <w:rPr>
          <w:rFonts w:hint="default" w:ascii="Times New Roman" w:hAnsi="Times New Roman" w:cs="Times New Roman"/>
          <w:lang w:val="en-US"/>
        </w:rPr>
        <w:t>小结</w:t>
      </w:r>
    </w:p>
    <w:p w14:paraId="3D96B026">
      <w:pPr>
        <w:pStyle w:val="16"/>
        <w:bidi w:val="0"/>
        <w:rPr>
          <w:rFonts w:hint="default" w:ascii="Times New Roman" w:hAnsi="Times New Roman" w:cs="Times New Roman"/>
          <w:color w:val="auto"/>
        </w:rPr>
      </w:pPr>
      <w:r>
        <w:rPr>
          <w:rFonts w:hint="default" w:ascii="Times New Roman" w:hAnsi="Times New Roman" w:cs="Times New Roman"/>
          <w:color w:val="auto"/>
        </w:rPr>
        <w:t>本项目采取一定的防范措施，可使风险事故发生概率降低，减少损失。采取切实可行的防范措施和建立有效的风险应急预案是降低风险和减轻风险后果的有效途径。因此，通过采取本环评提出各项风险防范措施及应急救援措施，可</w:t>
      </w:r>
      <w:r>
        <w:rPr>
          <w:rFonts w:hint="default" w:ascii="Times New Roman" w:hAnsi="Times New Roman" w:cs="Times New Roman"/>
          <w:color w:val="auto"/>
          <w:lang w:eastAsia="zh-CN"/>
        </w:rPr>
        <w:t>防止</w:t>
      </w:r>
      <w:r>
        <w:rPr>
          <w:rFonts w:hint="default" w:ascii="Times New Roman" w:hAnsi="Times New Roman" w:cs="Times New Roman"/>
          <w:color w:val="auto"/>
        </w:rPr>
        <w:t>各种风险事故的发生，降低对周围环境的影响，环境风险在可接受范围内。</w:t>
      </w:r>
    </w:p>
    <w:p w14:paraId="46D02362">
      <w:pPr>
        <w:pStyle w:val="16"/>
        <w:bidi w:val="0"/>
        <w:rPr>
          <w:rFonts w:hint="default" w:ascii="Times New Roman" w:hAnsi="Times New Roman" w:cs="Times New Roman"/>
          <w:color w:val="auto"/>
          <w:lang w:eastAsia="zh-CN"/>
        </w:rPr>
      </w:pPr>
      <w:r>
        <w:rPr>
          <w:rFonts w:hint="default" w:ascii="Times New Roman" w:hAnsi="Times New Roman" w:cs="Times New Roman"/>
          <w:color w:val="auto"/>
        </w:rPr>
        <w:t>建设项目环境风险简单分析内容见表5.3-</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14:paraId="0EE17F6C">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ab/>
      </w:r>
      <w:r>
        <w:rPr>
          <w:rFonts w:hint="default" w:ascii="Times New Roman" w:hAnsi="Times New Roman" w:cs="Times New Roman"/>
          <w:color w:val="auto"/>
        </w:rPr>
        <w:t>建设项目环境风险简单分析内容表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养殖场</w:t>
      </w:r>
      <w:r>
        <w:rPr>
          <w:rFonts w:hint="default" w:ascii="Times New Roman" w:hAnsi="Times New Roman" w:cs="Times New Roman"/>
          <w:color w:val="auto"/>
          <w:lang w:eastAsia="zh-CN"/>
        </w:rPr>
        <w:t>）</w:t>
      </w:r>
    </w:p>
    <w:tbl>
      <w:tblPr>
        <w:tblStyle w:val="33"/>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05"/>
        <w:gridCol w:w="1745"/>
        <w:gridCol w:w="1400"/>
        <w:gridCol w:w="1180"/>
        <w:gridCol w:w="1177"/>
        <w:gridCol w:w="926"/>
      </w:tblGrid>
      <w:tr w14:paraId="36F1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43" w:type="pct"/>
            <w:noWrap w:val="0"/>
            <w:vAlign w:val="center"/>
          </w:tcPr>
          <w:p w14:paraId="3D450990">
            <w:pPr>
              <w:pStyle w:val="69"/>
              <w:ind w:left="0" w:leftChars="0" w:right="-10" w:rightChars="0"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建设项目名称</w:t>
            </w:r>
          </w:p>
        </w:tc>
        <w:tc>
          <w:tcPr>
            <w:tcW w:w="3856" w:type="pct"/>
            <w:gridSpan w:val="5"/>
            <w:noWrap w:val="0"/>
            <w:vAlign w:val="center"/>
          </w:tcPr>
          <w:p w14:paraId="3EEA19D4">
            <w:pPr>
              <w:pStyle w:val="69"/>
              <w:ind w:left="0" w:leftChars="0" w:right="-10" w:rightChars="0" w:firstLine="0" w:firstLineChars="0"/>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szCs w:val="21"/>
                <w:highlight w:val="none"/>
                <w:lang w:val="en-US" w:eastAsia="zh-CN"/>
              </w:rPr>
              <w:t>全智能数字化蛋鸡养殖科技园区</w:t>
            </w:r>
          </w:p>
        </w:tc>
      </w:tr>
      <w:tr w14:paraId="235A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trPr>
        <w:tc>
          <w:tcPr>
            <w:tcW w:w="1143" w:type="pct"/>
            <w:noWrap w:val="0"/>
            <w:vAlign w:val="center"/>
          </w:tcPr>
          <w:p w14:paraId="77BC3126">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建设地点</w:t>
            </w:r>
          </w:p>
        </w:tc>
        <w:tc>
          <w:tcPr>
            <w:tcW w:w="1047" w:type="pct"/>
            <w:noWrap w:val="0"/>
            <w:vAlign w:val="center"/>
          </w:tcPr>
          <w:p w14:paraId="76B80F17">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新疆</w:t>
            </w:r>
            <w:r>
              <w:rPr>
                <w:rFonts w:hint="default" w:ascii="Times New Roman" w:hAnsi="Times New Roman" w:cs="Times New Roman"/>
                <w:color w:val="auto"/>
                <w:sz w:val="21"/>
                <w:highlight w:val="none"/>
                <w:lang w:val="en-US" w:eastAsia="zh-CN"/>
              </w:rPr>
              <w:t>生产建设兵团</w:t>
            </w:r>
          </w:p>
        </w:tc>
        <w:tc>
          <w:tcPr>
            <w:tcW w:w="840" w:type="pct"/>
            <w:noWrap w:val="0"/>
            <w:vAlign w:val="center"/>
          </w:tcPr>
          <w:p w14:paraId="1788B1EC">
            <w:pPr>
              <w:pStyle w:val="69"/>
              <w:ind w:left="0" w:leftChars="0" w:right="-10" w:righ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北屯市</w:t>
            </w:r>
          </w:p>
        </w:tc>
        <w:tc>
          <w:tcPr>
            <w:tcW w:w="708" w:type="pct"/>
            <w:noWrap w:val="0"/>
            <w:vAlign w:val="center"/>
          </w:tcPr>
          <w:p w14:paraId="68863BDA">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188团</w:t>
            </w:r>
          </w:p>
        </w:tc>
        <w:tc>
          <w:tcPr>
            <w:tcW w:w="706" w:type="pct"/>
            <w:noWrap w:val="0"/>
            <w:vAlign w:val="center"/>
          </w:tcPr>
          <w:p w14:paraId="2E2F3CCF">
            <w:pPr>
              <w:pStyle w:val="69"/>
              <w:ind w:left="0" w:leftChars="0" w:right="-10" w:rightChars="0" w:firstLine="0" w:firstLineChars="0"/>
              <w:rPr>
                <w:rFonts w:hint="default" w:ascii="Times New Roman" w:hAnsi="Times New Roman" w:cs="Times New Roman"/>
                <w:color w:val="auto"/>
                <w:sz w:val="21"/>
                <w:highlight w:val="none"/>
                <w:lang w:val="en-US"/>
              </w:rPr>
            </w:pPr>
            <w:r>
              <w:rPr>
                <w:rFonts w:hint="default" w:ascii="Times New Roman" w:hAnsi="Times New Roman" w:cs="Times New Roman"/>
                <w:color w:val="auto"/>
                <w:sz w:val="21"/>
                <w:highlight w:val="none"/>
                <w:lang w:val="en-US"/>
              </w:rPr>
              <w:t>（）县</w:t>
            </w:r>
          </w:p>
        </w:tc>
        <w:tc>
          <w:tcPr>
            <w:tcW w:w="553" w:type="pct"/>
            <w:noWrap w:val="0"/>
            <w:vAlign w:val="center"/>
          </w:tcPr>
          <w:p w14:paraId="73FC0ADC">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（）园区</w:t>
            </w:r>
          </w:p>
        </w:tc>
      </w:tr>
      <w:tr w14:paraId="01D4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1143" w:type="pct"/>
            <w:noWrap w:val="0"/>
            <w:vAlign w:val="center"/>
          </w:tcPr>
          <w:p w14:paraId="64359759">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养殖场</w:t>
            </w:r>
            <w:r>
              <w:rPr>
                <w:rFonts w:hint="default" w:ascii="Times New Roman" w:hAnsi="Times New Roman" w:cs="Times New Roman"/>
                <w:color w:val="auto"/>
                <w:sz w:val="21"/>
                <w:highlight w:val="none"/>
              </w:rPr>
              <w:t>地理坐标</w:t>
            </w:r>
          </w:p>
        </w:tc>
        <w:tc>
          <w:tcPr>
            <w:tcW w:w="1047" w:type="pct"/>
            <w:noWrap w:val="0"/>
            <w:vAlign w:val="center"/>
          </w:tcPr>
          <w:p w14:paraId="26007060">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经度</w:t>
            </w:r>
          </w:p>
        </w:tc>
        <w:tc>
          <w:tcPr>
            <w:tcW w:w="840" w:type="pct"/>
            <w:noWrap w:val="0"/>
            <w:vAlign w:val="center"/>
          </w:tcPr>
          <w:p w14:paraId="389D1FC8">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8</w:t>
            </w:r>
            <w:r>
              <w:rPr>
                <w:rFonts w:hint="default" w:ascii="Times New Roman" w:hAnsi="Times New Roman" w:cs="Times New Roman"/>
                <w:color w:val="auto"/>
                <w:sz w:val="21"/>
                <w:highlight w:val="none"/>
                <w:lang w:val="en-US" w:eastAsia="zh-CN"/>
              </w:rPr>
              <w:t>7</w:t>
            </w:r>
            <w:r>
              <w:rPr>
                <w:rFonts w:hint="default" w:ascii="Times New Roman" w:hAnsi="Times New Roman" w:cs="Times New Roman"/>
                <w:color w:val="auto"/>
                <w:sz w:val="21"/>
                <w:highlight w:val="none"/>
              </w:rPr>
              <w:t>.510922</w:t>
            </w:r>
          </w:p>
        </w:tc>
        <w:tc>
          <w:tcPr>
            <w:tcW w:w="708" w:type="pct"/>
            <w:noWrap w:val="0"/>
            <w:vAlign w:val="center"/>
          </w:tcPr>
          <w:p w14:paraId="2520B6CB">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纬度</w:t>
            </w:r>
          </w:p>
        </w:tc>
        <w:tc>
          <w:tcPr>
            <w:tcW w:w="1260" w:type="pct"/>
            <w:gridSpan w:val="2"/>
            <w:noWrap w:val="0"/>
            <w:vAlign w:val="center"/>
          </w:tcPr>
          <w:p w14:paraId="5B9E9C41">
            <w:pPr>
              <w:pStyle w:val="69"/>
              <w:ind w:left="0" w:leftChars="0" w:right="-10" w:righ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4</w:t>
            </w:r>
            <w:r>
              <w:rPr>
                <w:rFonts w:hint="default" w:ascii="Times New Roman" w:hAnsi="Times New Roman" w:cs="Times New Roman"/>
                <w:color w:val="auto"/>
                <w:sz w:val="21"/>
                <w:highlight w:val="none"/>
                <w:lang w:val="en-US" w:eastAsia="zh-CN"/>
              </w:rPr>
              <w:t>3</w:t>
            </w:r>
            <w:r>
              <w:rPr>
                <w:rFonts w:hint="default" w:ascii="Times New Roman" w:hAnsi="Times New Roman" w:cs="Times New Roman"/>
                <w:color w:val="auto"/>
                <w:sz w:val="21"/>
                <w:highlight w:val="none"/>
              </w:rPr>
              <w:t>.840713</w:t>
            </w:r>
          </w:p>
        </w:tc>
      </w:tr>
      <w:tr w14:paraId="5F9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143" w:type="pct"/>
            <w:noWrap w:val="0"/>
            <w:vAlign w:val="center"/>
          </w:tcPr>
          <w:p w14:paraId="6F5B8BD6">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主要危险物质及分布</w:t>
            </w:r>
          </w:p>
        </w:tc>
        <w:tc>
          <w:tcPr>
            <w:tcW w:w="3856" w:type="pct"/>
            <w:gridSpan w:val="5"/>
            <w:noWrap w:val="0"/>
            <w:vAlign w:val="center"/>
          </w:tcPr>
          <w:p w14:paraId="5A4992F7">
            <w:pPr>
              <w:pStyle w:val="69"/>
              <w:spacing w:line="242" w:lineRule="auto"/>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疫区</w:t>
            </w:r>
            <w:r>
              <w:rPr>
                <w:rFonts w:hint="default" w:ascii="Times New Roman" w:hAnsi="Times New Roman" w:cs="Times New Roman"/>
                <w:color w:val="auto"/>
                <w:sz w:val="21"/>
                <w:highlight w:val="none"/>
              </w:rPr>
              <w:t>（养殖区）、</w:t>
            </w:r>
            <w:r>
              <w:rPr>
                <w:rFonts w:hint="default" w:ascii="Times New Roman" w:hAnsi="Times New Roman" w:cs="Times New Roman"/>
                <w:color w:val="auto"/>
                <w:sz w:val="21"/>
                <w:highlight w:val="none"/>
                <w:lang w:eastAsia="zh-CN"/>
              </w:rPr>
              <w:t>废水收集池</w:t>
            </w:r>
            <w:r>
              <w:rPr>
                <w:rFonts w:hint="default" w:ascii="Times New Roman" w:hAnsi="Times New Roman" w:cs="Times New Roman"/>
                <w:color w:val="auto"/>
                <w:sz w:val="21"/>
                <w:highlight w:val="none"/>
              </w:rPr>
              <w:t>、</w:t>
            </w:r>
            <w:r>
              <w:rPr>
                <w:rFonts w:hint="default" w:ascii="Times New Roman" w:hAnsi="Times New Roman" w:cs="Times New Roman"/>
                <w:color w:val="auto"/>
                <w:sz w:val="21"/>
                <w:szCs w:val="21"/>
                <w:highlight w:val="none"/>
                <w:lang w:eastAsia="zh-CN"/>
              </w:rPr>
              <w:t>鸡粪发酵处理场</w:t>
            </w:r>
          </w:p>
        </w:tc>
      </w:tr>
      <w:tr w14:paraId="08DC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trPr>
        <w:tc>
          <w:tcPr>
            <w:tcW w:w="1143" w:type="pct"/>
            <w:noWrap w:val="0"/>
            <w:vAlign w:val="center"/>
          </w:tcPr>
          <w:p w14:paraId="0E3749B3">
            <w:pPr>
              <w:pStyle w:val="69"/>
              <w:spacing w:line="242" w:lineRule="auto"/>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环境影响途径及危害后果（大气、地表水、地下水等）</w:t>
            </w:r>
          </w:p>
        </w:tc>
        <w:tc>
          <w:tcPr>
            <w:tcW w:w="3856" w:type="pct"/>
            <w:gridSpan w:val="5"/>
            <w:noWrap w:val="0"/>
            <w:vAlign w:val="center"/>
          </w:tcPr>
          <w:p w14:paraId="3D81CE58">
            <w:pPr>
              <w:pStyle w:val="69"/>
              <w:spacing w:line="242" w:lineRule="auto"/>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环境影响途径：</w:t>
            </w:r>
          </w:p>
          <w:p w14:paraId="58303525">
            <w:pPr>
              <w:pStyle w:val="69"/>
              <w:spacing w:line="242" w:lineRule="auto"/>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r>
              <w:rPr>
                <w:rFonts w:hint="default" w:ascii="Times New Roman" w:hAnsi="Times New Roman" w:cs="Times New Roman"/>
                <w:color w:val="auto"/>
                <w:sz w:val="21"/>
                <w:szCs w:val="21"/>
                <w:highlight w:val="none"/>
              </w:rPr>
              <w:t>）水环境扩散：本项目废水、粪污发生泄漏，通过场区地面下渗至地下含水层并向下游运移，对下游地下水环境敏感目标造成风险事故。</w:t>
            </w:r>
          </w:p>
          <w:p w14:paraId="49B2C88E">
            <w:pPr>
              <w:pStyle w:val="69"/>
              <w:spacing w:line="242" w:lineRule="auto"/>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）疫情风险、</w:t>
            </w:r>
            <w:r>
              <w:rPr>
                <w:rFonts w:hint="default" w:ascii="Times New Roman" w:hAnsi="Times New Roman" w:cs="Times New Roman"/>
                <w:color w:val="auto"/>
                <w:sz w:val="21"/>
                <w:szCs w:val="21"/>
                <w:highlight w:val="none"/>
                <w:lang w:eastAsia="zh-CN"/>
              </w:rPr>
              <w:t>病死鸡</w:t>
            </w:r>
            <w:r>
              <w:rPr>
                <w:rFonts w:hint="default" w:ascii="Times New Roman" w:hAnsi="Times New Roman" w:cs="Times New Roman"/>
                <w:color w:val="auto"/>
                <w:sz w:val="21"/>
                <w:szCs w:val="21"/>
                <w:highlight w:val="none"/>
              </w:rPr>
              <w:t>风险：会造成</w:t>
            </w:r>
            <w:r>
              <w:rPr>
                <w:rFonts w:hint="default" w:ascii="Times New Roman" w:hAnsi="Times New Roman" w:cs="Times New Roman"/>
                <w:color w:val="auto"/>
                <w:sz w:val="21"/>
                <w:szCs w:val="21"/>
                <w:highlight w:val="none"/>
                <w:lang w:eastAsia="zh-CN"/>
              </w:rPr>
              <w:t>鸡舍</w:t>
            </w:r>
            <w:r>
              <w:rPr>
                <w:rFonts w:hint="default" w:ascii="Times New Roman" w:hAnsi="Times New Roman" w:cs="Times New Roman"/>
                <w:color w:val="auto"/>
                <w:sz w:val="21"/>
                <w:szCs w:val="21"/>
                <w:highlight w:val="none"/>
              </w:rPr>
              <w:t>的传染和死亡。</w:t>
            </w:r>
          </w:p>
          <w:p w14:paraId="5A28796A">
            <w:pPr>
              <w:pStyle w:val="69"/>
              <w:spacing w:line="242" w:lineRule="auto"/>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环境危害后果：</w:t>
            </w:r>
          </w:p>
          <w:p w14:paraId="6B6F9E8F">
            <w:pPr>
              <w:pStyle w:val="69"/>
              <w:spacing w:line="242" w:lineRule="auto"/>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r>
              <w:rPr>
                <w:rFonts w:hint="default" w:ascii="Times New Roman" w:hAnsi="Times New Roman" w:cs="Times New Roman"/>
                <w:color w:val="auto"/>
                <w:sz w:val="21"/>
                <w:szCs w:val="21"/>
                <w:highlight w:val="none"/>
              </w:rPr>
              <w:t>）疫情风险影响：本项目采取消毒、免疫、诊疗等防控措施，并建立了重大动物疫情应急措施和防控体系，风险在可接受范围内；</w:t>
            </w:r>
          </w:p>
          <w:p w14:paraId="3AA51928">
            <w:pPr>
              <w:pStyle w:val="69"/>
              <w:spacing w:line="242" w:lineRule="auto"/>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r>
              <w:rPr>
                <w:rFonts w:hint="default" w:ascii="Times New Roman" w:hAnsi="Times New Roman" w:cs="Times New Roman"/>
                <w:color w:val="auto"/>
                <w:sz w:val="21"/>
                <w:szCs w:val="21"/>
                <w:highlight w:val="none"/>
              </w:rPr>
              <w:t>）粪污泄漏对地下水环境影响：本项目粪污池均做防渗处理，最终粪污</w:t>
            </w:r>
            <w:r>
              <w:rPr>
                <w:rFonts w:hint="default" w:ascii="Times New Roman" w:hAnsi="Times New Roman" w:cs="Times New Roman"/>
                <w:color w:val="auto"/>
                <w:sz w:val="21"/>
                <w:szCs w:val="21"/>
                <w:highlight w:val="none"/>
                <w:lang w:val="en-US" w:eastAsia="zh-CN"/>
              </w:rPr>
              <w:t>外售农户</w:t>
            </w:r>
            <w:r>
              <w:rPr>
                <w:rFonts w:hint="default" w:ascii="Times New Roman" w:hAnsi="Times New Roman" w:cs="Times New Roman"/>
                <w:color w:val="auto"/>
                <w:sz w:val="21"/>
                <w:szCs w:val="21"/>
                <w:highlight w:val="none"/>
              </w:rPr>
              <w:t>，非正常工况时发生渗漏</w:t>
            </w:r>
            <w:r>
              <w:rPr>
                <w:rFonts w:hint="default" w:ascii="Times New Roman" w:hAnsi="Times New Roman" w:cs="Times New Roman"/>
                <w:color w:val="auto"/>
                <w:sz w:val="21"/>
                <w:szCs w:val="21"/>
                <w:highlight w:val="none"/>
                <w:lang w:eastAsia="zh-CN"/>
              </w:rPr>
              <w:t>概率</w:t>
            </w:r>
            <w:r>
              <w:rPr>
                <w:rFonts w:hint="default" w:ascii="Times New Roman" w:hAnsi="Times New Roman" w:cs="Times New Roman"/>
                <w:color w:val="auto"/>
                <w:sz w:val="21"/>
                <w:szCs w:val="21"/>
                <w:highlight w:val="none"/>
              </w:rPr>
              <w:t>不大，对地下水环境影响较小，通过加强地下水防渗措施，建立地下水监控网络，项目对地下水环境影响水平可接受；</w:t>
            </w:r>
          </w:p>
        </w:tc>
      </w:tr>
      <w:tr w14:paraId="1A01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trPr>
        <w:tc>
          <w:tcPr>
            <w:tcW w:w="1143" w:type="pct"/>
            <w:noWrap w:val="0"/>
            <w:vAlign w:val="center"/>
          </w:tcPr>
          <w:p w14:paraId="6A0850BF">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风险防范措施要求</w:t>
            </w:r>
          </w:p>
        </w:tc>
        <w:tc>
          <w:tcPr>
            <w:tcW w:w="3856" w:type="pct"/>
            <w:gridSpan w:val="5"/>
            <w:noWrap w:val="0"/>
            <w:vAlign w:val="center"/>
          </w:tcPr>
          <w:p w14:paraId="00D58F87">
            <w:pPr>
              <w:pStyle w:val="69"/>
              <w:numPr>
                <w:ilvl w:val="0"/>
                <w:numId w:val="7"/>
              </w:numPr>
              <w:tabs>
                <w:tab w:val="left" w:pos="435"/>
              </w:tabs>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对疫情加强监管和防范；</w:t>
            </w:r>
          </w:p>
          <w:p w14:paraId="2D80786F">
            <w:pPr>
              <w:pStyle w:val="69"/>
              <w:numPr>
                <w:ilvl w:val="0"/>
                <w:numId w:val="7"/>
              </w:numPr>
              <w:tabs>
                <w:tab w:val="left" w:pos="435"/>
              </w:tabs>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对易感染动物进行监测，根据需要实施紧急免疫接种；</w:t>
            </w:r>
          </w:p>
          <w:p w14:paraId="46F31C91">
            <w:pPr>
              <w:pStyle w:val="69"/>
              <w:numPr>
                <w:ilvl w:val="0"/>
                <w:numId w:val="7"/>
              </w:numPr>
              <w:tabs>
                <w:tab w:val="left" w:pos="435"/>
              </w:tabs>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仓储区必须配备灭火器、消火栓、消防锹等消防器材，悬挂防火标志；</w:t>
            </w:r>
          </w:p>
          <w:p w14:paraId="04E0DC9F">
            <w:pPr>
              <w:pStyle w:val="69"/>
              <w:numPr>
                <w:ilvl w:val="0"/>
                <w:numId w:val="7"/>
              </w:numPr>
              <w:tabs>
                <w:tab w:val="left" w:pos="435"/>
              </w:tabs>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仓储区内严禁吸烟，禁止带火种进入；</w:t>
            </w:r>
          </w:p>
          <w:p w14:paraId="1A3CD439">
            <w:pPr>
              <w:pStyle w:val="69"/>
              <w:numPr>
                <w:ilvl w:val="0"/>
                <w:numId w:val="7"/>
              </w:numPr>
              <w:tabs>
                <w:tab w:val="left" w:pos="435"/>
              </w:tabs>
              <w:spacing w:line="242" w:lineRule="auto"/>
              <w:ind w:left="40" w:leftChars="18" w:right="31"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针对运营中可能发生的异常现象和存在的安全隐患，设置合理可行的技术措施，制定严格的操作规程；</w:t>
            </w:r>
          </w:p>
          <w:p w14:paraId="34F6838E">
            <w:pPr>
              <w:pStyle w:val="69"/>
              <w:numPr>
                <w:ilvl w:val="0"/>
                <w:numId w:val="8"/>
              </w:numPr>
              <w:tabs>
                <w:tab w:val="left" w:pos="435"/>
              </w:tabs>
              <w:spacing w:line="242" w:lineRule="auto"/>
              <w:ind w:left="40" w:leftChars="18" w:right="31" w:righ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对</w:t>
            </w:r>
            <w:r>
              <w:rPr>
                <w:rFonts w:hint="default" w:ascii="Times New Roman" w:hAnsi="Times New Roman" w:cs="Times New Roman"/>
                <w:color w:val="auto"/>
                <w:sz w:val="21"/>
                <w:szCs w:val="21"/>
                <w:highlight w:val="none"/>
                <w:lang w:eastAsia="zh-CN"/>
              </w:rPr>
              <w:t>鸡粪发酵处理场</w:t>
            </w:r>
            <w:r>
              <w:rPr>
                <w:rFonts w:hint="default" w:ascii="Times New Roman" w:hAnsi="Times New Roman" w:cs="Times New Roman"/>
                <w:color w:val="auto"/>
                <w:sz w:val="21"/>
                <w:szCs w:val="21"/>
                <w:highlight w:val="none"/>
              </w:rPr>
              <w:t>等易发生泄漏的部位实行定期巡检制度，及时发现问题，尽快解决；</w:t>
            </w:r>
          </w:p>
        </w:tc>
      </w:tr>
    </w:tbl>
    <w:p w14:paraId="6D7561F4">
      <w:pPr>
        <w:pStyle w:val="3"/>
        <w:bidi w:val="0"/>
        <w:rPr>
          <w:rFonts w:hint="default" w:ascii="Times New Roman" w:hAnsi="Times New Roman" w:cs="Times New Roman"/>
          <w:color w:val="FF0000"/>
          <w:lang w:val="en-US" w:eastAsia="zh-CN"/>
        </w:rPr>
      </w:pPr>
      <w:bookmarkStart w:id="142" w:name="_Toc171692855"/>
      <w:r>
        <w:rPr>
          <w:rFonts w:hint="default" w:ascii="Times New Roman" w:hAnsi="Times New Roman" w:cs="Times New Roman"/>
          <w:color w:val="FF0000"/>
          <w:lang w:val="en-US" w:eastAsia="zh-CN"/>
        </w:rPr>
        <w:t>运营期碳排放环境影响评价</w:t>
      </w:r>
      <w:bookmarkEnd w:id="142"/>
    </w:p>
    <w:p w14:paraId="404D9BA5">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为贯彻落实中央和生态环境部“碳达峰、碳中和 ”相关决策部署和文件精神，充分发挥环境影响评价的源头防控、过程管理中的基础性作用，推进项目减污降碳协同 控制，本次评价按照相关政策及文件要求，根据《温室气体排放核算与报告要求第12部分：纺织服装企业》（GB/T 32151.12-2018），计算本项目实施后碳排放量及碳排放强度，并分析整合项目减污降碳措施可行性及碳排放水平。</w:t>
      </w:r>
    </w:p>
    <w:p w14:paraId="5F1F927F">
      <w:pPr>
        <w:pStyle w:val="4"/>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碳排放预测与评价</w:t>
      </w:r>
    </w:p>
    <w:p w14:paraId="4551B6AF">
      <w:pPr>
        <w:pStyle w:val="5"/>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碳排放源分析</w:t>
      </w:r>
    </w:p>
    <w:p w14:paraId="33E7E44E">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按照《温室气体排放核算与报告要求第12部分：纺织服装企业》（GB/T32151.12-2018），核算本项目碳排放情况。本项目排放的温室气体为CO2。主要排放源包括燃料燃烧排放、过程排放、废水处理排放、购入的电力、热力产生的排放。本项目碳排放源情况统计见</w:t>
      </w:r>
      <w:r>
        <w:rPr>
          <w:rFonts w:hint="default" w:ascii="Times New Roman" w:hAnsi="Times New Roman" w:eastAsia="宋体" w:cs="Times New Roman"/>
          <w:color w:val="FF0000"/>
          <w:kern w:val="2"/>
          <w:sz w:val="24"/>
          <w:szCs w:val="20"/>
          <w:lang w:val="en-US" w:bidi="ar-SA"/>
        </w:rPr>
        <w:fldChar w:fldCharType="begin"/>
      </w:r>
      <w:r>
        <w:rPr>
          <w:rFonts w:hint="default" w:ascii="Times New Roman" w:hAnsi="Times New Roman" w:eastAsia="宋体" w:cs="Times New Roman"/>
          <w:color w:val="FF0000"/>
          <w:kern w:val="2"/>
          <w:sz w:val="24"/>
          <w:szCs w:val="20"/>
          <w:lang w:val="en-US" w:bidi="ar-SA"/>
        </w:rPr>
        <w:instrText xml:space="preserve"> REF _Ref170923519 \h  \* MERGEFORMAT </w:instrText>
      </w:r>
      <w:r>
        <w:rPr>
          <w:rFonts w:hint="default" w:ascii="Times New Roman" w:hAnsi="Times New Roman" w:eastAsia="宋体" w:cs="Times New Roman"/>
          <w:color w:val="FF0000"/>
          <w:kern w:val="2"/>
          <w:sz w:val="24"/>
          <w:szCs w:val="20"/>
          <w:lang w:val="en-US" w:bidi="ar-SA"/>
        </w:rPr>
        <w:fldChar w:fldCharType="separate"/>
      </w:r>
      <w:r>
        <w:rPr>
          <w:rFonts w:hint="default" w:ascii="Times New Roman" w:hAnsi="Times New Roman" w:eastAsia="宋体" w:cs="Times New Roman"/>
          <w:color w:val="FF0000"/>
          <w:kern w:val="2"/>
          <w:sz w:val="24"/>
          <w:szCs w:val="20"/>
          <w:lang w:val="en-US" w:bidi="ar-SA"/>
        </w:rPr>
        <w:t>表</w:t>
      </w:r>
      <w:r>
        <w:rPr>
          <w:rFonts w:hint="default" w:ascii="Times New Roman" w:hAnsi="Times New Roman" w:eastAsia="宋体" w:cs="Times New Roman"/>
          <w:color w:val="FF0000"/>
          <w:kern w:val="2"/>
          <w:sz w:val="24"/>
          <w:szCs w:val="20"/>
          <w:lang w:val="en-US" w:eastAsia="zh-CN" w:bidi="ar-SA"/>
        </w:rPr>
        <w:t>5</w:t>
      </w:r>
      <w:r>
        <w:rPr>
          <w:rFonts w:hint="default" w:ascii="Times New Roman" w:hAnsi="Times New Roman" w:eastAsia="宋体" w:cs="Times New Roman"/>
          <w:color w:val="FF0000"/>
          <w:kern w:val="2"/>
          <w:sz w:val="24"/>
          <w:szCs w:val="20"/>
          <w:lang w:val="en-US" w:bidi="ar-SA"/>
        </w:rPr>
        <w:fldChar w:fldCharType="end"/>
      </w:r>
      <w:r>
        <w:rPr>
          <w:rFonts w:hint="default" w:ascii="Times New Roman" w:hAnsi="Times New Roman" w:eastAsia="宋体" w:cs="Times New Roman"/>
          <w:color w:val="FF0000"/>
          <w:kern w:val="2"/>
          <w:sz w:val="24"/>
          <w:szCs w:val="20"/>
          <w:lang w:val="en-US" w:eastAsia="zh-CN" w:bidi="ar-SA"/>
        </w:rPr>
        <w:t>.4-1</w:t>
      </w:r>
      <w:r>
        <w:rPr>
          <w:rFonts w:hint="default" w:ascii="Times New Roman" w:hAnsi="Times New Roman" w:eastAsia="宋体" w:cs="Times New Roman"/>
          <w:color w:val="FF0000"/>
          <w:kern w:val="2"/>
          <w:sz w:val="24"/>
          <w:szCs w:val="20"/>
          <w:lang w:val="en-US" w:bidi="ar-SA"/>
        </w:rPr>
        <w:t>。</w:t>
      </w:r>
    </w:p>
    <w:p w14:paraId="795E78F2">
      <w:pPr>
        <w:pStyle w:val="14"/>
        <w:adjustRightInd w:val="0"/>
        <w:snapToGrid w:val="0"/>
        <w:jc w:val="center"/>
        <w:outlineLvl w:val="5"/>
        <w:rPr>
          <w:rFonts w:hint="default" w:ascii="Times New Roman" w:hAnsi="Times New Roman" w:eastAsia="黑体" w:cs="Times New Roman"/>
          <w:b/>
          <w:color w:val="FF0000"/>
          <w:kern w:val="2"/>
          <w:sz w:val="24"/>
          <w:szCs w:val="21"/>
          <w:lang w:val="en-US" w:eastAsia="zh-CN" w:bidi="ar-SA"/>
        </w:rPr>
      </w:pPr>
      <w:r>
        <w:rPr>
          <w:rFonts w:hint="default" w:ascii="Times New Roman" w:hAnsi="Times New Roman" w:cs="Times New Roman"/>
          <w:color w:val="FF0000"/>
        </w:rPr>
        <w:t xml:space="preserve">表 </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5.4</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w:t>
      </w:r>
      <w:r>
        <w:rPr>
          <w:rFonts w:hint="default" w:ascii="Times New Roman" w:hAnsi="Times New Roman" w:cs="Times New Roman"/>
          <w:color w:val="FF0000"/>
        </w:rPr>
        <w:fldChar w:fldCharType="end"/>
      </w:r>
      <w:r>
        <w:rPr>
          <w:rFonts w:hint="default" w:ascii="Times New Roman" w:hAnsi="Times New Roman" w:eastAsia="黑体" w:cs="Times New Roman"/>
          <w:b/>
          <w:color w:val="FF0000"/>
          <w:kern w:val="2"/>
          <w:sz w:val="24"/>
          <w:szCs w:val="21"/>
          <w:lang w:val="en-US" w:eastAsia="zh-CN" w:bidi="ar-SA"/>
        </w:rPr>
        <w:t xml:space="preserve"> 本项目碳排放源情况统计表</w:t>
      </w:r>
    </w:p>
    <w:tbl>
      <w:tblPr>
        <w:tblStyle w:val="137"/>
        <w:tblW w:w="5000" w:type="pct"/>
        <w:jc w:val="center"/>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Layout w:type="autofit"/>
        <w:tblCellMar>
          <w:top w:w="0" w:type="dxa"/>
          <w:left w:w="0" w:type="dxa"/>
          <w:bottom w:w="0" w:type="dxa"/>
          <w:right w:w="0" w:type="dxa"/>
        </w:tblCellMar>
      </w:tblPr>
      <w:tblGrid>
        <w:gridCol w:w="578"/>
        <w:gridCol w:w="2228"/>
        <w:gridCol w:w="1913"/>
        <w:gridCol w:w="1721"/>
        <w:gridCol w:w="1906"/>
      </w:tblGrid>
      <w:tr w14:paraId="007BFEF6">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346" w:type="pct"/>
            <w:vAlign w:val="center"/>
          </w:tcPr>
          <w:p w14:paraId="351C26A3">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序号</w:t>
            </w:r>
          </w:p>
        </w:tc>
        <w:tc>
          <w:tcPr>
            <w:tcW w:w="1335" w:type="pct"/>
            <w:vAlign w:val="center"/>
          </w:tcPr>
          <w:p w14:paraId="03E5836D">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排放类型</w:t>
            </w:r>
          </w:p>
        </w:tc>
        <w:tc>
          <w:tcPr>
            <w:tcW w:w="1146" w:type="pct"/>
            <w:vAlign w:val="center"/>
          </w:tcPr>
          <w:p w14:paraId="78D6E368">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温室气体排放种类</w:t>
            </w:r>
          </w:p>
        </w:tc>
        <w:tc>
          <w:tcPr>
            <w:tcW w:w="1031" w:type="pct"/>
            <w:vAlign w:val="center"/>
          </w:tcPr>
          <w:p w14:paraId="40C00E23">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能源/物料种类</w:t>
            </w:r>
          </w:p>
        </w:tc>
        <w:tc>
          <w:tcPr>
            <w:tcW w:w="1142" w:type="pct"/>
            <w:vAlign w:val="center"/>
          </w:tcPr>
          <w:p w14:paraId="0B2AE5AF">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排放设备</w:t>
            </w:r>
          </w:p>
        </w:tc>
      </w:tr>
      <w:tr w14:paraId="7F660B31">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346" w:type="pct"/>
            <w:vAlign w:val="center"/>
          </w:tcPr>
          <w:p w14:paraId="72C38953">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1</w:t>
            </w:r>
          </w:p>
        </w:tc>
        <w:tc>
          <w:tcPr>
            <w:tcW w:w="1335" w:type="pct"/>
            <w:vAlign w:val="center"/>
          </w:tcPr>
          <w:p w14:paraId="080FE2FB">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燃料燃烧排放</w:t>
            </w:r>
          </w:p>
        </w:tc>
        <w:tc>
          <w:tcPr>
            <w:tcW w:w="1146" w:type="pct"/>
            <w:vAlign w:val="center"/>
          </w:tcPr>
          <w:p w14:paraId="698CD605">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CO2</w:t>
            </w:r>
          </w:p>
        </w:tc>
        <w:tc>
          <w:tcPr>
            <w:tcW w:w="1031" w:type="pct"/>
            <w:vAlign w:val="center"/>
          </w:tcPr>
          <w:p w14:paraId="71031D54">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c>
          <w:tcPr>
            <w:tcW w:w="1142" w:type="pct"/>
            <w:vAlign w:val="center"/>
          </w:tcPr>
          <w:p w14:paraId="4E9B4F25">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r>
      <w:tr w14:paraId="4CC62532">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346" w:type="pct"/>
            <w:vAlign w:val="center"/>
          </w:tcPr>
          <w:p w14:paraId="7FB963EC">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2</w:t>
            </w:r>
          </w:p>
        </w:tc>
        <w:tc>
          <w:tcPr>
            <w:tcW w:w="1335" w:type="pct"/>
            <w:vAlign w:val="center"/>
          </w:tcPr>
          <w:p w14:paraId="3662953C">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工业生产过程排放</w:t>
            </w:r>
          </w:p>
        </w:tc>
        <w:tc>
          <w:tcPr>
            <w:tcW w:w="1146" w:type="pct"/>
            <w:vAlign w:val="center"/>
          </w:tcPr>
          <w:p w14:paraId="1A1E54CD">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CO2</w:t>
            </w:r>
          </w:p>
        </w:tc>
        <w:tc>
          <w:tcPr>
            <w:tcW w:w="1031" w:type="pct"/>
            <w:vAlign w:val="center"/>
          </w:tcPr>
          <w:p w14:paraId="77A9DACA">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c>
          <w:tcPr>
            <w:tcW w:w="1142" w:type="pct"/>
            <w:vAlign w:val="center"/>
          </w:tcPr>
          <w:p w14:paraId="197C0004">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r>
      <w:tr w14:paraId="7D57A03B">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346" w:type="pct"/>
            <w:vAlign w:val="center"/>
          </w:tcPr>
          <w:p w14:paraId="7D069D0F">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3</w:t>
            </w:r>
          </w:p>
        </w:tc>
        <w:tc>
          <w:tcPr>
            <w:tcW w:w="1335" w:type="pct"/>
            <w:vAlign w:val="center"/>
          </w:tcPr>
          <w:p w14:paraId="3EC47A1D">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废水处理排放</w:t>
            </w:r>
          </w:p>
        </w:tc>
        <w:tc>
          <w:tcPr>
            <w:tcW w:w="1146" w:type="pct"/>
            <w:vAlign w:val="center"/>
          </w:tcPr>
          <w:p w14:paraId="6F7D99B4">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c>
          <w:tcPr>
            <w:tcW w:w="1031" w:type="pct"/>
            <w:vAlign w:val="center"/>
          </w:tcPr>
          <w:p w14:paraId="4A201739">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c>
          <w:tcPr>
            <w:tcW w:w="1142" w:type="pct"/>
            <w:vAlign w:val="center"/>
          </w:tcPr>
          <w:p w14:paraId="136748BF">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r>
      <w:tr w14:paraId="6B4F1A51">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346" w:type="pct"/>
            <w:vAlign w:val="center"/>
          </w:tcPr>
          <w:p w14:paraId="761CD26F">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4</w:t>
            </w:r>
          </w:p>
        </w:tc>
        <w:tc>
          <w:tcPr>
            <w:tcW w:w="1335" w:type="pct"/>
            <w:vAlign w:val="center"/>
          </w:tcPr>
          <w:p w14:paraId="0BDE6996">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购入电力产生的排放</w:t>
            </w:r>
          </w:p>
        </w:tc>
        <w:tc>
          <w:tcPr>
            <w:tcW w:w="1146" w:type="pct"/>
            <w:vAlign w:val="center"/>
          </w:tcPr>
          <w:p w14:paraId="74571971">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CO2</w:t>
            </w:r>
          </w:p>
        </w:tc>
        <w:tc>
          <w:tcPr>
            <w:tcW w:w="1031" w:type="pct"/>
            <w:vAlign w:val="center"/>
          </w:tcPr>
          <w:p w14:paraId="67DCE095">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电力</w:t>
            </w:r>
          </w:p>
        </w:tc>
        <w:tc>
          <w:tcPr>
            <w:tcW w:w="1142" w:type="pct"/>
            <w:vAlign w:val="center"/>
          </w:tcPr>
          <w:p w14:paraId="04786440">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本项目用电设施</w:t>
            </w:r>
          </w:p>
        </w:tc>
      </w:tr>
      <w:tr w14:paraId="1B9AB4C9">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346" w:type="pct"/>
            <w:vAlign w:val="center"/>
          </w:tcPr>
          <w:p w14:paraId="2AA5433D">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5</w:t>
            </w:r>
          </w:p>
        </w:tc>
        <w:tc>
          <w:tcPr>
            <w:tcW w:w="1335" w:type="pct"/>
            <w:vAlign w:val="center"/>
          </w:tcPr>
          <w:p w14:paraId="4657114B">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购入热力产生的排放</w:t>
            </w:r>
          </w:p>
        </w:tc>
        <w:tc>
          <w:tcPr>
            <w:tcW w:w="1146" w:type="pct"/>
            <w:vAlign w:val="center"/>
          </w:tcPr>
          <w:p w14:paraId="20EECDEA">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CO2</w:t>
            </w:r>
          </w:p>
        </w:tc>
        <w:tc>
          <w:tcPr>
            <w:tcW w:w="1031" w:type="pct"/>
            <w:vAlign w:val="center"/>
          </w:tcPr>
          <w:p w14:paraId="5C973581">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c>
          <w:tcPr>
            <w:tcW w:w="1142" w:type="pct"/>
            <w:vAlign w:val="center"/>
          </w:tcPr>
          <w:p w14:paraId="7B848DE6">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r>
      <w:tr w14:paraId="63F59B09">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346" w:type="pct"/>
            <w:vAlign w:val="center"/>
          </w:tcPr>
          <w:p w14:paraId="4F533BB9">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6</w:t>
            </w:r>
          </w:p>
        </w:tc>
        <w:tc>
          <w:tcPr>
            <w:tcW w:w="1335" w:type="pct"/>
            <w:vAlign w:val="center"/>
          </w:tcPr>
          <w:p w14:paraId="7853B216">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其他温室气体排放</w:t>
            </w:r>
          </w:p>
        </w:tc>
        <w:tc>
          <w:tcPr>
            <w:tcW w:w="1146" w:type="pct"/>
            <w:vAlign w:val="center"/>
          </w:tcPr>
          <w:p w14:paraId="71839720">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c>
          <w:tcPr>
            <w:tcW w:w="1031" w:type="pct"/>
            <w:vAlign w:val="center"/>
          </w:tcPr>
          <w:p w14:paraId="552EB291">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c>
          <w:tcPr>
            <w:tcW w:w="1142" w:type="pct"/>
            <w:vAlign w:val="center"/>
          </w:tcPr>
          <w:p w14:paraId="632FB082">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w:t>
            </w:r>
          </w:p>
        </w:tc>
      </w:tr>
    </w:tbl>
    <w:p w14:paraId="11388CF9">
      <w:pPr>
        <w:widowControl/>
        <w:adjustRightInd w:val="0"/>
        <w:snapToGrid w:val="0"/>
        <w:spacing w:after="0" w:line="240" w:lineRule="auto"/>
        <w:ind w:firstLine="392" w:firstLineChars="200"/>
        <w:jc w:val="both"/>
        <w:rPr>
          <w:rFonts w:hint="default" w:ascii="Times New Roman" w:hAnsi="Times New Roman" w:eastAsia="宋体" w:cs="Times New Roman"/>
          <w:color w:val="FF0000"/>
          <w:spacing w:val="8"/>
          <w:kern w:val="2"/>
          <w:sz w:val="18"/>
          <w:szCs w:val="24"/>
          <w:lang w:val="en-US" w:eastAsia="zh-CN" w:bidi="ar-SA"/>
        </w:rPr>
      </w:pPr>
    </w:p>
    <w:p w14:paraId="1B1DF181">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综上分析，本项目识别碳排放源为：燃料燃烧排放、废水处理排放、购入电力产生的排放、购入热力产生的排放。</w:t>
      </w:r>
    </w:p>
    <w:p w14:paraId="26C9D0D2">
      <w:pPr>
        <w:pStyle w:val="5"/>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碳排放核算</w:t>
      </w:r>
    </w:p>
    <w:p w14:paraId="0C72F1AC">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本次评价从能源活动排放、工业生产过程排放、净购入电力和热力排放等方面，计算建设项目实施后的碳排放量。结合项目特点及关键经济指标，计算建设项目碳排放强度。</w:t>
      </w:r>
    </w:p>
    <w:p w14:paraId="6D8143E4">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 xml:space="preserve">本项目碳排放计算方法如下： </w:t>
      </w:r>
    </w:p>
    <w:p w14:paraId="0556DB9D">
      <w:pPr>
        <w:autoSpaceDE/>
        <w:autoSpaceDN/>
        <w:spacing w:line="360" w:lineRule="auto"/>
        <w:ind w:firstLine="0" w:firstLineChars="0"/>
        <w:jc w:val="center"/>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𝐸=𝐸</w:t>
      </w:r>
      <w:r>
        <w:rPr>
          <w:rFonts w:hint="default" w:ascii="Times New Roman" w:hAnsi="Times New Roman" w:eastAsia="宋体" w:cs="Times New Roman"/>
          <w:color w:val="FF0000"/>
          <w:kern w:val="2"/>
          <w:sz w:val="24"/>
          <w:szCs w:val="20"/>
          <w:vertAlign w:val="subscript"/>
          <w:lang w:val="en-US" w:bidi="ar-SA"/>
        </w:rPr>
        <w:t>燃烧</w:t>
      </w:r>
      <w:r>
        <w:rPr>
          <w:rFonts w:hint="default" w:ascii="Times New Roman" w:hAnsi="Times New Roman" w:eastAsia="宋体" w:cs="Times New Roman"/>
          <w:color w:val="FF0000"/>
          <w:kern w:val="2"/>
          <w:sz w:val="24"/>
          <w:szCs w:val="20"/>
          <w:lang w:val="en-US" w:bidi="ar-SA"/>
        </w:rPr>
        <w:t>+𝐸</w:t>
      </w:r>
      <w:r>
        <w:rPr>
          <w:rFonts w:hint="default" w:ascii="Times New Roman" w:hAnsi="Times New Roman" w:eastAsia="宋体" w:cs="Times New Roman"/>
          <w:color w:val="FF0000"/>
          <w:kern w:val="2"/>
          <w:sz w:val="24"/>
          <w:szCs w:val="20"/>
          <w:vertAlign w:val="subscript"/>
          <w:lang w:val="en-US" w:bidi="ar-SA"/>
        </w:rPr>
        <w:t>过程</w:t>
      </w:r>
      <w:r>
        <w:rPr>
          <w:rFonts w:hint="default" w:ascii="Times New Roman" w:hAnsi="Times New Roman" w:eastAsia="宋体" w:cs="Times New Roman"/>
          <w:color w:val="FF0000"/>
          <w:kern w:val="2"/>
          <w:sz w:val="24"/>
          <w:szCs w:val="20"/>
          <w:lang w:val="en-US" w:bidi="ar-SA"/>
        </w:rPr>
        <w:t>+𝐸</w:t>
      </w:r>
      <w:r>
        <w:rPr>
          <w:rFonts w:hint="default" w:ascii="Times New Roman" w:hAnsi="Times New Roman" w:eastAsia="宋体" w:cs="Times New Roman"/>
          <w:color w:val="FF0000"/>
          <w:kern w:val="2"/>
          <w:sz w:val="24"/>
          <w:szCs w:val="20"/>
          <w:vertAlign w:val="subscript"/>
          <w:lang w:val="en-US" w:bidi="ar-SA"/>
        </w:rPr>
        <w:t>废水</w:t>
      </w:r>
      <w:r>
        <w:rPr>
          <w:rFonts w:hint="default" w:ascii="Times New Roman" w:hAnsi="Times New Roman" w:eastAsia="宋体" w:cs="Times New Roman"/>
          <w:color w:val="FF0000"/>
          <w:kern w:val="2"/>
          <w:sz w:val="24"/>
          <w:szCs w:val="20"/>
          <w:lang w:val="en-US" w:bidi="ar-SA"/>
        </w:rPr>
        <w:t>+𝐸</w:t>
      </w:r>
      <w:r>
        <w:rPr>
          <w:rFonts w:hint="default" w:ascii="Times New Roman" w:hAnsi="Times New Roman" w:eastAsia="宋体" w:cs="Times New Roman"/>
          <w:color w:val="FF0000"/>
          <w:kern w:val="2"/>
          <w:sz w:val="24"/>
          <w:szCs w:val="20"/>
          <w:vertAlign w:val="subscript"/>
          <w:lang w:val="en-US" w:bidi="ar-SA"/>
        </w:rPr>
        <w:t>购入电</w:t>
      </w:r>
      <w:r>
        <w:rPr>
          <w:rFonts w:hint="default" w:ascii="Times New Roman" w:hAnsi="Times New Roman" w:eastAsia="宋体" w:cs="Times New Roman"/>
          <w:color w:val="FF0000"/>
          <w:kern w:val="2"/>
          <w:sz w:val="24"/>
          <w:szCs w:val="20"/>
          <w:lang w:val="en-US" w:bidi="ar-SA"/>
        </w:rPr>
        <w:t>+𝐸</w:t>
      </w:r>
      <w:r>
        <w:rPr>
          <w:rFonts w:hint="default" w:ascii="Times New Roman" w:hAnsi="Times New Roman" w:eastAsia="宋体" w:cs="Times New Roman"/>
          <w:color w:val="FF0000"/>
          <w:kern w:val="2"/>
          <w:sz w:val="24"/>
          <w:szCs w:val="20"/>
          <w:vertAlign w:val="subscript"/>
          <w:lang w:val="en-US" w:bidi="ar-SA"/>
        </w:rPr>
        <w:t>购入热</w:t>
      </w:r>
      <w:r>
        <w:rPr>
          <w:rFonts w:hint="default" w:ascii="Times New Roman" w:hAnsi="Times New Roman" w:eastAsia="宋体" w:cs="Times New Roman"/>
          <w:color w:val="FF0000"/>
          <w:kern w:val="2"/>
          <w:sz w:val="24"/>
          <w:szCs w:val="20"/>
          <w:lang w:val="en-US" w:bidi="ar-SA"/>
        </w:rPr>
        <w:t>−𝐸</w:t>
      </w:r>
      <w:r>
        <w:rPr>
          <w:rFonts w:hint="default" w:ascii="Times New Roman" w:hAnsi="Times New Roman" w:eastAsia="宋体" w:cs="Times New Roman"/>
          <w:color w:val="FF0000"/>
          <w:kern w:val="2"/>
          <w:sz w:val="24"/>
          <w:szCs w:val="20"/>
          <w:vertAlign w:val="subscript"/>
          <w:lang w:val="en-US" w:bidi="ar-SA"/>
        </w:rPr>
        <w:t>输出电</w:t>
      </w:r>
      <w:r>
        <w:rPr>
          <w:rFonts w:hint="default" w:ascii="Times New Roman" w:hAnsi="Times New Roman" w:eastAsia="宋体" w:cs="Times New Roman"/>
          <w:color w:val="FF0000"/>
          <w:kern w:val="2"/>
          <w:sz w:val="24"/>
          <w:szCs w:val="20"/>
          <w:lang w:val="en-US" w:bidi="ar-SA"/>
        </w:rPr>
        <w:t>−𝐸</w:t>
      </w:r>
      <w:r>
        <w:rPr>
          <w:rFonts w:hint="default" w:ascii="Times New Roman" w:hAnsi="Times New Roman" w:eastAsia="宋体" w:cs="Times New Roman"/>
          <w:color w:val="FF0000"/>
          <w:kern w:val="2"/>
          <w:sz w:val="24"/>
          <w:szCs w:val="20"/>
          <w:vertAlign w:val="subscript"/>
          <w:lang w:val="en-US" w:bidi="ar-SA"/>
        </w:rPr>
        <w:t>输出热</w:t>
      </w:r>
    </w:p>
    <w:p w14:paraId="75430699">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其中：</w:t>
      </w:r>
    </w:p>
    <w:p w14:paraId="34028EEE">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GB" w:bidi="ar-SA"/>
        </w:rPr>
      </w:pPr>
      <w:r>
        <w:rPr>
          <w:rFonts w:hint="default" w:ascii="Times New Roman" w:hAnsi="Times New Roman" w:eastAsia="宋体" w:cs="Times New Roman"/>
          <w:color w:val="FF0000"/>
          <w:kern w:val="2"/>
          <w:sz w:val="24"/>
          <w:szCs w:val="20"/>
          <w:lang w:val="en-GB" w:bidi="ar-SA"/>
        </w:rPr>
        <w:t>𝐸—报告主体温室气体排放总量，单位为t二氧化碳当量（tCO</w:t>
      </w:r>
      <w:r>
        <w:rPr>
          <w:rFonts w:hint="default" w:ascii="Times New Roman" w:hAnsi="Times New Roman" w:eastAsia="宋体" w:cs="Times New Roman"/>
          <w:color w:val="FF0000"/>
          <w:kern w:val="2"/>
          <w:sz w:val="24"/>
          <w:szCs w:val="20"/>
          <w:vertAlign w:val="subscript"/>
          <w:lang w:val="en-GB" w:bidi="ar-SA"/>
        </w:rPr>
        <w:t>2</w:t>
      </w:r>
      <w:r>
        <w:rPr>
          <w:rFonts w:hint="default" w:ascii="Times New Roman" w:hAnsi="Times New Roman" w:eastAsia="宋体" w:cs="Times New Roman"/>
          <w:color w:val="FF0000"/>
          <w:kern w:val="2"/>
          <w:sz w:val="24"/>
          <w:szCs w:val="20"/>
          <w:lang w:val="en-GB" w:bidi="ar-SA"/>
        </w:rPr>
        <w:t>e）；</w:t>
      </w:r>
    </w:p>
    <w:p w14:paraId="47FA9B3C">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GB" w:bidi="ar-SA"/>
        </w:rPr>
      </w:pPr>
      <w:r>
        <w:rPr>
          <w:rFonts w:hint="default" w:ascii="Times New Roman" w:hAnsi="Times New Roman" w:eastAsia="宋体" w:cs="Times New Roman"/>
          <w:color w:val="FF0000"/>
          <w:kern w:val="2"/>
          <w:sz w:val="24"/>
          <w:szCs w:val="20"/>
          <w:lang w:val="en-GB" w:bidi="ar-SA"/>
        </w:rPr>
        <w:t>𝐸</w:t>
      </w:r>
      <w:r>
        <w:rPr>
          <w:rFonts w:hint="default" w:ascii="Times New Roman" w:hAnsi="Times New Roman" w:eastAsia="宋体" w:cs="Times New Roman"/>
          <w:color w:val="FF0000"/>
          <w:kern w:val="2"/>
          <w:sz w:val="24"/>
          <w:szCs w:val="20"/>
          <w:vertAlign w:val="subscript"/>
          <w:lang w:val="en-GB" w:bidi="ar-SA"/>
        </w:rPr>
        <w:t>燃烧</w:t>
      </w:r>
      <w:r>
        <w:rPr>
          <w:rFonts w:hint="default" w:ascii="Times New Roman" w:hAnsi="Times New Roman" w:eastAsia="宋体" w:cs="Times New Roman"/>
          <w:color w:val="FF0000"/>
          <w:kern w:val="2"/>
          <w:sz w:val="24"/>
          <w:szCs w:val="20"/>
          <w:lang w:val="en-GB" w:bidi="ar-SA"/>
        </w:rPr>
        <w:t>—报告主体燃料燃烧二氧化碳排放量，单位为t二氧化碳当量（tCO</w:t>
      </w:r>
      <w:r>
        <w:rPr>
          <w:rFonts w:hint="default" w:ascii="Times New Roman" w:hAnsi="Times New Roman" w:eastAsia="宋体" w:cs="Times New Roman"/>
          <w:color w:val="FF0000"/>
          <w:kern w:val="2"/>
          <w:sz w:val="24"/>
          <w:szCs w:val="20"/>
          <w:vertAlign w:val="subscript"/>
          <w:lang w:val="en-GB" w:bidi="ar-SA"/>
        </w:rPr>
        <w:t>2</w:t>
      </w:r>
      <w:r>
        <w:rPr>
          <w:rFonts w:hint="default" w:ascii="Times New Roman" w:hAnsi="Times New Roman" w:eastAsia="宋体" w:cs="Times New Roman"/>
          <w:color w:val="FF0000"/>
          <w:kern w:val="2"/>
          <w:sz w:val="24"/>
          <w:szCs w:val="20"/>
          <w:lang w:val="en-GB" w:bidi="ar-SA"/>
        </w:rPr>
        <w:t>e）；</w:t>
      </w:r>
    </w:p>
    <w:p w14:paraId="01B36A86">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GB" w:bidi="ar-SA"/>
        </w:rPr>
      </w:pPr>
      <w:r>
        <w:rPr>
          <w:rFonts w:hint="default" w:ascii="Times New Roman" w:hAnsi="Times New Roman" w:eastAsia="宋体" w:cs="Times New Roman"/>
          <w:color w:val="FF0000"/>
          <w:kern w:val="2"/>
          <w:sz w:val="24"/>
          <w:szCs w:val="20"/>
          <w:lang w:val="en-GB" w:bidi="ar-SA"/>
        </w:rPr>
        <w:t>𝐸</w:t>
      </w:r>
      <w:r>
        <w:rPr>
          <w:rFonts w:hint="default" w:ascii="Times New Roman" w:hAnsi="Times New Roman" w:eastAsia="宋体" w:cs="Times New Roman"/>
          <w:color w:val="FF0000"/>
          <w:kern w:val="2"/>
          <w:sz w:val="24"/>
          <w:szCs w:val="20"/>
          <w:vertAlign w:val="subscript"/>
          <w:lang w:val="en-GB" w:bidi="ar-SA"/>
        </w:rPr>
        <w:t>过程</w:t>
      </w:r>
      <w:r>
        <w:rPr>
          <w:rFonts w:hint="default" w:ascii="Times New Roman" w:hAnsi="Times New Roman" w:eastAsia="宋体" w:cs="Times New Roman"/>
          <w:color w:val="FF0000"/>
          <w:kern w:val="2"/>
          <w:sz w:val="24"/>
          <w:szCs w:val="20"/>
          <w:lang w:val="en-GB" w:bidi="ar-SA"/>
        </w:rPr>
        <w:t>—报告主</w:t>
      </w:r>
      <w:r>
        <w:rPr>
          <w:rFonts w:hint="default" w:ascii="Times New Roman" w:hAnsi="Times New Roman" w:cs="Times New Roman"/>
          <w:color w:val="FF0000"/>
          <w:kern w:val="2"/>
          <w:sz w:val="24"/>
          <w:szCs w:val="20"/>
          <w:lang w:val="en-GB" w:eastAsia="zh-CN" w:bidi="ar-SA"/>
        </w:rPr>
        <w:t>体生</w:t>
      </w:r>
      <w:r>
        <w:rPr>
          <w:rFonts w:hint="default" w:ascii="Times New Roman" w:hAnsi="Times New Roman" w:eastAsia="宋体" w:cs="Times New Roman"/>
          <w:color w:val="FF0000"/>
          <w:kern w:val="2"/>
          <w:sz w:val="24"/>
          <w:szCs w:val="20"/>
          <w:lang w:val="en-GB" w:bidi="ar-SA"/>
        </w:rPr>
        <w:t>产过程二氧化碳排放量，单位为t二氧化碳当量（tCO</w:t>
      </w:r>
      <w:r>
        <w:rPr>
          <w:rFonts w:hint="default" w:ascii="Times New Roman" w:hAnsi="Times New Roman" w:eastAsia="宋体" w:cs="Times New Roman"/>
          <w:color w:val="FF0000"/>
          <w:kern w:val="2"/>
          <w:sz w:val="24"/>
          <w:szCs w:val="20"/>
          <w:vertAlign w:val="subscript"/>
          <w:lang w:val="en-GB" w:bidi="ar-SA"/>
        </w:rPr>
        <w:t>2</w:t>
      </w:r>
      <w:r>
        <w:rPr>
          <w:rFonts w:hint="default" w:ascii="Times New Roman" w:hAnsi="Times New Roman" w:eastAsia="宋体" w:cs="Times New Roman"/>
          <w:color w:val="FF0000"/>
          <w:kern w:val="2"/>
          <w:sz w:val="24"/>
          <w:szCs w:val="20"/>
          <w:lang w:val="en-GB" w:bidi="ar-SA"/>
        </w:rPr>
        <w:t>e）；</w:t>
      </w:r>
    </w:p>
    <w:p w14:paraId="16513154">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GB" w:bidi="ar-SA"/>
        </w:rPr>
      </w:pPr>
      <w:r>
        <w:rPr>
          <w:rFonts w:hint="default" w:ascii="Times New Roman" w:hAnsi="Times New Roman" w:eastAsia="宋体" w:cs="Times New Roman"/>
          <w:color w:val="FF0000"/>
          <w:kern w:val="2"/>
          <w:sz w:val="24"/>
          <w:szCs w:val="20"/>
          <w:lang w:val="en-GB" w:bidi="ar-SA"/>
        </w:rPr>
        <w:t>𝐸</w:t>
      </w:r>
      <w:r>
        <w:rPr>
          <w:rFonts w:hint="default" w:ascii="Times New Roman" w:hAnsi="Times New Roman" w:eastAsia="宋体" w:cs="Times New Roman"/>
          <w:color w:val="FF0000"/>
          <w:kern w:val="2"/>
          <w:sz w:val="24"/>
          <w:szCs w:val="20"/>
          <w:vertAlign w:val="subscript"/>
          <w:lang w:val="en-GB" w:bidi="ar-SA"/>
        </w:rPr>
        <w:t>废水</w:t>
      </w:r>
      <w:r>
        <w:rPr>
          <w:rFonts w:hint="default" w:ascii="Times New Roman" w:hAnsi="Times New Roman" w:eastAsia="宋体" w:cs="Times New Roman"/>
          <w:color w:val="FF0000"/>
          <w:kern w:val="2"/>
          <w:sz w:val="24"/>
          <w:szCs w:val="20"/>
          <w:lang w:val="en-GB" w:bidi="ar-SA"/>
        </w:rPr>
        <w:t>—报告主体废水处理温室气体排放量，单位为吨二氧化碳当量（tCO2e）；</w:t>
      </w:r>
    </w:p>
    <w:p w14:paraId="169C8ECE">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GB" w:bidi="ar-SA"/>
        </w:rPr>
      </w:pPr>
      <w:r>
        <w:rPr>
          <w:rFonts w:hint="default" w:ascii="Times New Roman" w:hAnsi="Times New Roman" w:eastAsia="宋体" w:cs="Times New Roman"/>
          <w:color w:val="FF0000"/>
          <w:kern w:val="2"/>
          <w:sz w:val="24"/>
          <w:szCs w:val="20"/>
          <w:lang w:val="en-GB" w:bidi="ar-SA"/>
        </w:rPr>
        <w:t>𝐸</w:t>
      </w:r>
      <w:r>
        <w:rPr>
          <w:rFonts w:hint="default" w:ascii="Times New Roman" w:hAnsi="Times New Roman" w:eastAsia="宋体" w:cs="Times New Roman"/>
          <w:color w:val="FF0000"/>
          <w:kern w:val="2"/>
          <w:sz w:val="24"/>
          <w:szCs w:val="20"/>
          <w:vertAlign w:val="subscript"/>
          <w:lang w:val="en-GB" w:bidi="ar-SA"/>
        </w:rPr>
        <w:t>购入热</w:t>
      </w:r>
      <w:r>
        <w:rPr>
          <w:rFonts w:hint="default" w:ascii="Times New Roman" w:hAnsi="Times New Roman" w:eastAsia="宋体" w:cs="Times New Roman"/>
          <w:color w:val="FF0000"/>
          <w:kern w:val="2"/>
          <w:sz w:val="24"/>
          <w:szCs w:val="20"/>
          <w:lang w:val="en-GB" w:bidi="ar-SA"/>
        </w:rPr>
        <w:t>—报告主体购入的热力对应的二氧化碳排放量，单位为t二氧化碳当量（tCO</w:t>
      </w:r>
      <w:r>
        <w:rPr>
          <w:rFonts w:hint="default" w:ascii="Times New Roman" w:hAnsi="Times New Roman" w:eastAsia="宋体" w:cs="Times New Roman"/>
          <w:color w:val="FF0000"/>
          <w:kern w:val="2"/>
          <w:sz w:val="24"/>
          <w:szCs w:val="20"/>
          <w:vertAlign w:val="subscript"/>
          <w:lang w:val="en-GB" w:bidi="ar-SA"/>
        </w:rPr>
        <w:t>2</w:t>
      </w:r>
      <w:r>
        <w:rPr>
          <w:rFonts w:hint="default" w:ascii="Times New Roman" w:hAnsi="Times New Roman" w:eastAsia="宋体" w:cs="Times New Roman"/>
          <w:color w:val="FF0000"/>
          <w:kern w:val="2"/>
          <w:sz w:val="24"/>
          <w:szCs w:val="20"/>
          <w:lang w:val="en-GB" w:bidi="ar-SA"/>
        </w:rPr>
        <w:t>e）；</w:t>
      </w:r>
    </w:p>
    <w:p w14:paraId="3D8A0D4E">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GB" w:bidi="ar-SA"/>
        </w:rPr>
      </w:pPr>
      <w:r>
        <w:rPr>
          <w:rFonts w:hint="default" w:ascii="Times New Roman" w:hAnsi="Times New Roman" w:eastAsia="宋体" w:cs="Times New Roman"/>
          <w:color w:val="FF0000"/>
          <w:kern w:val="2"/>
          <w:sz w:val="24"/>
          <w:szCs w:val="20"/>
          <w:lang w:val="en-GB" w:bidi="ar-SA"/>
        </w:rPr>
        <w:t>𝐸</w:t>
      </w:r>
      <w:r>
        <w:rPr>
          <w:rFonts w:hint="default" w:ascii="Times New Roman" w:hAnsi="Times New Roman" w:eastAsia="宋体" w:cs="Times New Roman"/>
          <w:color w:val="FF0000"/>
          <w:kern w:val="2"/>
          <w:sz w:val="24"/>
          <w:szCs w:val="20"/>
          <w:vertAlign w:val="subscript"/>
          <w:lang w:val="en-GB" w:bidi="ar-SA"/>
        </w:rPr>
        <w:t>购入电</w:t>
      </w:r>
      <w:r>
        <w:rPr>
          <w:rFonts w:hint="default" w:ascii="Times New Roman" w:hAnsi="Times New Roman" w:eastAsia="宋体" w:cs="Times New Roman"/>
          <w:color w:val="FF0000"/>
          <w:kern w:val="2"/>
          <w:sz w:val="24"/>
          <w:szCs w:val="20"/>
          <w:lang w:val="en-GB" w:bidi="ar-SA"/>
        </w:rPr>
        <w:t>—报告主体购入的电力对应的二氧化碳排放量，单位为t二氧化碳当量（tCO</w:t>
      </w:r>
      <w:r>
        <w:rPr>
          <w:rFonts w:hint="default" w:ascii="Times New Roman" w:hAnsi="Times New Roman" w:eastAsia="宋体" w:cs="Times New Roman"/>
          <w:color w:val="FF0000"/>
          <w:kern w:val="2"/>
          <w:sz w:val="24"/>
          <w:szCs w:val="20"/>
          <w:vertAlign w:val="subscript"/>
          <w:lang w:val="en-GB" w:bidi="ar-SA"/>
        </w:rPr>
        <w:t>2</w:t>
      </w:r>
      <w:r>
        <w:rPr>
          <w:rFonts w:hint="default" w:ascii="Times New Roman" w:hAnsi="Times New Roman" w:eastAsia="宋体" w:cs="Times New Roman"/>
          <w:color w:val="FF0000"/>
          <w:kern w:val="2"/>
          <w:sz w:val="24"/>
          <w:szCs w:val="20"/>
          <w:lang w:val="en-GB" w:bidi="ar-SA"/>
        </w:rPr>
        <w:t>e）；</w:t>
      </w:r>
    </w:p>
    <w:p w14:paraId="4A360197">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GB" w:bidi="ar-SA"/>
        </w:rPr>
      </w:pPr>
      <w:r>
        <w:rPr>
          <w:rFonts w:hint="default" w:ascii="Times New Roman" w:hAnsi="Times New Roman" w:eastAsia="宋体" w:cs="Times New Roman"/>
          <w:color w:val="FF0000"/>
          <w:kern w:val="2"/>
          <w:sz w:val="24"/>
          <w:szCs w:val="20"/>
          <w:lang w:val="en-GB" w:bidi="ar-SA"/>
        </w:rPr>
        <w:t>𝐸</w:t>
      </w:r>
      <w:r>
        <w:rPr>
          <w:rFonts w:hint="default" w:ascii="Times New Roman" w:hAnsi="Times New Roman" w:eastAsia="宋体" w:cs="Times New Roman"/>
          <w:color w:val="FF0000"/>
          <w:kern w:val="2"/>
          <w:sz w:val="24"/>
          <w:szCs w:val="20"/>
          <w:vertAlign w:val="subscript"/>
          <w:lang w:val="en-GB" w:bidi="ar-SA"/>
        </w:rPr>
        <w:t>输出电</w:t>
      </w:r>
      <w:r>
        <w:rPr>
          <w:rFonts w:hint="default" w:ascii="Times New Roman" w:hAnsi="Times New Roman" w:eastAsia="宋体" w:cs="Times New Roman"/>
          <w:color w:val="FF0000"/>
          <w:kern w:val="2"/>
          <w:sz w:val="24"/>
          <w:szCs w:val="20"/>
          <w:lang w:val="en-GB" w:bidi="ar-SA"/>
        </w:rPr>
        <w:t>—报告主体输出的电力对应的二氧化碳排放量，单位为t二氧化碳当量（tCO</w:t>
      </w:r>
      <w:r>
        <w:rPr>
          <w:rFonts w:hint="default" w:ascii="Times New Roman" w:hAnsi="Times New Roman" w:eastAsia="宋体" w:cs="Times New Roman"/>
          <w:color w:val="FF0000"/>
          <w:kern w:val="2"/>
          <w:sz w:val="24"/>
          <w:szCs w:val="20"/>
          <w:vertAlign w:val="subscript"/>
          <w:lang w:val="en-GB" w:bidi="ar-SA"/>
        </w:rPr>
        <w:t>2</w:t>
      </w:r>
      <w:r>
        <w:rPr>
          <w:rFonts w:hint="default" w:ascii="Times New Roman" w:hAnsi="Times New Roman" w:eastAsia="宋体" w:cs="Times New Roman"/>
          <w:color w:val="FF0000"/>
          <w:kern w:val="2"/>
          <w:sz w:val="24"/>
          <w:szCs w:val="20"/>
          <w:lang w:val="en-GB" w:bidi="ar-SA"/>
        </w:rPr>
        <w:t>e）；</w:t>
      </w:r>
    </w:p>
    <w:p w14:paraId="3AF8A8CA">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GB" w:bidi="ar-SA"/>
        </w:rPr>
      </w:pPr>
      <w:r>
        <w:rPr>
          <w:rFonts w:hint="default" w:ascii="Times New Roman" w:hAnsi="Times New Roman" w:eastAsia="宋体" w:cs="Times New Roman"/>
          <w:color w:val="FF0000"/>
          <w:kern w:val="2"/>
          <w:sz w:val="24"/>
          <w:szCs w:val="20"/>
          <w:lang w:val="en-GB" w:bidi="ar-SA"/>
        </w:rPr>
        <w:t>𝐸</w:t>
      </w:r>
      <w:r>
        <w:rPr>
          <w:rFonts w:hint="default" w:ascii="Times New Roman" w:hAnsi="Times New Roman" w:eastAsia="宋体" w:cs="Times New Roman"/>
          <w:color w:val="FF0000"/>
          <w:kern w:val="2"/>
          <w:sz w:val="24"/>
          <w:szCs w:val="20"/>
          <w:vertAlign w:val="subscript"/>
          <w:lang w:val="en-GB" w:bidi="ar-SA"/>
        </w:rPr>
        <w:t>输出热</w:t>
      </w:r>
      <w:r>
        <w:rPr>
          <w:rFonts w:hint="default" w:ascii="Times New Roman" w:hAnsi="Times New Roman" w:eastAsia="宋体" w:cs="Times New Roman"/>
          <w:color w:val="FF0000"/>
          <w:kern w:val="2"/>
          <w:sz w:val="24"/>
          <w:szCs w:val="20"/>
          <w:lang w:val="en-GB" w:bidi="ar-SA"/>
        </w:rPr>
        <w:t>—报告主体输出的热力产生的二氧化碳排放量，单位为t二氧化碳当量（tCO</w:t>
      </w:r>
      <w:r>
        <w:rPr>
          <w:rFonts w:hint="default" w:ascii="Times New Roman" w:hAnsi="Times New Roman" w:eastAsia="宋体" w:cs="Times New Roman"/>
          <w:color w:val="FF0000"/>
          <w:kern w:val="2"/>
          <w:sz w:val="24"/>
          <w:szCs w:val="20"/>
          <w:vertAlign w:val="subscript"/>
          <w:lang w:val="en-GB" w:bidi="ar-SA"/>
        </w:rPr>
        <w:t>2</w:t>
      </w:r>
      <w:r>
        <w:rPr>
          <w:rFonts w:hint="default" w:ascii="Times New Roman" w:hAnsi="Times New Roman" w:eastAsia="宋体" w:cs="Times New Roman"/>
          <w:color w:val="FF0000"/>
          <w:kern w:val="2"/>
          <w:sz w:val="24"/>
          <w:szCs w:val="20"/>
          <w:lang w:val="en-GB" w:bidi="ar-SA"/>
        </w:rPr>
        <w:t>e）。</w:t>
      </w:r>
    </w:p>
    <w:p w14:paraId="2B941F0A">
      <w:pPr>
        <w:pStyle w:val="5"/>
        <w:bidi w:val="0"/>
        <w:rPr>
          <w:rFonts w:hint="default" w:ascii="Times New Roman" w:hAnsi="Times New Roman" w:eastAsia="宋体" w:cs="Times New Roman"/>
          <w:bCs/>
          <w:color w:val="FF0000"/>
          <w:kern w:val="2"/>
          <w:sz w:val="24"/>
          <w:szCs w:val="28"/>
          <w:lang w:val="en-US" w:eastAsia="zh-CN" w:bidi="ar-SA"/>
        </w:rPr>
      </w:pPr>
      <w:r>
        <w:rPr>
          <w:rFonts w:hint="default" w:ascii="Times New Roman" w:hAnsi="Times New Roman" w:eastAsia="宋体" w:cs="Times New Roman"/>
          <w:bCs/>
          <w:color w:val="FF0000"/>
          <w:kern w:val="2"/>
          <w:sz w:val="24"/>
          <w:szCs w:val="28"/>
          <w:lang w:val="en-US" w:eastAsia="zh-CN" w:bidi="ar-SA"/>
        </w:rPr>
        <w:t>购入电力产生的CO</w:t>
      </w:r>
      <w:r>
        <w:rPr>
          <w:rFonts w:hint="default" w:ascii="Times New Roman" w:hAnsi="Times New Roman" w:eastAsia="宋体" w:cs="Times New Roman"/>
          <w:bCs/>
          <w:color w:val="FF0000"/>
          <w:kern w:val="2"/>
          <w:sz w:val="24"/>
          <w:szCs w:val="28"/>
          <w:vertAlign w:val="subscript"/>
          <w:lang w:val="en-US" w:eastAsia="zh-CN" w:bidi="ar-SA"/>
        </w:rPr>
        <w:t>2</w:t>
      </w:r>
      <w:r>
        <w:rPr>
          <w:rFonts w:hint="default" w:ascii="Times New Roman" w:hAnsi="Times New Roman" w:eastAsia="宋体" w:cs="Times New Roman"/>
          <w:bCs/>
          <w:color w:val="FF0000"/>
          <w:kern w:val="2"/>
          <w:sz w:val="24"/>
          <w:szCs w:val="28"/>
          <w:lang w:val="en-US" w:eastAsia="zh-CN" w:bidi="ar-SA"/>
        </w:rPr>
        <w:t>排放核算</w:t>
      </w:r>
    </w:p>
    <w:p w14:paraId="12F616D1">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购入电力产生的二氧化碳排放量按下式计算：</w:t>
      </w:r>
    </w:p>
    <w:p w14:paraId="1C693AF8">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𝐸</w:t>
      </w:r>
      <w:r>
        <w:rPr>
          <w:rFonts w:hint="default" w:ascii="Times New Roman" w:hAnsi="Times New Roman" w:eastAsia="宋体" w:cs="Times New Roman"/>
          <w:color w:val="FF0000"/>
          <w:kern w:val="2"/>
          <w:sz w:val="24"/>
          <w:szCs w:val="20"/>
          <w:vertAlign w:val="subscript"/>
          <w:lang w:val="en-US" w:bidi="ar-SA"/>
        </w:rPr>
        <w:t>购入电,i</w:t>
      </w:r>
      <w:r>
        <w:rPr>
          <w:rFonts w:hint="default" w:ascii="Times New Roman" w:hAnsi="Times New Roman" w:eastAsia="宋体" w:cs="Times New Roman"/>
          <w:color w:val="FF0000"/>
          <w:kern w:val="2"/>
          <w:sz w:val="24"/>
          <w:szCs w:val="20"/>
          <w:lang w:val="en-US" w:bidi="ar-SA"/>
        </w:rPr>
        <w:t>=𝐴𝐷</w:t>
      </w:r>
      <w:r>
        <w:rPr>
          <w:rFonts w:hint="default" w:ascii="Times New Roman" w:hAnsi="Times New Roman" w:eastAsia="宋体" w:cs="Times New Roman"/>
          <w:color w:val="FF0000"/>
          <w:kern w:val="2"/>
          <w:sz w:val="24"/>
          <w:szCs w:val="20"/>
          <w:vertAlign w:val="subscript"/>
          <w:lang w:val="en-US" w:bidi="ar-SA"/>
        </w:rPr>
        <w:t>购入电,i</w:t>
      </w:r>
      <w:r>
        <w:rPr>
          <w:rFonts w:hint="default" w:ascii="Times New Roman" w:hAnsi="Times New Roman" w:eastAsia="宋体" w:cs="Times New Roman"/>
          <w:color w:val="FF0000"/>
          <w:kern w:val="2"/>
          <w:sz w:val="24"/>
          <w:szCs w:val="20"/>
          <w:lang w:val="en-US" w:bidi="ar-SA"/>
        </w:rPr>
        <w:t>×𝐸𝐹</w:t>
      </w:r>
      <w:r>
        <w:rPr>
          <w:rFonts w:hint="default" w:ascii="Times New Roman" w:hAnsi="Times New Roman" w:eastAsia="宋体" w:cs="Times New Roman"/>
          <w:color w:val="FF0000"/>
          <w:kern w:val="2"/>
          <w:sz w:val="24"/>
          <w:szCs w:val="20"/>
          <w:vertAlign w:val="subscript"/>
          <w:lang w:val="en-US" w:bidi="ar-SA"/>
        </w:rPr>
        <w:t>电</w:t>
      </w:r>
    </w:p>
    <w:p w14:paraId="0E6874F8">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𝐸</w:t>
      </w:r>
      <w:r>
        <w:rPr>
          <w:rFonts w:hint="default" w:ascii="Times New Roman" w:hAnsi="Times New Roman" w:eastAsia="宋体" w:cs="Times New Roman"/>
          <w:color w:val="FF0000"/>
          <w:kern w:val="2"/>
          <w:sz w:val="24"/>
          <w:szCs w:val="20"/>
          <w:vertAlign w:val="subscript"/>
          <w:lang w:val="en-US" w:bidi="ar-SA"/>
        </w:rPr>
        <w:t>购入电,i</w:t>
      </w:r>
      <w:r>
        <w:rPr>
          <w:rFonts w:hint="default" w:ascii="Times New Roman" w:hAnsi="Times New Roman" w:eastAsia="宋体" w:cs="Times New Roman"/>
          <w:color w:val="FF0000"/>
          <w:kern w:val="2"/>
          <w:sz w:val="24"/>
          <w:szCs w:val="20"/>
          <w:lang w:val="en-US" w:bidi="ar-SA"/>
        </w:rPr>
        <w:t>——核算单元i购入电力所产生的二氧化碳排放量，单位为吨二氧化碳（tCO</w:t>
      </w:r>
      <w:r>
        <w:rPr>
          <w:rFonts w:hint="default" w:ascii="Times New Roman" w:hAnsi="Times New Roman" w:eastAsia="宋体" w:cs="Times New Roman"/>
          <w:color w:val="FF0000"/>
          <w:kern w:val="2"/>
          <w:sz w:val="24"/>
          <w:szCs w:val="20"/>
          <w:vertAlign w:val="subscript"/>
          <w:lang w:val="en-US" w:bidi="ar-SA"/>
        </w:rPr>
        <w:t>2</w:t>
      </w:r>
      <w:r>
        <w:rPr>
          <w:rFonts w:hint="default" w:ascii="Times New Roman" w:hAnsi="Times New Roman" w:eastAsia="宋体" w:cs="Times New Roman"/>
          <w:color w:val="FF0000"/>
          <w:kern w:val="2"/>
          <w:sz w:val="24"/>
          <w:szCs w:val="20"/>
          <w:lang w:val="en-US" w:bidi="ar-SA"/>
        </w:rPr>
        <w:t>）；</w:t>
      </w:r>
    </w:p>
    <w:p w14:paraId="77A2F4B6">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𝐴𝐷</w:t>
      </w:r>
      <w:r>
        <w:rPr>
          <w:rFonts w:hint="default" w:ascii="Times New Roman" w:hAnsi="Times New Roman" w:eastAsia="宋体" w:cs="Times New Roman"/>
          <w:color w:val="FF0000"/>
          <w:kern w:val="2"/>
          <w:sz w:val="24"/>
          <w:szCs w:val="20"/>
          <w:vertAlign w:val="subscript"/>
          <w:lang w:val="en-US" w:bidi="ar-SA"/>
        </w:rPr>
        <w:t>购入电,i</w:t>
      </w:r>
      <w:r>
        <w:rPr>
          <w:rFonts w:hint="default" w:ascii="Times New Roman" w:hAnsi="Times New Roman" w:eastAsia="宋体" w:cs="Times New Roman"/>
          <w:color w:val="FF0000"/>
          <w:kern w:val="2"/>
          <w:sz w:val="24"/>
          <w:szCs w:val="20"/>
          <w:lang w:val="en-US" w:bidi="ar-SA"/>
        </w:rPr>
        <w:t>——核算期内核算单元i购入电力，单位为兆瓦时（MWh）；</w:t>
      </w:r>
    </w:p>
    <w:p w14:paraId="5D8AA7D4">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𝐸𝐹</w:t>
      </w:r>
      <w:r>
        <w:rPr>
          <w:rFonts w:hint="default" w:ascii="Times New Roman" w:hAnsi="Times New Roman" w:eastAsia="宋体" w:cs="Times New Roman"/>
          <w:color w:val="FF0000"/>
          <w:kern w:val="2"/>
          <w:sz w:val="24"/>
          <w:szCs w:val="20"/>
          <w:vertAlign w:val="subscript"/>
          <w:lang w:val="en-US" w:bidi="ar-SA"/>
        </w:rPr>
        <w:t>电</w:t>
      </w:r>
      <w:r>
        <w:rPr>
          <w:rFonts w:hint="default" w:ascii="Times New Roman" w:hAnsi="Times New Roman" w:eastAsia="宋体" w:cs="Times New Roman"/>
          <w:color w:val="FF0000"/>
          <w:kern w:val="2"/>
          <w:sz w:val="24"/>
          <w:szCs w:val="20"/>
          <w:lang w:val="en-US" w:bidi="ar-SA"/>
        </w:rPr>
        <w:t>——区域电网年平均供电排放因子，单位为吨二氧化碳每兆瓦时（tCO</w:t>
      </w:r>
      <w:r>
        <w:rPr>
          <w:rFonts w:hint="default" w:ascii="Times New Roman" w:hAnsi="Times New Roman" w:eastAsia="宋体" w:cs="Times New Roman"/>
          <w:color w:val="FF0000"/>
          <w:kern w:val="2"/>
          <w:sz w:val="24"/>
          <w:szCs w:val="20"/>
          <w:vertAlign w:val="subscript"/>
          <w:lang w:val="en-US" w:bidi="ar-SA"/>
        </w:rPr>
        <w:t>2</w:t>
      </w:r>
      <w:r>
        <w:rPr>
          <w:rFonts w:hint="default" w:ascii="Times New Roman" w:hAnsi="Times New Roman" w:eastAsia="宋体" w:cs="Times New Roman"/>
          <w:color w:val="FF0000"/>
          <w:kern w:val="2"/>
          <w:sz w:val="24"/>
          <w:szCs w:val="20"/>
          <w:lang w:val="en-US" w:bidi="ar-SA"/>
        </w:rPr>
        <w:t>/MWh）。</w:t>
      </w:r>
    </w:p>
    <w:p w14:paraId="3F73B66D">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根据《关于做好2023—2025年发电行业企业温室气体排放报告管理有关工作的通知》（环办气候函〔2023〕43号），区域电网年平均供电排放因子EF</w:t>
      </w:r>
      <w:r>
        <w:rPr>
          <w:rFonts w:hint="default" w:ascii="Times New Roman" w:hAnsi="Times New Roman" w:eastAsia="宋体" w:cs="Times New Roman"/>
          <w:color w:val="FF0000"/>
          <w:kern w:val="2"/>
          <w:sz w:val="24"/>
          <w:szCs w:val="20"/>
          <w:vertAlign w:val="subscript"/>
          <w:lang w:val="en-US" w:bidi="ar-SA"/>
        </w:rPr>
        <w:t>电</w:t>
      </w:r>
      <w:r>
        <w:rPr>
          <w:rFonts w:hint="default" w:ascii="Times New Roman" w:hAnsi="Times New Roman" w:eastAsia="宋体" w:cs="Times New Roman"/>
          <w:color w:val="FF0000"/>
          <w:kern w:val="2"/>
          <w:sz w:val="24"/>
          <w:szCs w:val="20"/>
          <w:lang w:val="en-US" w:bidi="ar-SA"/>
        </w:rPr>
        <w:t>取值0.5703tCO2/MWh。</w:t>
      </w:r>
    </w:p>
    <w:p w14:paraId="01EF2873">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本项目用电量约10225kWh/a，经计算购入电力所产生的二氧化碳排放量</w:t>
      </w:r>
    </w:p>
    <w:p w14:paraId="24AE8D65">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E</w:t>
      </w:r>
      <w:r>
        <w:rPr>
          <w:rFonts w:hint="default" w:ascii="Times New Roman" w:hAnsi="Times New Roman" w:eastAsia="宋体" w:cs="Times New Roman"/>
          <w:color w:val="FF0000"/>
          <w:kern w:val="2"/>
          <w:sz w:val="24"/>
          <w:szCs w:val="20"/>
          <w:vertAlign w:val="subscript"/>
          <w:lang w:val="en-US" w:bidi="ar-SA"/>
        </w:rPr>
        <w:t>购入电</w:t>
      </w:r>
      <w:r>
        <w:rPr>
          <w:rFonts w:hint="default" w:ascii="Times New Roman" w:hAnsi="Times New Roman" w:eastAsia="宋体" w:cs="Times New Roman"/>
          <w:color w:val="FF0000"/>
          <w:kern w:val="2"/>
          <w:sz w:val="24"/>
          <w:szCs w:val="20"/>
          <w:lang w:val="en-US" w:bidi="ar-SA"/>
        </w:rPr>
        <w:t>=10.225×0.5703=5.8313tCO</w:t>
      </w:r>
      <w:r>
        <w:rPr>
          <w:rFonts w:hint="default" w:ascii="Times New Roman" w:hAnsi="Times New Roman" w:eastAsia="宋体" w:cs="Times New Roman"/>
          <w:color w:val="FF0000"/>
          <w:kern w:val="2"/>
          <w:sz w:val="24"/>
          <w:szCs w:val="20"/>
          <w:vertAlign w:val="subscript"/>
          <w:lang w:val="en-US" w:bidi="ar-SA"/>
        </w:rPr>
        <w:t>2</w:t>
      </w:r>
      <w:r>
        <w:rPr>
          <w:rFonts w:hint="default" w:ascii="Times New Roman" w:hAnsi="Times New Roman" w:eastAsia="宋体" w:cs="Times New Roman"/>
          <w:color w:val="FF0000"/>
          <w:kern w:val="2"/>
          <w:sz w:val="24"/>
          <w:szCs w:val="20"/>
          <w:lang w:val="en-US" w:bidi="ar-SA"/>
        </w:rPr>
        <w:t>。</w:t>
      </w:r>
    </w:p>
    <w:p w14:paraId="4FD8F7CB">
      <w:pPr>
        <w:pStyle w:val="5"/>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碳排放量汇总</w:t>
      </w:r>
    </w:p>
    <w:p w14:paraId="6056E24D">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项目实施后，燃料燃烧碳排放、工业生产过程碳排放、废水处理过程碳排放、净购入电力和热力碳</w:t>
      </w:r>
      <w:r>
        <w:rPr>
          <w:rFonts w:hint="default" w:ascii="Times New Roman" w:hAnsi="Times New Roman" w:cs="Times New Roman"/>
          <w:color w:val="FF0000"/>
          <w:kern w:val="2"/>
          <w:sz w:val="24"/>
          <w:szCs w:val="20"/>
          <w:lang w:val="en-US" w:eastAsia="zh-CN" w:bidi="ar-SA"/>
        </w:rPr>
        <w:t>排放量</w:t>
      </w:r>
      <w:r>
        <w:rPr>
          <w:rFonts w:hint="default" w:ascii="Times New Roman" w:hAnsi="Times New Roman" w:eastAsia="宋体" w:cs="Times New Roman"/>
          <w:color w:val="FF0000"/>
          <w:kern w:val="2"/>
          <w:sz w:val="24"/>
          <w:szCs w:val="20"/>
          <w:lang w:val="en-US" w:bidi="ar-SA"/>
        </w:rPr>
        <w:t>。</w:t>
      </w:r>
    </w:p>
    <w:p w14:paraId="12B2BA7B">
      <w:pPr>
        <w:pStyle w:val="14"/>
        <w:adjustRightInd w:val="0"/>
        <w:snapToGrid w:val="0"/>
        <w:jc w:val="center"/>
        <w:outlineLvl w:val="5"/>
        <w:rPr>
          <w:rFonts w:hint="default" w:ascii="Times New Roman" w:hAnsi="Times New Roman" w:eastAsia="黑体" w:cs="Times New Roman"/>
          <w:b/>
          <w:color w:val="FF0000"/>
          <w:kern w:val="2"/>
          <w:sz w:val="24"/>
          <w:szCs w:val="21"/>
          <w:lang w:val="en-US" w:eastAsia="zh-CN" w:bidi="ar-SA"/>
        </w:rPr>
      </w:pPr>
      <w:r>
        <w:rPr>
          <w:rFonts w:hint="default" w:ascii="Times New Roman" w:hAnsi="Times New Roman" w:cs="Times New Roman"/>
          <w:color w:val="FF0000"/>
        </w:rPr>
        <w:t xml:space="preserve">表 </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5.4</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eastAsia="黑体" w:cs="Times New Roman"/>
          <w:b/>
          <w:color w:val="FF0000"/>
          <w:kern w:val="2"/>
          <w:sz w:val="24"/>
          <w:szCs w:val="21"/>
          <w:lang w:val="en-US" w:eastAsia="zh-CN" w:bidi="ar-SA"/>
        </w:rPr>
        <w:t xml:space="preserve"> 本项目碳排放数据统计一览表</w:t>
      </w:r>
    </w:p>
    <w:tbl>
      <w:tblPr>
        <w:tblStyle w:val="137"/>
        <w:tblW w:w="5000" w:type="pct"/>
        <w:jc w:val="center"/>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Layout w:type="autofit"/>
        <w:tblCellMar>
          <w:top w:w="0" w:type="dxa"/>
          <w:left w:w="0" w:type="dxa"/>
          <w:bottom w:w="0" w:type="dxa"/>
          <w:right w:w="0" w:type="dxa"/>
        </w:tblCellMar>
      </w:tblPr>
      <w:tblGrid>
        <w:gridCol w:w="4173"/>
        <w:gridCol w:w="4173"/>
      </w:tblGrid>
      <w:tr w14:paraId="6A324D3A">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2500" w:type="pct"/>
            <w:vAlign w:val="center"/>
          </w:tcPr>
          <w:p w14:paraId="6F557490">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排放源类别</w:t>
            </w:r>
          </w:p>
        </w:tc>
        <w:tc>
          <w:tcPr>
            <w:tcW w:w="2500" w:type="pct"/>
            <w:vAlign w:val="center"/>
          </w:tcPr>
          <w:p w14:paraId="3A090D1D">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预计核算排放量</w:t>
            </w:r>
          </w:p>
        </w:tc>
      </w:tr>
      <w:tr w14:paraId="009E535F">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2500" w:type="pct"/>
            <w:vAlign w:val="center"/>
          </w:tcPr>
          <w:p w14:paraId="0FE521E1">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燃料燃烧排放量/tCO</w:t>
            </w:r>
            <w:r>
              <w:rPr>
                <w:rFonts w:hint="default" w:ascii="Times New Roman" w:hAnsi="Times New Roman" w:eastAsia="宋体" w:cs="Times New Roman"/>
                <w:color w:val="FF0000"/>
                <w:kern w:val="2"/>
                <w:sz w:val="21"/>
                <w:szCs w:val="24"/>
                <w:vertAlign w:val="subscript"/>
                <w:lang w:val="en-US" w:eastAsia="zh-CN" w:bidi="ar-SA"/>
              </w:rPr>
              <w:t>2</w:t>
            </w:r>
          </w:p>
        </w:tc>
        <w:tc>
          <w:tcPr>
            <w:tcW w:w="2500" w:type="pct"/>
            <w:vAlign w:val="center"/>
          </w:tcPr>
          <w:p w14:paraId="4FE509DF">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0</w:t>
            </w:r>
          </w:p>
        </w:tc>
      </w:tr>
      <w:tr w14:paraId="6C1AD959">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2500" w:type="pct"/>
            <w:vAlign w:val="center"/>
          </w:tcPr>
          <w:p w14:paraId="1F240178">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过程排放量/tCO</w:t>
            </w:r>
            <w:r>
              <w:rPr>
                <w:rFonts w:hint="default" w:ascii="Times New Roman" w:hAnsi="Times New Roman" w:eastAsia="宋体" w:cs="Times New Roman"/>
                <w:color w:val="FF0000"/>
                <w:kern w:val="2"/>
                <w:sz w:val="21"/>
                <w:szCs w:val="24"/>
                <w:vertAlign w:val="subscript"/>
                <w:lang w:val="en-US" w:eastAsia="zh-CN" w:bidi="ar-SA"/>
              </w:rPr>
              <w:t>2</w:t>
            </w:r>
          </w:p>
        </w:tc>
        <w:tc>
          <w:tcPr>
            <w:tcW w:w="2500" w:type="pct"/>
            <w:vAlign w:val="center"/>
          </w:tcPr>
          <w:p w14:paraId="337ECC10">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0</w:t>
            </w:r>
          </w:p>
        </w:tc>
      </w:tr>
      <w:tr w14:paraId="71820F19">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2500" w:type="pct"/>
            <w:vAlign w:val="center"/>
          </w:tcPr>
          <w:p w14:paraId="0F8F387F">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废水处理排放量/tCO</w:t>
            </w:r>
            <w:r>
              <w:rPr>
                <w:rFonts w:hint="default" w:ascii="Times New Roman" w:hAnsi="Times New Roman" w:eastAsia="宋体" w:cs="Times New Roman"/>
                <w:color w:val="FF0000"/>
                <w:kern w:val="2"/>
                <w:sz w:val="21"/>
                <w:szCs w:val="24"/>
                <w:vertAlign w:val="subscript"/>
                <w:lang w:val="en-US" w:eastAsia="zh-CN" w:bidi="ar-SA"/>
              </w:rPr>
              <w:t>2</w:t>
            </w:r>
            <w:r>
              <w:rPr>
                <w:rFonts w:hint="default" w:ascii="Times New Roman" w:hAnsi="Times New Roman" w:eastAsia="宋体" w:cs="Times New Roman"/>
                <w:color w:val="FF0000"/>
                <w:kern w:val="2"/>
                <w:sz w:val="21"/>
                <w:szCs w:val="24"/>
                <w:lang w:val="en-US" w:eastAsia="zh-CN" w:bidi="ar-SA"/>
              </w:rPr>
              <w:t>e</w:t>
            </w:r>
          </w:p>
        </w:tc>
        <w:tc>
          <w:tcPr>
            <w:tcW w:w="2500" w:type="pct"/>
            <w:vAlign w:val="center"/>
          </w:tcPr>
          <w:p w14:paraId="4239CC57">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0</w:t>
            </w:r>
          </w:p>
        </w:tc>
      </w:tr>
      <w:tr w14:paraId="5DAA2114">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2500" w:type="pct"/>
            <w:vAlign w:val="center"/>
          </w:tcPr>
          <w:p w14:paraId="6F582FFE">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购入电力产生的排放量/tCO</w:t>
            </w:r>
            <w:r>
              <w:rPr>
                <w:rFonts w:hint="default" w:ascii="Times New Roman" w:hAnsi="Times New Roman" w:eastAsia="宋体" w:cs="Times New Roman"/>
                <w:color w:val="FF0000"/>
                <w:kern w:val="2"/>
                <w:sz w:val="21"/>
                <w:szCs w:val="24"/>
                <w:vertAlign w:val="subscript"/>
                <w:lang w:val="en-US" w:eastAsia="zh-CN" w:bidi="ar-SA"/>
              </w:rPr>
              <w:t>2</w:t>
            </w:r>
          </w:p>
        </w:tc>
        <w:tc>
          <w:tcPr>
            <w:tcW w:w="2500" w:type="pct"/>
            <w:vAlign w:val="center"/>
          </w:tcPr>
          <w:p w14:paraId="526C4C33">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5.831</w:t>
            </w:r>
          </w:p>
        </w:tc>
      </w:tr>
      <w:tr w14:paraId="62AE7B2F">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2500" w:type="pct"/>
            <w:vAlign w:val="center"/>
          </w:tcPr>
          <w:p w14:paraId="0CCF4BAF">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购入热力产生的排放量/tCO</w:t>
            </w:r>
            <w:r>
              <w:rPr>
                <w:rFonts w:hint="default" w:ascii="Times New Roman" w:hAnsi="Times New Roman" w:eastAsia="宋体" w:cs="Times New Roman"/>
                <w:color w:val="FF0000"/>
                <w:kern w:val="2"/>
                <w:sz w:val="21"/>
                <w:szCs w:val="24"/>
                <w:vertAlign w:val="subscript"/>
                <w:lang w:val="en-US" w:eastAsia="zh-CN" w:bidi="ar-SA"/>
              </w:rPr>
              <w:t>2</w:t>
            </w:r>
          </w:p>
        </w:tc>
        <w:tc>
          <w:tcPr>
            <w:tcW w:w="2500" w:type="pct"/>
            <w:vAlign w:val="center"/>
          </w:tcPr>
          <w:p w14:paraId="4C382018">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03</w:t>
            </w:r>
          </w:p>
        </w:tc>
      </w:tr>
      <w:tr w14:paraId="623FA8C0">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2500" w:type="pct"/>
            <w:vAlign w:val="center"/>
          </w:tcPr>
          <w:p w14:paraId="2939599C">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输出电力产生的排放量/tCO</w:t>
            </w:r>
            <w:r>
              <w:rPr>
                <w:rFonts w:hint="default" w:ascii="Times New Roman" w:hAnsi="Times New Roman" w:eastAsia="宋体" w:cs="Times New Roman"/>
                <w:color w:val="FF0000"/>
                <w:kern w:val="2"/>
                <w:sz w:val="21"/>
                <w:szCs w:val="24"/>
                <w:vertAlign w:val="subscript"/>
                <w:lang w:val="en-US" w:eastAsia="zh-CN" w:bidi="ar-SA"/>
              </w:rPr>
              <w:t>2</w:t>
            </w:r>
          </w:p>
        </w:tc>
        <w:tc>
          <w:tcPr>
            <w:tcW w:w="2500" w:type="pct"/>
            <w:vAlign w:val="center"/>
          </w:tcPr>
          <w:p w14:paraId="594E8048">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0</w:t>
            </w:r>
          </w:p>
        </w:tc>
      </w:tr>
      <w:tr w14:paraId="2F7710DE">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2500" w:type="pct"/>
            <w:vAlign w:val="center"/>
          </w:tcPr>
          <w:p w14:paraId="2BFFA9E0">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输出热力产生的排放量/tCO</w:t>
            </w:r>
            <w:r>
              <w:rPr>
                <w:rFonts w:hint="default" w:ascii="Times New Roman" w:hAnsi="Times New Roman" w:eastAsia="宋体" w:cs="Times New Roman"/>
                <w:color w:val="FF0000"/>
                <w:kern w:val="2"/>
                <w:sz w:val="21"/>
                <w:szCs w:val="24"/>
                <w:vertAlign w:val="subscript"/>
                <w:lang w:val="en-US" w:eastAsia="zh-CN" w:bidi="ar-SA"/>
              </w:rPr>
              <w:t>2</w:t>
            </w:r>
          </w:p>
        </w:tc>
        <w:tc>
          <w:tcPr>
            <w:tcW w:w="2500" w:type="pct"/>
            <w:vAlign w:val="center"/>
          </w:tcPr>
          <w:p w14:paraId="38871737">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0</w:t>
            </w:r>
          </w:p>
        </w:tc>
      </w:tr>
      <w:tr w14:paraId="3611C93F">
        <w:tblPrEx>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Ex>
        <w:trPr>
          <w:trHeight w:val="397" w:hRule="atLeast"/>
          <w:jc w:val="center"/>
        </w:trPr>
        <w:tc>
          <w:tcPr>
            <w:tcW w:w="2500" w:type="pct"/>
            <w:vAlign w:val="center"/>
          </w:tcPr>
          <w:p w14:paraId="33A1C224">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企业温室气体排放总量/tCO</w:t>
            </w:r>
            <w:r>
              <w:rPr>
                <w:rFonts w:hint="default" w:ascii="Times New Roman" w:hAnsi="Times New Roman" w:eastAsia="宋体" w:cs="Times New Roman"/>
                <w:color w:val="FF0000"/>
                <w:kern w:val="2"/>
                <w:sz w:val="21"/>
                <w:szCs w:val="24"/>
                <w:vertAlign w:val="subscript"/>
                <w:lang w:val="en-US" w:eastAsia="zh-CN" w:bidi="ar-SA"/>
              </w:rPr>
              <w:t>2</w:t>
            </w:r>
            <w:r>
              <w:rPr>
                <w:rFonts w:hint="default" w:ascii="Times New Roman" w:hAnsi="Times New Roman" w:eastAsia="宋体" w:cs="Times New Roman"/>
                <w:color w:val="FF0000"/>
                <w:kern w:val="2"/>
                <w:sz w:val="21"/>
                <w:szCs w:val="24"/>
                <w:lang w:val="en-US" w:eastAsia="zh-CN" w:bidi="ar-SA"/>
              </w:rPr>
              <w:t>e</w:t>
            </w:r>
          </w:p>
        </w:tc>
        <w:tc>
          <w:tcPr>
            <w:tcW w:w="2500" w:type="pct"/>
            <w:vAlign w:val="center"/>
          </w:tcPr>
          <w:p w14:paraId="10BB68DA">
            <w:pPr>
              <w:snapToGrid w:val="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5.831</w:t>
            </w:r>
          </w:p>
        </w:tc>
      </w:tr>
    </w:tbl>
    <w:p w14:paraId="2064B8AD">
      <w:pPr>
        <w:widowControl/>
        <w:adjustRightInd w:val="0"/>
        <w:snapToGrid w:val="0"/>
        <w:spacing w:after="0" w:line="240" w:lineRule="auto"/>
        <w:ind w:firstLine="392" w:firstLineChars="200"/>
        <w:jc w:val="both"/>
        <w:rPr>
          <w:rFonts w:hint="default" w:ascii="Times New Roman" w:hAnsi="Times New Roman" w:eastAsia="宋体" w:cs="Times New Roman"/>
          <w:color w:val="FF0000"/>
          <w:spacing w:val="8"/>
          <w:kern w:val="2"/>
          <w:sz w:val="18"/>
          <w:szCs w:val="24"/>
          <w:lang w:val="en-US" w:eastAsia="zh-CN" w:bidi="ar-SA"/>
        </w:rPr>
      </w:pPr>
    </w:p>
    <w:p w14:paraId="5646A25A">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根据计算，本项目CO</w:t>
      </w:r>
      <w:r>
        <w:rPr>
          <w:rFonts w:hint="default" w:ascii="Times New Roman" w:hAnsi="Times New Roman" w:eastAsia="宋体" w:cs="Times New Roman"/>
          <w:color w:val="FF0000"/>
          <w:kern w:val="2"/>
          <w:sz w:val="24"/>
          <w:szCs w:val="20"/>
          <w:vertAlign w:val="subscript"/>
          <w:lang w:val="en-US" w:bidi="ar-SA"/>
        </w:rPr>
        <w:t>2</w:t>
      </w:r>
      <w:r>
        <w:rPr>
          <w:rFonts w:hint="default" w:ascii="Times New Roman" w:hAnsi="Times New Roman" w:eastAsia="宋体" w:cs="Times New Roman"/>
          <w:color w:val="FF0000"/>
          <w:kern w:val="2"/>
          <w:sz w:val="24"/>
          <w:szCs w:val="20"/>
          <w:lang w:val="en-US" w:bidi="ar-SA"/>
        </w:rPr>
        <w:t>年排放总量为</w:t>
      </w:r>
      <w:r>
        <w:rPr>
          <w:rFonts w:hint="default" w:ascii="Times New Roman" w:hAnsi="Times New Roman" w:eastAsia="宋体" w:cs="Times New Roman"/>
          <w:color w:val="FF0000"/>
          <w:kern w:val="2"/>
          <w:sz w:val="24"/>
          <w:szCs w:val="20"/>
          <w:lang w:val="en-US" w:eastAsia="zh-CN" w:bidi="ar-SA"/>
        </w:rPr>
        <w:t>5.831</w:t>
      </w:r>
      <w:r>
        <w:rPr>
          <w:rFonts w:hint="default" w:ascii="Times New Roman" w:hAnsi="Times New Roman" w:eastAsia="宋体" w:cs="Times New Roman"/>
          <w:color w:val="FF0000"/>
          <w:kern w:val="2"/>
          <w:sz w:val="24"/>
          <w:szCs w:val="20"/>
          <w:lang w:val="en-US" w:bidi="ar-SA"/>
        </w:rPr>
        <w:t>t CO</w:t>
      </w:r>
      <w:r>
        <w:rPr>
          <w:rFonts w:hint="default" w:ascii="Times New Roman" w:hAnsi="Times New Roman" w:eastAsia="宋体" w:cs="Times New Roman"/>
          <w:color w:val="FF0000"/>
          <w:kern w:val="2"/>
          <w:sz w:val="24"/>
          <w:szCs w:val="20"/>
          <w:vertAlign w:val="subscript"/>
          <w:lang w:val="en-US" w:bidi="ar-SA"/>
        </w:rPr>
        <w:t>2</w:t>
      </w:r>
      <w:r>
        <w:rPr>
          <w:rFonts w:hint="default" w:ascii="Times New Roman" w:hAnsi="Times New Roman" w:eastAsia="宋体" w:cs="Times New Roman"/>
          <w:color w:val="FF0000"/>
          <w:kern w:val="2"/>
          <w:sz w:val="24"/>
          <w:szCs w:val="20"/>
          <w:lang w:val="en-US" w:bidi="ar-SA"/>
        </w:rPr>
        <w:t>e。</w:t>
      </w:r>
    </w:p>
    <w:p w14:paraId="68C65EE8">
      <w:pPr>
        <w:pStyle w:val="4"/>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碳减排措施</w:t>
      </w:r>
    </w:p>
    <w:p w14:paraId="7ABFEF12">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本项目采取碳减排措施为：总图按照工艺流向布置，物料顺行，合理分配运输量，减少物流，减少折返、迂回以及货物的重复装卸和搬运，减少厂内运输货物周转量，缩短运输距离；工艺设备和建构筑物合理布局，水泵房、变配电设施等设置在负荷中心；选择合理的供电电压和供电方式；选用高功率因数电气设备，采用无功功率补偿，采用高低压同时补偿方式；选用节能型干式变压器；各种电力设备选用能效等级1级节能产品；风机、泵类采用变频器调速控制。</w:t>
      </w:r>
    </w:p>
    <w:p w14:paraId="622A8280">
      <w:pPr>
        <w:pStyle w:val="4"/>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碳排放分析结论</w:t>
      </w:r>
    </w:p>
    <w:p w14:paraId="1082B51C">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本项目以企业法人独立核算单位为边界，核算生产系统产生的温室气体排放。</w:t>
      </w:r>
    </w:p>
    <w:p w14:paraId="0CDC8838">
      <w:pPr>
        <w:autoSpaceDE/>
        <w:autoSpaceDN/>
        <w:spacing w:line="360" w:lineRule="auto"/>
        <w:ind w:firstLine="480" w:firstLineChars="200"/>
        <w:jc w:val="both"/>
        <w:rPr>
          <w:rFonts w:hint="default" w:ascii="Times New Roman" w:hAnsi="Times New Roman" w:eastAsia="宋体" w:cs="Times New Roman"/>
          <w:color w:val="FF0000"/>
          <w:kern w:val="2"/>
          <w:sz w:val="24"/>
          <w:szCs w:val="20"/>
          <w:lang w:val="en-US" w:bidi="ar-SA"/>
        </w:rPr>
      </w:pPr>
      <w:r>
        <w:rPr>
          <w:rFonts w:hint="default" w:ascii="Times New Roman" w:hAnsi="Times New Roman" w:eastAsia="宋体" w:cs="Times New Roman"/>
          <w:color w:val="FF0000"/>
          <w:kern w:val="2"/>
          <w:sz w:val="24"/>
          <w:szCs w:val="20"/>
          <w:lang w:val="en-US" w:bidi="ar-SA"/>
        </w:rPr>
        <w:t>综上所述，本项目在工艺设计、设备选型、建筑材料、电气系统、节能管理等方面，本项目均采用了一系列节能措施，优先考虑了节能。公辅系统与各工艺之间的布局，根据生产、加工储备、输送分配、使用等各环节的特点，统筹兼顾，以减少过程损耗，达到物流顺畅、能耗最低的效果。采用先进的生产工艺和节能装备，电机、风机等选用变频设备，阶梯用能，减少能源加工转换损失，提高能源利用效率，实现最佳技术经济性效果。采用清洁运输方式，公路运输采用新能源汽车和国六排放标准的汽车。建议企业尽可能安排集中连续生产，杜绝大功率设备频繁启动，必要时安装软启动装置，减少设备启停对电网的影响。</w:t>
      </w:r>
    </w:p>
    <w:p w14:paraId="3AC4F675">
      <w:pPr>
        <w:pStyle w:val="2"/>
        <w:bidi w:val="0"/>
        <w:rPr>
          <w:rFonts w:hint="default" w:ascii="Times New Roman" w:hAnsi="Times New Roman" w:cs="Times New Roman"/>
          <w:color w:val="auto"/>
        </w:rPr>
      </w:pPr>
      <w:r>
        <w:rPr>
          <w:rFonts w:hint="default" w:ascii="Times New Roman" w:hAnsi="Times New Roman" w:cs="Times New Roman"/>
          <w:color w:val="auto"/>
          <w:highlight w:val="none"/>
          <w:lang w:eastAsia="zh-CN"/>
        </w:rPr>
        <w:br w:type="page"/>
      </w:r>
      <w:bookmarkStart w:id="143" w:name="_TOC_250030"/>
      <w:bookmarkEnd w:id="143"/>
      <w:bookmarkStart w:id="144" w:name="_Toc710"/>
      <w:bookmarkStart w:id="145" w:name="_Toc10000"/>
      <w:r>
        <w:rPr>
          <w:rFonts w:hint="default" w:ascii="Times New Roman" w:hAnsi="Times New Roman" w:cs="Times New Roman"/>
          <w:color w:val="auto"/>
        </w:rPr>
        <w:t>污染防治措施可行性分析</w:t>
      </w:r>
      <w:bookmarkEnd w:id="144"/>
      <w:bookmarkEnd w:id="145"/>
    </w:p>
    <w:p w14:paraId="0B106426">
      <w:pPr>
        <w:pStyle w:val="3"/>
        <w:bidi w:val="0"/>
        <w:rPr>
          <w:rFonts w:hint="default" w:ascii="Times New Roman" w:hAnsi="Times New Roman" w:cs="Times New Roman"/>
          <w:color w:val="auto"/>
        </w:rPr>
      </w:pPr>
      <w:bookmarkStart w:id="146" w:name="_TOC_250029"/>
      <w:bookmarkEnd w:id="146"/>
      <w:bookmarkStart w:id="147" w:name="_Toc16429"/>
      <w:bookmarkStart w:id="148" w:name="_Toc15553"/>
      <w:r>
        <w:rPr>
          <w:rFonts w:hint="default" w:ascii="Times New Roman" w:hAnsi="Times New Roman" w:cs="Times New Roman"/>
          <w:color w:val="auto"/>
        </w:rPr>
        <w:t>施工期污染防治措施分析</w:t>
      </w:r>
      <w:bookmarkEnd w:id="147"/>
      <w:bookmarkEnd w:id="148"/>
    </w:p>
    <w:p w14:paraId="7240BFE8">
      <w:pPr>
        <w:pStyle w:val="4"/>
        <w:bidi w:val="0"/>
        <w:rPr>
          <w:rFonts w:hint="default" w:ascii="Times New Roman" w:hAnsi="Times New Roman" w:cs="Times New Roman"/>
          <w:color w:val="auto"/>
        </w:rPr>
      </w:pPr>
      <w:r>
        <w:rPr>
          <w:rFonts w:hint="default" w:ascii="Times New Roman" w:hAnsi="Times New Roman" w:cs="Times New Roman"/>
          <w:color w:val="auto"/>
        </w:rPr>
        <w:t>大气污染防治措施可行性分析</w:t>
      </w:r>
    </w:p>
    <w:p w14:paraId="32687471">
      <w:pPr>
        <w:pStyle w:val="16"/>
        <w:bidi w:val="0"/>
        <w:rPr>
          <w:rFonts w:hint="default" w:ascii="Times New Roman" w:hAnsi="Times New Roman" w:cs="Times New Roman"/>
          <w:color w:val="auto"/>
        </w:rPr>
      </w:pPr>
      <w:r>
        <w:rPr>
          <w:rFonts w:hint="default" w:ascii="Times New Roman" w:hAnsi="Times New Roman" w:cs="Times New Roman"/>
          <w:color w:val="auto"/>
        </w:rPr>
        <w:t>针对施工期扬尘的问题，本项目在施工期拟采取如下控制措施：</w:t>
      </w:r>
    </w:p>
    <w:p w14:paraId="51E66D38">
      <w:pPr>
        <w:pStyle w:val="73"/>
        <w:keepNext w:val="0"/>
        <w:keepLines w:val="0"/>
        <w:pageBreakBefore w:val="0"/>
        <w:widowControl w:val="0"/>
        <w:numPr>
          <w:ilvl w:val="3"/>
          <w:numId w:val="9"/>
        </w:numPr>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在施工过程中，作业场地将采取围挡、围护以减少扬尘扩散，围挡、围护对减少扬尘对环境的污染有明显作用，当风速为</w:t>
      </w:r>
      <w:r>
        <w:rPr>
          <w:rFonts w:hint="default" w:ascii="Times New Roman" w:hAnsi="Times New Roman" w:eastAsia="Times New Roman" w:cs="Times New Roman"/>
          <w:color w:val="auto"/>
          <w:sz w:val="24"/>
          <w:highlight w:val="none"/>
        </w:rPr>
        <w:t>2.5m/s</w:t>
      </w:r>
      <w:r>
        <w:rPr>
          <w:rFonts w:hint="default" w:ascii="Times New Roman" w:hAnsi="Times New Roman" w:cs="Times New Roman"/>
          <w:color w:val="auto"/>
          <w:sz w:val="24"/>
          <w:highlight w:val="none"/>
        </w:rPr>
        <w:t>时可使影响距离缩短</w:t>
      </w:r>
      <w:r>
        <w:rPr>
          <w:rFonts w:hint="default" w:ascii="Times New Roman" w:hAnsi="Times New Roman" w:eastAsia="Times New Roman" w:cs="Times New Roman"/>
          <w:color w:val="auto"/>
          <w:sz w:val="24"/>
          <w:highlight w:val="none"/>
        </w:rPr>
        <w:t>40%</w:t>
      </w:r>
      <w:r>
        <w:rPr>
          <w:rFonts w:hint="default" w:ascii="Times New Roman" w:hAnsi="Times New Roman" w:cs="Times New Roman"/>
          <w:color w:val="auto"/>
          <w:sz w:val="24"/>
          <w:highlight w:val="none"/>
        </w:rPr>
        <w:t>。在施工现场周围，连续设置不低于</w:t>
      </w:r>
      <w:r>
        <w:rPr>
          <w:rFonts w:hint="default" w:ascii="Times New Roman" w:hAnsi="Times New Roman" w:eastAsia="Times New Roman" w:cs="Times New Roman"/>
          <w:color w:val="auto"/>
          <w:sz w:val="24"/>
          <w:highlight w:val="none"/>
        </w:rPr>
        <w:t>2.5m</w:t>
      </w:r>
      <w:r>
        <w:rPr>
          <w:rFonts w:hint="default" w:ascii="Times New Roman" w:hAnsi="Times New Roman" w:cs="Times New Roman"/>
          <w:color w:val="auto"/>
          <w:sz w:val="24"/>
          <w:highlight w:val="none"/>
        </w:rPr>
        <w:t>高的围挡，并做到坚固美观。</w:t>
      </w:r>
    </w:p>
    <w:p w14:paraId="59150BA5">
      <w:pPr>
        <w:pStyle w:val="73"/>
        <w:keepNext w:val="0"/>
        <w:keepLines w:val="0"/>
        <w:pageBreakBefore w:val="0"/>
        <w:widowControl w:val="0"/>
        <w:numPr>
          <w:ilvl w:val="3"/>
          <w:numId w:val="9"/>
        </w:numPr>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w:t>
      </w:r>
      <w:r>
        <w:rPr>
          <w:rFonts w:hint="default" w:ascii="Times New Roman" w:hAnsi="Times New Roman" w:cs="Times New Roman"/>
          <w:color w:val="auto"/>
          <w:sz w:val="24"/>
          <w:highlight w:val="none"/>
          <w:lang w:val="en-US" w:eastAsia="zh-CN"/>
        </w:rPr>
        <w:t>使用商品混凝土，施工期</w:t>
      </w:r>
      <w:r>
        <w:rPr>
          <w:rFonts w:hint="default" w:ascii="Times New Roman" w:hAnsi="Times New Roman" w:cs="Times New Roman"/>
          <w:color w:val="auto"/>
          <w:sz w:val="24"/>
          <w:highlight w:val="none"/>
        </w:rPr>
        <w:t>使用的建筑材料，在装卸、堆放过程中会产生粉尘</w:t>
      </w:r>
      <w:r>
        <w:rPr>
          <w:rFonts w:hint="default" w:ascii="Times New Roman" w:hAnsi="Times New Roman" w:cs="Times New Roman"/>
          <w:color w:val="auto"/>
          <w:sz w:val="24"/>
          <w:highlight w:val="none"/>
          <w:lang w:eastAsia="zh-CN"/>
        </w:rPr>
        <w:t>外溢</w:t>
      </w:r>
      <w:r>
        <w:rPr>
          <w:rFonts w:hint="default" w:ascii="Times New Roman" w:hAnsi="Times New Roman" w:cs="Times New Roman"/>
          <w:color w:val="auto"/>
          <w:sz w:val="24"/>
          <w:highlight w:val="none"/>
        </w:rPr>
        <w:t>，为减轻对大气环境的污染，施工单位必须加强施工区域的管理。建筑材料（主要是黄砂、石子）的堆场应定点定位，并采取防尘抑尘措施，如在大风天气，对散料堆场采用水喷淋防尘，或用</w:t>
      </w:r>
      <w:r>
        <w:rPr>
          <w:rFonts w:hint="default" w:ascii="Times New Roman" w:hAnsi="Times New Roman" w:cs="Times New Roman"/>
          <w:color w:val="auto"/>
          <w:sz w:val="24"/>
          <w:highlight w:val="none"/>
          <w:lang w:eastAsia="zh-CN"/>
        </w:rPr>
        <w:t>篷布</w:t>
      </w:r>
      <w:r>
        <w:rPr>
          <w:rFonts w:hint="default" w:ascii="Times New Roman" w:hAnsi="Times New Roman" w:cs="Times New Roman"/>
          <w:color w:val="auto"/>
          <w:sz w:val="24"/>
          <w:highlight w:val="none"/>
        </w:rPr>
        <w:t>遮盖散料堆。</w:t>
      </w:r>
    </w:p>
    <w:p w14:paraId="462B8897">
      <w:pPr>
        <w:pStyle w:val="73"/>
        <w:keepNext w:val="0"/>
        <w:keepLines w:val="0"/>
        <w:pageBreakBefore w:val="0"/>
        <w:widowControl w:val="0"/>
        <w:numPr>
          <w:ilvl w:val="3"/>
          <w:numId w:val="9"/>
        </w:numPr>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施工期间泥尘量大，进出施工现场车辆将使地面起尘，因此运输车进出的主干道应定期洒水清扫，保持车辆出入口路面清洁、湿润，以减少施工车辆引起的地面扬尘污染，并尽量减缓行驶车速。</w:t>
      </w:r>
    </w:p>
    <w:p w14:paraId="3D59C94A">
      <w:pPr>
        <w:pStyle w:val="73"/>
        <w:keepNext w:val="0"/>
        <w:keepLines w:val="0"/>
        <w:pageBreakBefore w:val="0"/>
        <w:widowControl w:val="0"/>
        <w:numPr>
          <w:ilvl w:val="3"/>
          <w:numId w:val="9"/>
        </w:numPr>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加强运输管理，如散货车不得超高超载，以免车辆颠簸物料洒出；坚持文明装卸，避免袋装水泥散包；运输车辆卸完货后应清洗车厢；工作车辆及运输车辆在离开施工区时冲洗轮胎，检查装车质量。</w:t>
      </w:r>
    </w:p>
    <w:p w14:paraId="151AB00B">
      <w:pPr>
        <w:pStyle w:val="73"/>
        <w:keepNext w:val="0"/>
        <w:keepLines w:val="0"/>
        <w:pageBreakBefore w:val="0"/>
        <w:widowControl w:val="0"/>
        <w:numPr>
          <w:ilvl w:val="3"/>
          <w:numId w:val="9"/>
        </w:numPr>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在施工场地上设置专人负责弃土、建筑垃圾、建筑材料的处置，清运和堆放，对建筑垃圾及弃土应及时处理、清运、以减少占地，防止扬尘污染，改善施工场地的环境。</w:t>
      </w:r>
    </w:p>
    <w:p w14:paraId="4FEEF251">
      <w:pPr>
        <w:pStyle w:val="73"/>
        <w:keepNext w:val="0"/>
        <w:keepLines w:val="0"/>
        <w:pageBreakBefore w:val="0"/>
        <w:widowControl w:val="0"/>
        <w:numPr>
          <w:ilvl w:val="3"/>
          <w:numId w:val="9"/>
        </w:numPr>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加强对机械、车辆的维修保养，禁止以柴油为燃料的施工机械超负荷工作，减少</w:t>
      </w:r>
      <w:r>
        <w:rPr>
          <w:rFonts w:hint="default" w:ascii="Times New Roman" w:hAnsi="Times New Roman" w:cs="Times New Roman"/>
          <w:color w:val="auto"/>
          <w:sz w:val="24"/>
          <w:highlight w:val="none"/>
          <w:lang w:eastAsia="zh-CN"/>
        </w:rPr>
        <w:t>烟雾</w:t>
      </w:r>
      <w:r>
        <w:rPr>
          <w:rFonts w:hint="default" w:ascii="Times New Roman" w:hAnsi="Times New Roman" w:cs="Times New Roman"/>
          <w:color w:val="auto"/>
          <w:sz w:val="24"/>
          <w:highlight w:val="none"/>
        </w:rPr>
        <w:t>和颗粒物排放。</w:t>
      </w:r>
    </w:p>
    <w:p w14:paraId="6EDA73A5">
      <w:pPr>
        <w:pStyle w:val="73"/>
        <w:keepNext w:val="0"/>
        <w:keepLines w:val="0"/>
        <w:pageBreakBefore w:val="0"/>
        <w:widowControl w:val="0"/>
        <w:numPr>
          <w:ilvl w:val="3"/>
          <w:numId w:val="9"/>
        </w:numPr>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加强对施工人员的环保教育，提高全体施工人员的环保意识，坚持文明施工、科学施工，减少施工</w:t>
      </w:r>
      <w:r>
        <w:rPr>
          <w:rFonts w:hint="default" w:ascii="Times New Roman" w:hAnsi="Times New Roman" w:cs="Times New Roman"/>
          <w:color w:val="auto"/>
          <w:sz w:val="24"/>
          <w:highlight w:val="none"/>
          <w:lang w:eastAsia="zh-CN"/>
        </w:rPr>
        <w:t>期间</w:t>
      </w:r>
      <w:r>
        <w:rPr>
          <w:rFonts w:hint="default" w:ascii="Times New Roman" w:hAnsi="Times New Roman" w:cs="Times New Roman"/>
          <w:color w:val="auto"/>
          <w:sz w:val="24"/>
          <w:highlight w:val="none"/>
        </w:rPr>
        <w:t>的大气污染。</w:t>
      </w:r>
    </w:p>
    <w:p w14:paraId="2587BE83">
      <w:pPr>
        <w:pStyle w:val="16"/>
        <w:bidi w:val="0"/>
        <w:rPr>
          <w:rFonts w:hint="default" w:ascii="Times New Roman" w:hAnsi="Times New Roman" w:cs="Times New Roman"/>
          <w:color w:val="auto"/>
        </w:rPr>
      </w:pPr>
      <w:r>
        <w:rPr>
          <w:rFonts w:hint="default" w:ascii="Times New Roman" w:hAnsi="Times New Roman" w:cs="Times New Roman"/>
          <w:color w:val="auto"/>
        </w:rPr>
        <w:t>本项目采取的施工期大气污染防治措施为目前建设工地通用的做法，在建设实践中已经被证明是可行有效的。只要加强管理、切实落实好这些措施，施工场地扬尘对环境影响将会大大降低，同时其对环境影响也将随施工的结束而消失。</w:t>
      </w:r>
    </w:p>
    <w:p w14:paraId="5DA34C8F">
      <w:pPr>
        <w:pStyle w:val="4"/>
        <w:bidi w:val="0"/>
        <w:rPr>
          <w:rFonts w:hint="default" w:ascii="Times New Roman" w:hAnsi="Times New Roman" w:cs="Times New Roman"/>
          <w:color w:val="auto"/>
        </w:rPr>
      </w:pPr>
      <w:r>
        <w:rPr>
          <w:rFonts w:hint="default" w:ascii="Times New Roman" w:hAnsi="Times New Roman" w:cs="Times New Roman"/>
          <w:color w:val="auto"/>
        </w:rPr>
        <w:t>水污染防治措施可行性分析</w:t>
      </w:r>
    </w:p>
    <w:p w14:paraId="1D59AB7A">
      <w:pPr>
        <w:pStyle w:val="16"/>
        <w:bidi w:val="0"/>
        <w:rPr>
          <w:rFonts w:hint="default" w:ascii="Times New Roman" w:hAnsi="Times New Roman" w:cs="Times New Roman"/>
          <w:color w:val="auto"/>
        </w:rPr>
      </w:pPr>
      <w:r>
        <w:rPr>
          <w:rFonts w:hint="default" w:ascii="Times New Roman" w:hAnsi="Times New Roman" w:cs="Times New Roman"/>
          <w:color w:val="auto"/>
        </w:rPr>
        <w:t>施工生产废水为混凝土</w:t>
      </w:r>
      <w:r>
        <w:rPr>
          <w:rFonts w:hint="default" w:ascii="Times New Roman" w:hAnsi="Times New Roman" w:cs="Times New Roman"/>
          <w:color w:val="auto"/>
          <w:lang w:eastAsia="zh-CN"/>
        </w:rPr>
        <w:t>拌和</w:t>
      </w:r>
      <w:r>
        <w:rPr>
          <w:rFonts w:hint="default" w:ascii="Times New Roman" w:hAnsi="Times New Roman" w:cs="Times New Roman"/>
          <w:color w:val="auto"/>
        </w:rPr>
        <w:t>冲洗污水、混凝土养护废水、施工材料被雨水冲刷形成的污水以及施工机械跑、冒、滴、漏的油污随地表径流形成的污水。施工污水的特点是悬浮物含量高，含有一定的油污，如果随意排放</w:t>
      </w:r>
      <w:r>
        <w:rPr>
          <w:rFonts w:hint="default" w:ascii="Times New Roman" w:hAnsi="Times New Roman" w:cs="Times New Roman"/>
          <w:color w:val="auto"/>
          <w:lang w:val="en-US"/>
        </w:rPr>
        <w:t>，</w:t>
      </w:r>
      <w:r>
        <w:rPr>
          <w:rFonts w:hint="default" w:ascii="Times New Roman" w:hAnsi="Times New Roman" w:cs="Times New Roman"/>
          <w:color w:val="auto"/>
        </w:rPr>
        <w:t>会危害土壤。因此施工现场应修建防渗沉淀池，将施工废水集中收集到沉淀池中，经沉淀后将上清液循环使用或用于施工场地洒水抑尘，实现施工废水零排放，既可减少新鲜水的用量，又可降低生产成本，同时杜绝对当地土壤和地下水体的影响。</w:t>
      </w:r>
    </w:p>
    <w:p w14:paraId="1E138423">
      <w:pPr>
        <w:pStyle w:val="16"/>
        <w:bidi w:val="0"/>
        <w:rPr>
          <w:rFonts w:hint="default" w:ascii="Times New Roman" w:hAnsi="Times New Roman" w:cs="Times New Roman"/>
          <w:color w:val="auto"/>
          <w:lang w:eastAsia="zh-CN"/>
        </w:rPr>
      </w:pPr>
      <w:r>
        <w:rPr>
          <w:rFonts w:hint="default" w:ascii="Times New Roman" w:hAnsi="Times New Roman" w:cs="Times New Roman"/>
          <w:color w:val="auto"/>
        </w:rPr>
        <w:t>施工场地生活污水中主要污染物为COD、BOD5和氨氮，本项目</w:t>
      </w:r>
      <w:r>
        <w:rPr>
          <w:rFonts w:hint="default" w:ascii="Times New Roman" w:hAnsi="Times New Roman" w:cs="Times New Roman"/>
          <w:color w:val="auto"/>
          <w:lang w:val="en-US" w:eastAsia="zh-CN"/>
        </w:rPr>
        <w:t>施工生活污水依托现有居民区生活污水处理设施，</w:t>
      </w:r>
      <w:r>
        <w:rPr>
          <w:rFonts w:hint="default" w:ascii="Times New Roman" w:hAnsi="Times New Roman" w:cs="Times New Roman"/>
          <w:color w:val="auto"/>
        </w:rPr>
        <w:t>对周围环境影响不大。</w:t>
      </w:r>
    </w:p>
    <w:p w14:paraId="118791CE">
      <w:pPr>
        <w:pStyle w:val="16"/>
        <w:bidi w:val="0"/>
        <w:rPr>
          <w:rFonts w:hint="default" w:ascii="Times New Roman" w:hAnsi="Times New Roman" w:cs="Times New Roman"/>
          <w:color w:val="auto"/>
        </w:rPr>
      </w:pPr>
      <w:r>
        <w:rPr>
          <w:rFonts w:hint="default" w:ascii="Times New Roman" w:hAnsi="Times New Roman" w:cs="Times New Roman"/>
          <w:color w:val="auto"/>
        </w:rPr>
        <w:t>本项目采取的施工期水污染防治措施为目前建设工地通用的做法，在建设实践中已经被证明是可行有效的。只要加强管理、切实落实好这些措施，施工期废水对周围环境影响较小，同时其对环境的影响也将随施工的结束而消失。</w:t>
      </w:r>
    </w:p>
    <w:p w14:paraId="3173721A">
      <w:pPr>
        <w:pStyle w:val="4"/>
        <w:bidi w:val="0"/>
        <w:rPr>
          <w:rFonts w:hint="default" w:ascii="Times New Roman" w:hAnsi="Times New Roman" w:cs="Times New Roman"/>
          <w:color w:val="auto"/>
        </w:rPr>
      </w:pPr>
      <w:r>
        <w:rPr>
          <w:rFonts w:hint="default" w:ascii="Times New Roman" w:hAnsi="Times New Roman" w:cs="Times New Roman"/>
          <w:color w:val="auto"/>
        </w:rPr>
        <w:t>施工噪声污染防治措施可行性分析</w:t>
      </w:r>
    </w:p>
    <w:p w14:paraId="277169E5">
      <w:pPr>
        <w:pStyle w:val="16"/>
        <w:bidi w:val="0"/>
        <w:rPr>
          <w:rFonts w:hint="default" w:ascii="Times New Roman" w:hAnsi="Times New Roman" w:cs="Times New Roman"/>
          <w:color w:val="auto"/>
        </w:rPr>
      </w:pPr>
      <w:r>
        <w:rPr>
          <w:rFonts w:hint="default" w:ascii="Times New Roman" w:hAnsi="Times New Roman" w:cs="Times New Roman"/>
          <w:color w:val="auto"/>
        </w:rPr>
        <w:t>本项目针对施工期噪声采取的防治措施包括：</w:t>
      </w:r>
    </w:p>
    <w:p w14:paraId="09BB7D9E">
      <w:pPr>
        <w:pStyle w:val="73"/>
        <w:keepNext w:val="0"/>
        <w:keepLines w:val="0"/>
        <w:pageBreakBefore w:val="0"/>
        <w:widowControl w:val="0"/>
        <w:numPr>
          <w:ilvl w:val="0"/>
          <w:numId w:val="0"/>
        </w:numPr>
        <w:tabs>
          <w:tab w:val="left" w:pos="1139"/>
        </w:tabs>
        <w:kinsoku/>
        <w:wordWrap/>
        <w:overflowPunct/>
        <w:topLinePunct w:val="0"/>
        <w:autoSpaceDE w:val="0"/>
        <w:autoSpaceDN w:val="0"/>
        <w:bidi w:val="0"/>
        <w:adjustRightInd/>
        <w:snapToGrid/>
        <w:spacing w:line="360" w:lineRule="auto"/>
        <w:ind w:right="-11"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从声源上控制：建设单位在与施工单位签订合同时，应要求其使用的主要机械设备为低噪声机械设备，例如</w:t>
      </w:r>
      <w:r>
        <w:rPr>
          <w:rFonts w:hint="default" w:ascii="Times New Roman" w:hAnsi="Times New Roman" w:cs="Times New Roman"/>
          <w:color w:val="auto"/>
          <w:sz w:val="24"/>
          <w:highlight w:val="none"/>
          <w:lang w:eastAsia="zh-CN"/>
        </w:rPr>
        <w:t>选择</w:t>
      </w:r>
      <w:r>
        <w:rPr>
          <w:rFonts w:hint="default" w:ascii="Times New Roman" w:hAnsi="Times New Roman" w:cs="Times New Roman"/>
          <w:color w:val="auto"/>
          <w:sz w:val="24"/>
          <w:highlight w:val="none"/>
        </w:rPr>
        <w:t>液压机械取代燃油机械。同时在施工过程中施工单位应设专人对设备进行定期保养和维护，并负责对现场工作人员进行培训，严格按操作规范使用各类机械。采取各种有效措施，把施工场地边界噪声控制在国家《建筑施工场界环境噪声排放标准》（</w:t>
      </w:r>
      <w:r>
        <w:rPr>
          <w:rFonts w:hint="default" w:ascii="Times New Roman" w:hAnsi="Times New Roman" w:eastAsia="Times New Roman" w:cs="Times New Roman"/>
          <w:color w:val="auto"/>
          <w:sz w:val="24"/>
          <w:highlight w:val="none"/>
        </w:rPr>
        <w:t>GB12523-2011</w:t>
      </w:r>
      <w:r>
        <w:rPr>
          <w:rFonts w:hint="default" w:ascii="Times New Roman" w:hAnsi="Times New Roman" w:cs="Times New Roman"/>
          <w:color w:val="auto"/>
          <w:sz w:val="24"/>
          <w:highlight w:val="none"/>
        </w:rPr>
        <w:t>）的指标要求范围内。</w:t>
      </w:r>
    </w:p>
    <w:p w14:paraId="68AAE697">
      <w:pPr>
        <w:pStyle w:val="73"/>
        <w:keepNext w:val="0"/>
        <w:keepLines w:val="0"/>
        <w:pageBreakBefore w:val="0"/>
        <w:widowControl w:val="0"/>
        <w:numPr>
          <w:ilvl w:val="0"/>
          <w:numId w:val="0"/>
        </w:numPr>
        <w:tabs>
          <w:tab w:val="left" w:pos="1139"/>
        </w:tabs>
        <w:kinsoku/>
        <w:wordWrap/>
        <w:overflowPunct/>
        <w:topLinePunct w:val="0"/>
        <w:autoSpaceDE w:val="0"/>
        <w:autoSpaceDN w:val="0"/>
        <w:bidi w:val="0"/>
        <w:adjustRightInd/>
        <w:snapToGrid/>
        <w:spacing w:line="360" w:lineRule="auto"/>
        <w:ind w:right="-11"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合理安排施工时间：严格按照国家和地方环境保护法律法规要求，合理安排施</w:t>
      </w:r>
      <w:r>
        <w:rPr>
          <w:rFonts w:hint="default" w:ascii="Times New Roman" w:hAnsi="Times New Roman" w:eastAsia="宋体" w:cs="Times New Roman"/>
          <w:color w:val="auto"/>
          <w:sz w:val="24"/>
          <w:highlight w:val="none"/>
        </w:rPr>
        <w:t>工时间。</w:t>
      </w:r>
    </w:p>
    <w:p w14:paraId="3580EA61">
      <w:pPr>
        <w:pStyle w:val="73"/>
        <w:keepNext w:val="0"/>
        <w:keepLines w:val="0"/>
        <w:pageBreakBefore w:val="0"/>
        <w:widowControl w:val="0"/>
        <w:numPr>
          <w:ilvl w:val="0"/>
          <w:numId w:val="0"/>
        </w:numPr>
        <w:tabs>
          <w:tab w:val="left" w:pos="1139"/>
        </w:tabs>
        <w:kinsoku/>
        <w:wordWrap/>
        <w:overflowPunct/>
        <w:topLinePunct w:val="0"/>
        <w:autoSpaceDE w:val="0"/>
        <w:autoSpaceDN w:val="0"/>
        <w:bidi w:val="0"/>
        <w:adjustRightInd/>
        <w:snapToGrid/>
        <w:spacing w:line="360" w:lineRule="auto"/>
        <w:ind w:right="-11"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合理布局施工现场，避免在同一地点安排大量动力机械设备，以避免局部声级过</w:t>
      </w:r>
      <w:r>
        <w:rPr>
          <w:rFonts w:hint="default" w:ascii="Times New Roman" w:hAnsi="Times New Roman" w:cs="Times New Roman"/>
          <w:color w:val="auto"/>
          <w:sz w:val="24"/>
          <w:highlight w:val="none"/>
        </w:rPr>
        <w:t>高；同时还应考虑搅拌机等高噪声设备安置在远离项目生产区的位置，运输车辆规定进、出路线，使行驶道路保持平坦，减少车辆的颠簸噪声和产生振动，车辆出入现场时应低速、禁鸣。</w:t>
      </w:r>
    </w:p>
    <w:p w14:paraId="78F99F3C">
      <w:pPr>
        <w:pStyle w:val="16"/>
        <w:bidi w:val="0"/>
        <w:rPr>
          <w:rFonts w:hint="default" w:ascii="Times New Roman" w:hAnsi="Times New Roman" w:cs="Times New Roman"/>
          <w:color w:val="auto"/>
        </w:rPr>
      </w:pPr>
      <w:r>
        <w:rPr>
          <w:rFonts w:hint="default" w:ascii="Times New Roman" w:hAnsi="Times New Roman" w:cs="Times New Roman"/>
          <w:color w:val="auto"/>
        </w:rPr>
        <w:t>本项目采取的施工期噪声污染防治措施为目前建设工地通用的做法，在建设实践中已经被证明是可行有效的。只要加强管理、切实落实好这些措施，施工期噪声对周围环境影响较小。</w:t>
      </w:r>
    </w:p>
    <w:p w14:paraId="1F9170CC">
      <w:pPr>
        <w:pStyle w:val="4"/>
        <w:bidi w:val="0"/>
        <w:rPr>
          <w:rFonts w:hint="default" w:ascii="Times New Roman" w:hAnsi="Times New Roman" w:cs="Times New Roman"/>
          <w:color w:val="auto"/>
        </w:rPr>
      </w:pPr>
      <w:r>
        <w:rPr>
          <w:rFonts w:hint="default" w:ascii="Times New Roman" w:hAnsi="Times New Roman" w:cs="Times New Roman"/>
          <w:color w:val="auto"/>
        </w:rPr>
        <w:t>固体废物污染防治措施可行性分析</w:t>
      </w:r>
    </w:p>
    <w:p w14:paraId="30EF8BBC">
      <w:pPr>
        <w:pStyle w:val="16"/>
        <w:bidi w:val="0"/>
        <w:rPr>
          <w:rFonts w:hint="default" w:ascii="Times New Roman" w:hAnsi="Times New Roman" w:cs="Times New Roman"/>
          <w:color w:val="auto"/>
        </w:rPr>
      </w:pPr>
      <w:r>
        <w:rPr>
          <w:rFonts w:hint="default" w:ascii="Times New Roman" w:hAnsi="Times New Roman" w:cs="Times New Roman"/>
          <w:color w:val="auto"/>
        </w:rPr>
        <w:t>施工期产生的固体废物主要来源于：工程挖掘土方、建筑施工等产生的建筑垃圾和建筑工人产生的生活垃圾。</w:t>
      </w:r>
    </w:p>
    <w:p w14:paraId="7ACBF580">
      <w:pPr>
        <w:pStyle w:val="16"/>
        <w:bidi w:val="0"/>
        <w:rPr>
          <w:rFonts w:hint="default" w:ascii="Times New Roman" w:hAnsi="Times New Roman" w:cs="Times New Roman"/>
          <w:color w:val="auto"/>
        </w:rPr>
      </w:pPr>
      <w:r>
        <w:rPr>
          <w:rFonts w:hint="default" w:ascii="Times New Roman" w:hAnsi="Times New Roman" w:cs="Times New Roman"/>
          <w:color w:val="auto"/>
        </w:rPr>
        <w:t>生活垃圾集中堆放在垃圾箱内，由环卫部门定期清运；建筑垃圾应尽量回收有用材料，不能回收的部分应随时外运，运至环卫部门指定的建筑垃圾填埋场统一处理或用于筑路、填坑；弃土拟在本工程建设中尽可能</w:t>
      </w:r>
      <w:r>
        <w:rPr>
          <w:rFonts w:hint="default" w:ascii="Times New Roman" w:hAnsi="Times New Roman" w:cs="Times New Roman"/>
          <w:color w:val="auto"/>
          <w:lang w:eastAsia="zh-CN"/>
        </w:rPr>
        <w:t>用作</w:t>
      </w:r>
      <w:r>
        <w:rPr>
          <w:rFonts w:hint="default" w:ascii="Times New Roman" w:hAnsi="Times New Roman" w:cs="Times New Roman"/>
          <w:color w:val="auto"/>
        </w:rPr>
        <w:t>回填土，尽量做到土方的平衡，以减少废土的运输量，减少运输过程中粉尘的排放。</w:t>
      </w:r>
    </w:p>
    <w:p w14:paraId="470D1C25">
      <w:pPr>
        <w:pStyle w:val="16"/>
        <w:bidi w:val="0"/>
        <w:rPr>
          <w:rFonts w:hint="default" w:ascii="Times New Roman" w:hAnsi="Times New Roman" w:cs="Times New Roman"/>
          <w:color w:val="auto"/>
        </w:rPr>
      </w:pPr>
      <w:r>
        <w:rPr>
          <w:rFonts w:hint="default" w:ascii="Times New Roman" w:hAnsi="Times New Roman" w:cs="Times New Roman"/>
          <w:color w:val="auto"/>
        </w:rPr>
        <w:t>综合上述，建设单位在施工期间对其产生的施工废物以及生活垃圾及时收集、清运，不会造成二次污染，其措施是可行的。</w:t>
      </w:r>
    </w:p>
    <w:p w14:paraId="354D49CD">
      <w:pPr>
        <w:pStyle w:val="4"/>
        <w:bidi w:val="0"/>
        <w:rPr>
          <w:rFonts w:hint="default" w:ascii="Times New Roman" w:hAnsi="Times New Roman" w:cs="Times New Roman"/>
          <w:color w:val="auto"/>
        </w:rPr>
      </w:pPr>
      <w:r>
        <w:rPr>
          <w:rFonts w:hint="default" w:ascii="Times New Roman" w:hAnsi="Times New Roman" w:cs="Times New Roman"/>
          <w:color w:val="auto"/>
        </w:rPr>
        <w:t>施工期水土流失防治措施可行性分析</w:t>
      </w:r>
    </w:p>
    <w:p w14:paraId="72CB8549">
      <w:pPr>
        <w:pStyle w:val="16"/>
        <w:bidi w:val="0"/>
        <w:rPr>
          <w:rFonts w:hint="default" w:ascii="Times New Roman" w:hAnsi="Times New Roman" w:cs="Times New Roman"/>
          <w:color w:val="auto"/>
        </w:rPr>
      </w:pPr>
      <w:r>
        <w:rPr>
          <w:rFonts w:hint="default" w:ascii="Times New Roman" w:hAnsi="Times New Roman" w:cs="Times New Roman"/>
          <w:color w:val="auto"/>
        </w:rPr>
        <w:t>为有效防止水土流失，建设单位将采取以下防治措施：</w:t>
      </w:r>
    </w:p>
    <w:p w14:paraId="05816347">
      <w:pPr>
        <w:pStyle w:val="73"/>
        <w:keepNext w:val="0"/>
        <w:keepLines w:val="0"/>
        <w:pageBreakBefore w:val="0"/>
        <w:widowControl w:val="0"/>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（1）弃土和施工废料及时清运。</w:t>
      </w:r>
    </w:p>
    <w:p w14:paraId="4D16066A">
      <w:pPr>
        <w:pStyle w:val="73"/>
        <w:keepNext w:val="0"/>
        <w:keepLines w:val="0"/>
        <w:pageBreakBefore w:val="0"/>
        <w:widowControl w:val="0"/>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（2）控制施工作业时间，尽量避免在暴雨季节进行大规模的土石方开挖</w:t>
      </w:r>
      <w:r>
        <w:rPr>
          <w:rFonts w:hint="default" w:ascii="Times New Roman" w:hAnsi="Times New Roman" w:cs="Times New Roman"/>
          <w:color w:val="auto"/>
          <w:sz w:val="24"/>
          <w:highlight w:val="none"/>
          <w:lang w:eastAsia="zh-CN"/>
        </w:rPr>
        <w:t>工作</w:t>
      </w:r>
      <w:r>
        <w:rPr>
          <w:rFonts w:hint="default" w:ascii="Times New Roman" w:hAnsi="Times New Roman" w:cs="Times New Roman"/>
          <w:color w:val="auto"/>
          <w:sz w:val="24"/>
          <w:highlight w:val="none"/>
        </w:rPr>
        <w:t>。</w:t>
      </w:r>
    </w:p>
    <w:p w14:paraId="3766E9D5">
      <w:pPr>
        <w:pStyle w:val="73"/>
        <w:keepNext w:val="0"/>
        <w:keepLines w:val="0"/>
        <w:pageBreakBefore w:val="0"/>
        <w:widowControl w:val="0"/>
        <w:tabs>
          <w:tab w:val="left" w:pos="1139"/>
        </w:tabs>
        <w:kinsoku/>
        <w:wordWrap/>
        <w:overflowPunct/>
        <w:topLinePunct w:val="0"/>
        <w:autoSpaceDE w:val="0"/>
        <w:autoSpaceDN w:val="0"/>
        <w:bidi w:val="0"/>
        <w:adjustRightInd/>
        <w:snapToGrid/>
        <w:spacing w:line="360" w:lineRule="auto"/>
        <w:ind w:left="0"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采取以上措施后可使水土流失降低到</w:t>
      </w:r>
      <w:r>
        <w:rPr>
          <w:rFonts w:hint="default" w:ascii="Times New Roman" w:hAnsi="Times New Roman" w:cs="Times New Roman"/>
          <w:color w:val="auto"/>
          <w:sz w:val="24"/>
          <w:highlight w:val="none"/>
          <w:lang w:eastAsia="zh-CN"/>
        </w:rPr>
        <w:t>最低程度</w:t>
      </w:r>
      <w:r>
        <w:rPr>
          <w:rFonts w:hint="default" w:ascii="Times New Roman" w:hAnsi="Times New Roman" w:cs="Times New Roman"/>
          <w:color w:val="auto"/>
          <w:sz w:val="24"/>
          <w:highlight w:val="none"/>
        </w:rPr>
        <w:t>，其水土流失防治措施是可行的。</w:t>
      </w:r>
    </w:p>
    <w:p w14:paraId="45F0E7A5">
      <w:pPr>
        <w:pStyle w:val="3"/>
        <w:bidi w:val="0"/>
        <w:rPr>
          <w:rFonts w:hint="default" w:ascii="Times New Roman" w:hAnsi="Times New Roman" w:cs="Times New Roman"/>
          <w:color w:val="auto"/>
        </w:rPr>
      </w:pPr>
      <w:bookmarkStart w:id="149" w:name="_TOC_250028"/>
      <w:bookmarkEnd w:id="149"/>
      <w:bookmarkStart w:id="150" w:name="_Toc16802"/>
      <w:bookmarkStart w:id="151" w:name="_Toc21919"/>
      <w:r>
        <w:rPr>
          <w:rFonts w:hint="default" w:ascii="Times New Roman" w:hAnsi="Times New Roman" w:cs="Times New Roman"/>
          <w:color w:val="auto"/>
        </w:rPr>
        <w:t>运营期污染防治措施</w:t>
      </w:r>
      <w:bookmarkEnd w:id="150"/>
      <w:bookmarkEnd w:id="151"/>
    </w:p>
    <w:p w14:paraId="7815B20D">
      <w:pPr>
        <w:pStyle w:val="14"/>
        <w:rPr>
          <w:rFonts w:hint="default" w:ascii="Times New Roman" w:hAnsi="Times New Roman" w:eastAsia="宋体" w:cs="Times New Roman"/>
          <w:b/>
          <w:bCs/>
          <w:color w:val="FF0000"/>
          <w:spacing w:val="3"/>
          <w:sz w:val="20"/>
          <w:szCs w:val="20"/>
        </w:rPr>
      </w:pPr>
      <w:r>
        <w:rPr>
          <w:rFonts w:hint="default" w:ascii="Times New Roman" w:hAnsi="Times New Roman" w:cs="Times New Roman"/>
          <w:color w:val="FF0000"/>
        </w:rPr>
        <w:t xml:space="preserve">表 </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6.2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1</w:t>
      </w:r>
      <w:r>
        <w:rPr>
          <w:rFonts w:hint="default" w:ascii="Times New Roman" w:hAnsi="Times New Roman" w:cs="Times New Roman"/>
          <w:color w:val="FF0000"/>
        </w:rPr>
        <w:fldChar w:fldCharType="end"/>
      </w:r>
      <w:r>
        <w:rPr>
          <w:rFonts w:hint="default" w:ascii="Times New Roman" w:hAnsi="Times New Roman" w:eastAsia="宋体" w:cs="Times New Roman"/>
          <w:b/>
          <w:bCs/>
          <w:color w:val="FF0000"/>
          <w:spacing w:val="-2"/>
          <w:sz w:val="24"/>
          <w:szCs w:val="24"/>
        </w:rPr>
        <w:t>畜禽养殖行业排污单位废水污染防治可行技术参考表</w:t>
      </w:r>
    </w:p>
    <w:tbl>
      <w:tblPr>
        <w:tblStyle w:val="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31"/>
        <w:gridCol w:w="1338"/>
        <w:gridCol w:w="1470"/>
        <w:gridCol w:w="2159"/>
        <w:gridCol w:w="2021"/>
      </w:tblGrid>
      <w:tr w14:paraId="12192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1604" w:type="pct"/>
            <w:gridSpan w:val="2"/>
            <w:vAlign w:val="center"/>
          </w:tcPr>
          <w:p w14:paraId="6A71A6D2">
            <w:pPr>
              <w:bidi w:val="0"/>
              <w:jc w:val="center"/>
              <w:rPr>
                <w:rFonts w:hint="default" w:ascii="Times New Roman" w:hAnsi="Times New Roman" w:cs="Times New Roman"/>
                <w:color w:val="FF0000"/>
              </w:rPr>
            </w:pPr>
            <w:r>
              <w:rPr>
                <w:rFonts w:hint="default" w:ascii="Times New Roman" w:hAnsi="Times New Roman" w:cs="Times New Roman"/>
                <w:color w:val="FF0000"/>
              </w:rPr>
              <w:t>类型</w:t>
            </w:r>
          </w:p>
        </w:tc>
        <w:tc>
          <w:tcPr>
            <w:tcW w:w="883" w:type="pct"/>
            <w:vAlign w:val="center"/>
          </w:tcPr>
          <w:p w14:paraId="735ED68C">
            <w:pPr>
              <w:bidi w:val="0"/>
              <w:jc w:val="center"/>
              <w:rPr>
                <w:rFonts w:hint="default" w:ascii="Times New Roman" w:hAnsi="Times New Roman" w:cs="Times New Roman"/>
                <w:color w:val="FF0000"/>
              </w:rPr>
            </w:pPr>
            <w:r>
              <w:rPr>
                <w:rFonts w:hint="default" w:ascii="Times New Roman" w:hAnsi="Times New Roman" w:cs="Times New Roman"/>
                <w:color w:val="FF0000"/>
              </w:rPr>
              <w:t>可行技术</w:t>
            </w:r>
          </w:p>
        </w:tc>
        <w:tc>
          <w:tcPr>
            <w:tcW w:w="1297" w:type="pct"/>
            <w:vAlign w:val="center"/>
          </w:tcPr>
          <w:p w14:paraId="7A2A6397">
            <w:pPr>
              <w:bidi w:val="0"/>
              <w:jc w:val="center"/>
              <w:rPr>
                <w:rFonts w:hint="default" w:ascii="Times New Roman" w:hAnsi="Times New Roman" w:cs="Times New Roman"/>
                <w:color w:val="FF0000"/>
              </w:rPr>
            </w:pPr>
            <w:r>
              <w:rPr>
                <w:rFonts w:hint="default" w:ascii="Times New Roman" w:hAnsi="Times New Roman" w:cs="Times New Roman"/>
                <w:color w:val="FF0000"/>
              </w:rPr>
              <w:t>本项目</w:t>
            </w:r>
          </w:p>
        </w:tc>
        <w:tc>
          <w:tcPr>
            <w:tcW w:w="1214" w:type="pct"/>
            <w:vAlign w:val="center"/>
          </w:tcPr>
          <w:p w14:paraId="31DC4CDE">
            <w:pPr>
              <w:bidi w:val="0"/>
              <w:jc w:val="center"/>
              <w:rPr>
                <w:rFonts w:hint="default" w:ascii="Times New Roman" w:hAnsi="Times New Roman" w:cs="Times New Roman"/>
                <w:color w:val="FF0000"/>
              </w:rPr>
            </w:pPr>
            <w:r>
              <w:rPr>
                <w:rFonts w:hint="default" w:ascii="Times New Roman" w:hAnsi="Times New Roman" w:cs="Times New Roman"/>
                <w:color w:val="FF0000"/>
              </w:rPr>
              <w:t>相符性</w:t>
            </w:r>
          </w:p>
        </w:tc>
      </w:tr>
      <w:tr w14:paraId="5E684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jc w:val="center"/>
        </w:trPr>
        <w:tc>
          <w:tcPr>
            <w:tcW w:w="800" w:type="pct"/>
            <w:vAlign w:val="center"/>
          </w:tcPr>
          <w:p w14:paraId="51084C18">
            <w:pPr>
              <w:bidi w:val="0"/>
              <w:jc w:val="center"/>
              <w:rPr>
                <w:rFonts w:hint="default" w:ascii="Times New Roman" w:hAnsi="Times New Roman" w:cs="Times New Roman"/>
                <w:color w:val="FF0000"/>
              </w:rPr>
            </w:pPr>
            <w:r>
              <w:rPr>
                <w:rFonts w:hint="default" w:ascii="Times New Roman" w:hAnsi="Times New Roman" w:cs="Times New Roman"/>
                <w:color w:val="FF0000"/>
              </w:rPr>
              <w:t>废水</w:t>
            </w:r>
          </w:p>
        </w:tc>
        <w:tc>
          <w:tcPr>
            <w:tcW w:w="803" w:type="pct"/>
            <w:vAlign w:val="center"/>
          </w:tcPr>
          <w:p w14:paraId="199EF633">
            <w:pPr>
              <w:bidi w:val="0"/>
              <w:jc w:val="center"/>
              <w:rPr>
                <w:rFonts w:hint="default" w:ascii="Times New Roman" w:hAnsi="Times New Roman" w:cs="Times New Roman"/>
                <w:color w:val="FF0000"/>
              </w:rPr>
            </w:pPr>
            <w:r>
              <w:rPr>
                <w:rFonts w:hint="default" w:ascii="Times New Roman" w:hAnsi="Times New Roman" w:cs="Times New Roman"/>
                <w:color w:val="FF0000"/>
              </w:rPr>
              <w:t>场内综合污  水（鸡舍冲洗废水、生活污水）</w:t>
            </w:r>
          </w:p>
        </w:tc>
        <w:tc>
          <w:tcPr>
            <w:tcW w:w="883" w:type="pct"/>
            <w:vAlign w:val="center"/>
          </w:tcPr>
          <w:p w14:paraId="305B3C4D">
            <w:pPr>
              <w:bidi w:val="0"/>
              <w:jc w:val="center"/>
              <w:rPr>
                <w:rFonts w:hint="default" w:ascii="Times New Roman" w:hAnsi="Times New Roman" w:cs="Times New Roman"/>
                <w:color w:val="FF0000"/>
              </w:rPr>
            </w:pPr>
            <w:r>
              <w:rPr>
                <w:rFonts w:hint="default" w:ascii="Times New Roman" w:hAnsi="Times New Roman" w:cs="Times New Roman"/>
                <w:color w:val="FF0000"/>
              </w:rPr>
              <w:t>干清粪+ 固液分离+厌氧（UASB、CSTR）+好氧（SBR、接触氧 化、MBR）</w:t>
            </w:r>
          </w:p>
        </w:tc>
        <w:tc>
          <w:tcPr>
            <w:tcW w:w="1297" w:type="pct"/>
            <w:vAlign w:val="center"/>
          </w:tcPr>
          <w:p w14:paraId="17C94A75">
            <w:pPr>
              <w:bidi w:val="0"/>
              <w:jc w:val="center"/>
              <w:rPr>
                <w:rFonts w:hint="default" w:ascii="Times New Roman" w:hAnsi="Times New Roman" w:eastAsia="宋体" w:cs="Times New Roman"/>
                <w:color w:val="FF0000"/>
                <w:lang w:val="en-US" w:eastAsia="zh-CN"/>
              </w:rPr>
            </w:pPr>
            <w:r>
              <w:rPr>
                <w:rFonts w:hint="default" w:ascii="Times New Roman" w:hAnsi="Times New Roman" w:cs="Times New Roman"/>
                <w:color w:val="FF0000"/>
              </w:rPr>
              <w:t>干清粪+集水池</w:t>
            </w:r>
            <w:r>
              <w:rPr>
                <w:rFonts w:hint="default" w:ascii="Times New Roman" w:hAnsi="Times New Roman" w:eastAsia="宋体" w:cs="Times New Roman"/>
                <w:color w:val="FF0000"/>
                <w:lang w:val="en-US" w:eastAsia="zh-CN"/>
              </w:rPr>
              <w:t>发酵处理</w:t>
            </w:r>
          </w:p>
        </w:tc>
        <w:tc>
          <w:tcPr>
            <w:tcW w:w="1214" w:type="pct"/>
            <w:vAlign w:val="center"/>
          </w:tcPr>
          <w:p w14:paraId="1B835A28">
            <w:pPr>
              <w:bidi w:val="0"/>
              <w:jc w:val="center"/>
              <w:rPr>
                <w:rFonts w:hint="default" w:ascii="Times New Roman" w:hAnsi="Times New Roman" w:cs="Times New Roman"/>
                <w:color w:val="FF0000"/>
              </w:rPr>
            </w:pPr>
            <w:r>
              <w:rPr>
                <w:rFonts w:hint="default" w:ascii="Times New Roman" w:hAnsi="Times New Roman" w:cs="Times New Roman"/>
                <w:color w:val="FF0000"/>
              </w:rPr>
              <w:t>经对照分析，本项目废水处理工艺属于《排污许可证申请与核发技术规范 畜禽养殖行业》（HJ1029-2019）中的可行技术</w:t>
            </w:r>
          </w:p>
        </w:tc>
      </w:tr>
      <w:tr w14:paraId="0EE4B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jc w:val="center"/>
        </w:trPr>
        <w:tc>
          <w:tcPr>
            <w:tcW w:w="800" w:type="pct"/>
            <w:vAlign w:val="center"/>
          </w:tcPr>
          <w:p w14:paraId="4DFA12E3">
            <w:pPr>
              <w:bidi w:val="0"/>
              <w:jc w:val="center"/>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废气</w:t>
            </w:r>
          </w:p>
        </w:tc>
        <w:tc>
          <w:tcPr>
            <w:tcW w:w="803" w:type="pct"/>
            <w:vAlign w:val="center"/>
          </w:tcPr>
          <w:p w14:paraId="5A1EE1B8">
            <w:pPr>
              <w:bidi w:val="0"/>
              <w:jc w:val="center"/>
              <w:rPr>
                <w:rFonts w:hint="default" w:ascii="Times New Roman" w:hAnsi="Times New Roman" w:eastAsia="宋体" w:cs="Times New Roman"/>
                <w:color w:val="FF0000"/>
                <w:lang w:val="en-US" w:eastAsia="zh-CN"/>
              </w:rPr>
            </w:pPr>
            <w:r>
              <w:rPr>
                <w:rFonts w:hint="default" w:ascii="Times New Roman" w:hAnsi="Times New Roman" w:cs="Times New Roman"/>
                <w:color w:val="FF0000"/>
                <w:vertAlign w:val="baseline"/>
              </w:rPr>
              <w:t>固体粪污处理工程</w:t>
            </w:r>
          </w:p>
        </w:tc>
        <w:tc>
          <w:tcPr>
            <w:tcW w:w="883" w:type="pct"/>
            <w:vAlign w:val="center"/>
          </w:tcPr>
          <w:p w14:paraId="4D14AE34">
            <w:pPr>
              <w:bidi w:val="0"/>
              <w:jc w:val="center"/>
              <w:rPr>
                <w:rFonts w:hint="default" w:ascii="Times New Roman" w:hAnsi="Times New Roman" w:cs="Times New Roman"/>
                <w:color w:val="FF0000"/>
              </w:rPr>
            </w:pPr>
            <w:r>
              <w:rPr>
                <w:rFonts w:hint="default" w:ascii="Times New Roman" w:hAnsi="Times New Roman" w:cs="Times New Roman"/>
                <w:color w:val="FF0000"/>
              </w:rPr>
              <w:t>集中收集气体经处理（生物过滤法、生物洗涤法、吸收法等）后由排气筒排放</w:t>
            </w:r>
          </w:p>
        </w:tc>
        <w:tc>
          <w:tcPr>
            <w:tcW w:w="1297" w:type="pct"/>
            <w:vAlign w:val="center"/>
          </w:tcPr>
          <w:p w14:paraId="1BAA1DA1">
            <w:pPr>
              <w:bidi w:val="0"/>
              <w:jc w:val="center"/>
              <w:rPr>
                <w:rFonts w:hint="default" w:ascii="Times New Roman" w:hAnsi="Times New Roman" w:cs="Times New Roman"/>
                <w:color w:val="FF0000"/>
              </w:rPr>
            </w:pPr>
            <w:r>
              <w:rPr>
                <w:rFonts w:hint="default" w:ascii="Times New Roman" w:hAnsi="Times New Roman" w:cs="Times New Roman"/>
                <w:color w:val="FF0000"/>
              </w:rPr>
              <w:t>生物滤池一体化设备</w:t>
            </w:r>
          </w:p>
        </w:tc>
        <w:tc>
          <w:tcPr>
            <w:tcW w:w="1214" w:type="pct"/>
            <w:vAlign w:val="center"/>
          </w:tcPr>
          <w:p w14:paraId="5A737F70">
            <w:pPr>
              <w:bidi w:val="0"/>
              <w:jc w:val="center"/>
              <w:rPr>
                <w:rFonts w:hint="default" w:ascii="Times New Roman" w:hAnsi="Times New Roman" w:cs="Times New Roman"/>
                <w:color w:val="FF0000"/>
              </w:rPr>
            </w:pPr>
            <w:r>
              <w:rPr>
                <w:rFonts w:hint="default" w:ascii="Times New Roman" w:hAnsi="Times New Roman" w:cs="Times New Roman"/>
                <w:color w:val="FF0000"/>
              </w:rPr>
              <w:t>生物滤池一体化设备</w:t>
            </w:r>
          </w:p>
        </w:tc>
      </w:tr>
    </w:tbl>
    <w:p w14:paraId="53D85EE2">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废气处理措施及可行性分析</w:t>
      </w:r>
    </w:p>
    <w:p w14:paraId="39E0C0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根据本项目工艺流程分析可知，项目生产工程中产生的废气主要为养殖恶臭、鸡粪发酵处理场恶臭、废水收集池恶臭、食堂油烟以及饲料加工产生的粉尘。</w:t>
      </w:r>
    </w:p>
    <w:p w14:paraId="656AE525">
      <w:pPr>
        <w:pStyle w:val="5"/>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恶臭气体</w:t>
      </w:r>
      <w:r>
        <w:rPr>
          <w:rFonts w:hint="default" w:ascii="Times New Roman" w:hAnsi="Times New Roman" w:cs="Times New Roman"/>
          <w:color w:val="auto"/>
          <w:lang w:val="en-US"/>
        </w:rPr>
        <w:t>污染防治措施</w:t>
      </w:r>
    </w:p>
    <w:p w14:paraId="2B7B8E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eastAsia="zh-CN" w:bidi="ar-SA"/>
        </w:rPr>
        <w:t>依据《排污许可证申请与核发技术规范畜禽养殖行业》（HJ1029-2019）中畜禽养殖行业排污单位恶臭无组织排放控制要求见</w:t>
      </w:r>
      <w:r>
        <w:rPr>
          <w:rFonts w:hint="default" w:ascii="Times New Roman" w:hAnsi="Times New Roman" w:eastAsia="宋体" w:cs="Times New Roman"/>
          <w:color w:val="auto"/>
          <w:kern w:val="2"/>
          <w:sz w:val="24"/>
          <w:szCs w:val="24"/>
          <w:highlight w:val="none"/>
          <w:lang w:val="en-GB" w:eastAsia="zh-CN" w:bidi="ar-SA"/>
        </w:rPr>
        <w:t>表6.2-</w:t>
      </w:r>
      <w:r>
        <w:rPr>
          <w:rFonts w:hint="default"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lang w:val="en-GB" w:eastAsia="zh-CN" w:bidi="ar-SA"/>
        </w:rPr>
        <w:t>。</w:t>
      </w:r>
    </w:p>
    <w:p w14:paraId="603250DD">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lang w:val="en-US" w:bidi="ar-SA"/>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6.2</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eastAsia="宋体" w:cs="Times New Roman"/>
          <w:b/>
          <w:color w:val="auto"/>
          <w:kern w:val="2"/>
          <w:sz w:val="21"/>
          <w:szCs w:val="21"/>
          <w:lang w:val="en-US" w:eastAsia="zh-CN" w:bidi="ar-SA"/>
        </w:rPr>
        <w:t>畜禽养殖行业排污单位恶臭无组织排放控制要求</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6962"/>
      </w:tblGrid>
      <w:tr w14:paraId="3804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tcBorders>
              <w:tl2br w:val="nil"/>
              <w:tr2bl w:val="nil"/>
            </w:tcBorders>
            <w:noWrap/>
            <w:vAlign w:val="center"/>
          </w:tcPr>
          <w:p w14:paraId="0138DF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主要生产设施</w:t>
            </w:r>
          </w:p>
        </w:tc>
        <w:tc>
          <w:tcPr>
            <w:tcW w:w="4080" w:type="pct"/>
            <w:tcBorders>
              <w:tl2br w:val="nil"/>
              <w:tr2bl w:val="nil"/>
            </w:tcBorders>
            <w:noWrap/>
            <w:vAlign w:val="center"/>
          </w:tcPr>
          <w:p w14:paraId="02A3F4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无组织排放控制要求</w:t>
            </w:r>
          </w:p>
        </w:tc>
      </w:tr>
      <w:tr w14:paraId="4031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tcBorders>
              <w:tl2br w:val="nil"/>
              <w:tr2bl w:val="nil"/>
            </w:tcBorders>
            <w:noWrap/>
            <w:vAlign w:val="center"/>
          </w:tcPr>
          <w:p w14:paraId="439666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养殖栏舍</w:t>
            </w:r>
          </w:p>
        </w:tc>
        <w:tc>
          <w:tcPr>
            <w:tcW w:w="4080" w:type="pct"/>
            <w:tcBorders>
              <w:tl2br w:val="nil"/>
              <w:tr2bl w:val="nil"/>
            </w:tcBorders>
            <w:noWrap/>
            <w:vAlign w:val="center"/>
          </w:tcPr>
          <w:p w14:paraId="13FD2D5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（1）选用益生菌配方饲料；</w:t>
            </w:r>
          </w:p>
          <w:p w14:paraId="6FC12F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（2）及时清运粪污；</w:t>
            </w:r>
          </w:p>
          <w:p w14:paraId="76E87D4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（3）向粪便或舍内投（铺）放吸附剂减少臭气的散发；</w:t>
            </w:r>
          </w:p>
          <w:p w14:paraId="2ECA4E7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（4）投加或喷洒除臭剂；</w:t>
            </w:r>
          </w:p>
          <w:p w14:paraId="2FA5B72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（5）集中通风排气经处理（喷淋法、生物洗涤法、吸收法等）后排放；</w:t>
            </w:r>
          </w:p>
          <w:p w14:paraId="215705C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（6）集中收集气体经处理（生物过滤法、生物洗涤法、吸收法等）后由排气筒排放。</w:t>
            </w:r>
          </w:p>
        </w:tc>
      </w:tr>
      <w:tr w14:paraId="1758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tcBorders>
              <w:tl2br w:val="nil"/>
              <w:tr2bl w:val="nil"/>
            </w:tcBorders>
            <w:noWrap/>
            <w:vAlign w:val="center"/>
          </w:tcPr>
          <w:p w14:paraId="77CBA7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固体粪污处理工程</w:t>
            </w:r>
          </w:p>
        </w:tc>
        <w:tc>
          <w:tcPr>
            <w:tcW w:w="4080" w:type="pct"/>
            <w:tcBorders>
              <w:tl2br w:val="nil"/>
              <w:tr2bl w:val="nil"/>
            </w:tcBorders>
            <w:noWrap/>
            <w:vAlign w:val="center"/>
          </w:tcPr>
          <w:p w14:paraId="3396971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（1）定期喷洒除臭剂；</w:t>
            </w:r>
          </w:p>
          <w:p w14:paraId="7890B3B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（2）及时清运固体粪污；</w:t>
            </w:r>
          </w:p>
          <w:p w14:paraId="678337F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（3）采用厌氧或好氧堆肥方式；</w:t>
            </w:r>
          </w:p>
          <w:p w14:paraId="4FEF8C2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（4）集中收集气体经处理（生物过滤法、生物洗涤法、吸收法等）后由排气筒排放。</w:t>
            </w:r>
          </w:p>
        </w:tc>
      </w:tr>
      <w:tr w14:paraId="7DDE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tcBorders>
              <w:tl2br w:val="nil"/>
              <w:tr2bl w:val="nil"/>
            </w:tcBorders>
            <w:noWrap/>
            <w:vAlign w:val="center"/>
          </w:tcPr>
          <w:p w14:paraId="7F05E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废水处理工程</w:t>
            </w:r>
          </w:p>
        </w:tc>
        <w:tc>
          <w:tcPr>
            <w:tcW w:w="4080" w:type="pct"/>
            <w:tcBorders>
              <w:tl2br w:val="nil"/>
              <w:tr2bl w:val="nil"/>
            </w:tcBorders>
            <w:noWrap/>
            <w:vAlign w:val="center"/>
          </w:tcPr>
          <w:p w14:paraId="4CC51C6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（1）定期喷洒除臭剂；</w:t>
            </w:r>
          </w:p>
          <w:p w14:paraId="7D00880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（2）废水处理设施加盖或加罩；</w:t>
            </w:r>
          </w:p>
          <w:p w14:paraId="4339792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（3）集中收集气体经处理（生物过滤法、生物洗涤法、吸收法等）后由排气筒排放。</w:t>
            </w:r>
          </w:p>
        </w:tc>
      </w:tr>
      <w:tr w14:paraId="7EC3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tcBorders>
              <w:tl2br w:val="nil"/>
              <w:tr2bl w:val="nil"/>
            </w:tcBorders>
            <w:noWrap/>
            <w:vAlign w:val="center"/>
          </w:tcPr>
          <w:p w14:paraId="255B4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全场</w:t>
            </w:r>
          </w:p>
        </w:tc>
        <w:tc>
          <w:tcPr>
            <w:tcW w:w="4080" w:type="pct"/>
            <w:tcBorders>
              <w:tl2br w:val="nil"/>
              <w:tr2bl w:val="nil"/>
            </w:tcBorders>
            <w:noWrap/>
            <w:vAlign w:val="center"/>
          </w:tcPr>
          <w:p w14:paraId="46CACA7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（1）固体粪污规范还田利用；</w:t>
            </w:r>
          </w:p>
          <w:p w14:paraId="53613EF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（2）场区运输道路全硬化、及时清扫、无积灰扬尘、定期洒水抑尘；</w:t>
            </w:r>
          </w:p>
          <w:p w14:paraId="23C5AC0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（3）加强场区绿化。</w:t>
            </w:r>
          </w:p>
        </w:tc>
      </w:tr>
    </w:tbl>
    <w:p w14:paraId="0A55D5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1"/>
          <w:szCs w:val="24"/>
          <w:lang w:val="en-GB" w:bidi="ar-SA"/>
        </w:rPr>
      </w:pPr>
      <w:r>
        <w:rPr>
          <w:rFonts w:hint="default" w:ascii="Times New Roman" w:hAnsi="Times New Roman" w:eastAsia="宋体" w:cs="Times New Roman"/>
          <w:color w:val="auto"/>
          <w:kern w:val="2"/>
          <w:sz w:val="24"/>
          <w:szCs w:val="24"/>
          <w:lang w:val="en-GB" w:eastAsia="zh-CN" w:bidi="ar-SA"/>
        </w:rPr>
        <w:t>依据《排污许可证申请与核发技术规范畜禽养殖行业》（HJ1029-2019），本项目选择适宜的措施，具体如下：</w:t>
      </w:r>
    </w:p>
    <w:p w14:paraId="0CE66F1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GB" w:bidi="ar-SA"/>
        </w:rPr>
        <w:t>（1）</w:t>
      </w:r>
      <w:r>
        <w:rPr>
          <w:rFonts w:hint="default" w:ascii="Times New Roman" w:hAnsi="Times New Roman" w:eastAsia="宋体" w:cs="Times New Roman"/>
          <w:color w:val="auto"/>
          <w:kern w:val="2"/>
          <w:sz w:val="24"/>
          <w:szCs w:val="24"/>
          <w:lang w:val="en-US" w:eastAsia="zh-CN" w:bidi="ar-SA"/>
        </w:rPr>
        <w:t>鸡舍恶臭</w:t>
      </w:r>
    </w:p>
    <w:p w14:paraId="77B5A0F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bidi="ar-SA"/>
        </w:rPr>
        <w:t>按照《畜禽规模养殖污染防治条例</w:t>
      </w:r>
      <w:r>
        <w:rPr>
          <w:rFonts w:hint="default" w:ascii="Times New Roman" w:hAnsi="Times New Roman" w:eastAsia="宋体" w:cs="Times New Roman"/>
          <w:color w:val="auto"/>
          <w:kern w:val="2"/>
          <w:sz w:val="24"/>
          <w:szCs w:val="24"/>
          <w:lang w:val="en-GB" w:eastAsia="zh-CN" w:bidi="ar-SA"/>
        </w:rPr>
        <w:t>》《</w:t>
      </w:r>
      <w:r>
        <w:rPr>
          <w:rFonts w:hint="default" w:ascii="Times New Roman" w:hAnsi="Times New Roman" w:eastAsia="宋体" w:cs="Times New Roman"/>
          <w:color w:val="auto"/>
          <w:kern w:val="2"/>
          <w:sz w:val="24"/>
          <w:szCs w:val="24"/>
          <w:lang w:val="en-GB" w:bidi="ar-SA"/>
        </w:rPr>
        <w:t>畜禽养殖业污染治理工程技术规范》（HJ497-2009）的规定，本项目采取以下措施来控制恶臭的排放。</w:t>
      </w:r>
    </w:p>
    <w:p w14:paraId="15E8F0D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bidi="ar-SA"/>
        </w:rPr>
        <w:t>①及时清理打扫，保持场内卫生</w:t>
      </w:r>
    </w:p>
    <w:p w14:paraId="0BBB1AF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bidi="ar-SA"/>
        </w:rPr>
        <w:t>本项目</w:t>
      </w:r>
      <w:r>
        <w:rPr>
          <w:rFonts w:hint="default" w:ascii="Times New Roman" w:hAnsi="Times New Roman" w:eastAsia="宋体" w:cs="Times New Roman"/>
          <w:color w:val="auto"/>
          <w:kern w:val="2"/>
          <w:sz w:val="24"/>
          <w:szCs w:val="24"/>
          <w:lang w:val="en-US" w:eastAsia="zh-CN" w:bidi="ar-SA"/>
        </w:rPr>
        <w:t>鸡</w:t>
      </w:r>
      <w:r>
        <w:rPr>
          <w:rFonts w:hint="default" w:ascii="Times New Roman" w:hAnsi="Times New Roman" w:eastAsia="宋体" w:cs="Times New Roman"/>
          <w:color w:val="auto"/>
          <w:kern w:val="2"/>
          <w:sz w:val="24"/>
          <w:szCs w:val="24"/>
          <w:lang w:val="en-US" w:bidi="ar-SA"/>
        </w:rPr>
        <w:t>舍等</w:t>
      </w:r>
      <w:r>
        <w:rPr>
          <w:rFonts w:hint="default" w:ascii="Times New Roman" w:hAnsi="Times New Roman" w:eastAsia="宋体" w:cs="Times New Roman"/>
          <w:color w:val="auto"/>
          <w:kern w:val="2"/>
          <w:sz w:val="24"/>
          <w:szCs w:val="24"/>
          <w:lang w:val="en-GB" w:bidi="ar-SA"/>
        </w:rPr>
        <w:t>产生的臭气（含</w:t>
      </w:r>
      <w:r>
        <w:rPr>
          <w:rFonts w:hint="default" w:ascii="Times New Roman" w:hAnsi="Times New Roman" w:eastAsia="宋体" w:cs="Times New Roman"/>
          <w:color w:val="auto"/>
          <w:kern w:val="2"/>
          <w:sz w:val="24"/>
          <w:szCs w:val="24"/>
          <w:lang w:val="en-US" w:bidi="ar-SA"/>
        </w:rPr>
        <w:t>硫化氢</w:t>
      </w:r>
      <w:r>
        <w:rPr>
          <w:rFonts w:hint="default" w:ascii="Times New Roman" w:hAnsi="Times New Roman" w:eastAsia="宋体" w:cs="Times New Roman"/>
          <w:color w:val="auto"/>
          <w:kern w:val="2"/>
          <w:sz w:val="24"/>
          <w:szCs w:val="24"/>
          <w:lang w:val="en-GB" w:bidi="ar-SA"/>
        </w:rPr>
        <w:t>及氨）为无组织排放，每栋鸡舍均设自动清粪系统，鸡舍内设横斜向</w:t>
      </w:r>
      <w:r>
        <w:rPr>
          <w:rFonts w:hint="eastAsia" w:ascii="Times New Roman" w:hAnsi="Times New Roman" w:cs="Times New Roman"/>
          <w:color w:val="auto"/>
          <w:kern w:val="2"/>
          <w:sz w:val="24"/>
          <w:szCs w:val="24"/>
          <w:lang w:val="en-GB" w:eastAsia="zh-CN" w:bidi="ar-SA"/>
        </w:rPr>
        <w:t>粪便传送带</w:t>
      </w:r>
      <w:r>
        <w:rPr>
          <w:rFonts w:hint="default" w:ascii="Times New Roman" w:hAnsi="Times New Roman" w:eastAsia="宋体" w:cs="Times New Roman"/>
          <w:color w:val="auto"/>
          <w:kern w:val="2"/>
          <w:sz w:val="24"/>
          <w:szCs w:val="24"/>
          <w:lang w:val="en-GB" w:bidi="ar-SA"/>
        </w:rPr>
        <w:t>，鸡排出的粪便主要通过清粪机进入横向</w:t>
      </w:r>
      <w:r>
        <w:rPr>
          <w:rFonts w:hint="eastAsia" w:ascii="Times New Roman" w:hAnsi="Times New Roman" w:cs="Times New Roman"/>
          <w:color w:val="auto"/>
          <w:kern w:val="2"/>
          <w:sz w:val="24"/>
          <w:szCs w:val="24"/>
          <w:lang w:val="en-GB" w:eastAsia="zh-CN" w:bidi="ar-SA"/>
        </w:rPr>
        <w:t>粪便传送带</w:t>
      </w:r>
      <w:r>
        <w:rPr>
          <w:rFonts w:hint="default" w:ascii="Times New Roman" w:hAnsi="Times New Roman" w:eastAsia="宋体" w:cs="Times New Roman"/>
          <w:color w:val="auto"/>
          <w:kern w:val="2"/>
          <w:sz w:val="24"/>
          <w:szCs w:val="24"/>
          <w:lang w:val="en-GB" w:bidi="ar-SA"/>
        </w:rPr>
        <w:t>内，传输至清粪房再通过斜向</w:t>
      </w:r>
      <w:r>
        <w:rPr>
          <w:rFonts w:hint="eastAsia" w:ascii="Times New Roman" w:hAnsi="Times New Roman" w:cs="Times New Roman"/>
          <w:color w:val="auto"/>
          <w:kern w:val="2"/>
          <w:sz w:val="24"/>
          <w:szCs w:val="24"/>
          <w:lang w:val="en-GB" w:eastAsia="zh-CN" w:bidi="ar-SA"/>
        </w:rPr>
        <w:t>粪便传送带</w:t>
      </w:r>
      <w:r>
        <w:rPr>
          <w:rFonts w:hint="default" w:ascii="Times New Roman" w:hAnsi="Times New Roman" w:eastAsia="宋体" w:cs="Times New Roman"/>
          <w:color w:val="auto"/>
          <w:kern w:val="2"/>
          <w:sz w:val="24"/>
          <w:szCs w:val="24"/>
          <w:lang w:val="en-GB" w:bidi="ar-SA"/>
        </w:rPr>
        <w:t>进入</w:t>
      </w:r>
      <w:r>
        <w:rPr>
          <w:rFonts w:hint="default" w:ascii="Times New Roman" w:hAnsi="Times New Roman" w:eastAsia="宋体" w:cs="Times New Roman"/>
          <w:color w:val="auto"/>
          <w:kern w:val="2"/>
          <w:sz w:val="24"/>
          <w:szCs w:val="24"/>
          <w:lang w:val="en-GB" w:eastAsia="zh-CN" w:bidi="ar-SA"/>
        </w:rPr>
        <w:t>鸡粪发酵处理场</w:t>
      </w:r>
      <w:r>
        <w:rPr>
          <w:rFonts w:hint="default" w:ascii="Times New Roman" w:hAnsi="Times New Roman" w:eastAsia="宋体" w:cs="Times New Roman"/>
          <w:color w:val="auto"/>
          <w:kern w:val="2"/>
          <w:sz w:val="24"/>
          <w:szCs w:val="24"/>
          <w:lang w:val="en-GB" w:bidi="ar-SA"/>
        </w:rPr>
        <w:t>，发酵处理后，</w:t>
      </w:r>
      <w:r>
        <w:rPr>
          <w:rFonts w:hint="default" w:ascii="Times New Roman" w:hAnsi="Times New Roman" w:eastAsia="宋体" w:cs="Times New Roman"/>
          <w:color w:val="auto"/>
          <w:kern w:val="2"/>
          <w:sz w:val="24"/>
          <w:szCs w:val="24"/>
          <w:lang w:val="en-GB" w:eastAsia="zh-CN" w:bidi="ar-SA"/>
        </w:rPr>
        <w:t>外售农户综合利用</w:t>
      </w:r>
      <w:r>
        <w:rPr>
          <w:rFonts w:hint="default" w:ascii="Times New Roman" w:hAnsi="Times New Roman" w:eastAsia="宋体" w:cs="Times New Roman"/>
          <w:color w:val="auto"/>
          <w:kern w:val="2"/>
          <w:sz w:val="24"/>
          <w:szCs w:val="24"/>
          <w:lang w:val="en-GB" w:bidi="ar-SA"/>
        </w:rPr>
        <w:t>。</w:t>
      </w:r>
    </w:p>
    <w:p w14:paraId="0E70F99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bidi="ar-SA"/>
        </w:rPr>
        <w:t>本项目通过缩短</w:t>
      </w:r>
      <w:r>
        <w:rPr>
          <w:rFonts w:hint="default" w:ascii="Times New Roman" w:hAnsi="Times New Roman" w:eastAsia="宋体" w:cs="Times New Roman"/>
          <w:color w:val="auto"/>
          <w:kern w:val="2"/>
          <w:sz w:val="24"/>
          <w:szCs w:val="24"/>
          <w:lang w:val="en-GB" w:eastAsia="zh-CN" w:bidi="ar-SA"/>
        </w:rPr>
        <w:t>鸡</w:t>
      </w:r>
      <w:r>
        <w:rPr>
          <w:rFonts w:hint="default" w:ascii="Times New Roman" w:hAnsi="Times New Roman" w:eastAsia="宋体" w:cs="Times New Roman"/>
          <w:color w:val="auto"/>
          <w:kern w:val="2"/>
          <w:sz w:val="24"/>
          <w:szCs w:val="24"/>
          <w:lang w:val="en-GB" w:bidi="ar-SA"/>
        </w:rPr>
        <w:t>粪滞留时间，同时对</w:t>
      </w:r>
      <w:r>
        <w:rPr>
          <w:rFonts w:hint="default" w:ascii="Times New Roman" w:hAnsi="Times New Roman" w:eastAsia="宋体" w:cs="Times New Roman"/>
          <w:color w:val="auto"/>
          <w:kern w:val="2"/>
          <w:sz w:val="24"/>
          <w:szCs w:val="24"/>
          <w:lang w:val="en-GB" w:eastAsia="zh-CN" w:bidi="ar-SA"/>
        </w:rPr>
        <w:t>鸡</w:t>
      </w:r>
      <w:r>
        <w:rPr>
          <w:rFonts w:hint="default" w:ascii="Times New Roman" w:hAnsi="Times New Roman" w:eastAsia="宋体" w:cs="Times New Roman"/>
          <w:color w:val="auto"/>
          <w:kern w:val="2"/>
          <w:sz w:val="24"/>
          <w:szCs w:val="24"/>
          <w:lang w:val="en-GB" w:bidi="ar-SA"/>
        </w:rPr>
        <w:t>舍进行通风设计，这样可有效控制</w:t>
      </w:r>
      <w:r>
        <w:rPr>
          <w:rFonts w:hint="default" w:ascii="Times New Roman" w:hAnsi="Times New Roman" w:eastAsia="宋体" w:cs="Times New Roman"/>
          <w:color w:val="auto"/>
          <w:kern w:val="2"/>
          <w:sz w:val="24"/>
          <w:szCs w:val="24"/>
          <w:lang w:val="en-GB" w:eastAsia="zh-CN" w:bidi="ar-SA"/>
        </w:rPr>
        <w:t>鸡</w:t>
      </w:r>
      <w:r>
        <w:rPr>
          <w:rFonts w:hint="default" w:ascii="Times New Roman" w:hAnsi="Times New Roman" w:eastAsia="宋体" w:cs="Times New Roman"/>
          <w:color w:val="auto"/>
          <w:kern w:val="2"/>
          <w:sz w:val="24"/>
          <w:szCs w:val="24"/>
          <w:lang w:val="en-GB" w:bidi="ar-SA"/>
        </w:rPr>
        <w:t>舍恶臭污染物的浓度；对粪便暂存场应适当喷洒除臭剂，以减少恶臭污染物产生量。</w:t>
      </w:r>
    </w:p>
    <w:p w14:paraId="02A2039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bidi="ar-SA"/>
        </w:rPr>
        <w:t>②优化饲料与喂养</w:t>
      </w:r>
    </w:p>
    <w:p w14:paraId="309AF6C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eastAsia="zh-CN" w:bidi="ar-SA"/>
        </w:rPr>
        <w:t>采用益生菌配方饲料：益生菌配方饲料是以微生物、复合酶为生物饲料发酵剂菌种，将饲料原料转化为微生物菌体蛋白、生物活性小肽类氨基酸、微生物活性益生菌、复合酶制剂为一体生物发酵饲料。该产品不但可以弥补常规饲料中容易缺乏的氨基酸，而且能</w:t>
      </w:r>
      <w:r>
        <w:rPr>
          <w:rFonts w:hint="default" w:ascii="Times New Roman" w:hAnsi="Times New Roman" w:cs="Times New Roman"/>
          <w:color w:val="auto"/>
          <w:kern w:val="2"/>
          <w:sz w:val="24"/>
          <w:szCs w:val="24"/>
          <w:lang w:val="en-GB" w:eastAsia="zh-CN" w:bidi="ar-SA"/>
        </w:rPr>
        <w:t>使其他</w:t>
      </w:r>
      <w:r>
        <w:rPr>
          <w:rFonts w:hint="default" w:ascii="Times New Roman" w:hAnsi="Times New Roman" w:eastAsia="宋体" w:cs="Times New Roman"/>
          <w:color w:val="auto"/>
          <w:kern w:val="2"/>
          <w:sz w:val="24"/>
          <w:szCs w:val="24"/>
          <w:lang w:val="en-GB" w:eastAsia="zh-CN" w:bidi="ar-SA"/>
        </w:rPr>
        <w:t>粗饲料原料营养成分迅速转化，达到增强消化吸收利用效果。</w:t>
      </w:r>
    </w:p>
    <w:p w14:paraId="623E4C1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bidi="ar-SA"/>
        </w:rPr>
        <w:t>③</w:t>
      </w:r>
      <w:r>
        <w:rPr>
          <w:rFonts w:hint="default" w:ascii="Times New Roman" w:hAnsi="Times New Roman" w:eastAsia="宋体" w:cs="Times New Roman"/>
          <w:color w:val="auto"/>
          <w:kern w:val="2"/>
          <w:sz w:val="24"/>
          <w:szCs w:val="24"/>
          <w:lang w:val="en-GB" w:eastAsia="zh-CN" w:bidi="ar-SA"/>
        </w:rPr>
        <w:t>及时投加/喷洒生物除臭剂、强化鸡舍消毒措施</w:t>
      </w:r>
    </w:p>
    <w:p w14:paraId="0F90E0D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eastAsia="zh-CN" w:bidi="ar-SA"/>
        </w:rPr>
        <w:t>运营期必须每天定时向鸡舍投加/喷洒除臭剂，另外全部鸡舍必须配备地面消毒设备；运输车辆经常清洗消毒；病鸡隔离间必须设车轮、鞋靴消毒池。鸡舍及粪污治理设施等场所，蚊蝇滋生季节喷洒虫卵消灭液，杜绝蚊蝇的生长。</w:t>
      </w:r>
    </w:p>
    <w:p w14:paraId="20240C5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bidi="ar-SA"/>
        </w:rPr>
        <w:t>④加强绿化</w:t>
      </w:r>
    </w:p>
    <w:p w14:paraId="003ECF3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bidi="ar-SA"/>
        </w:rPr>
        <w:t>在</w:t>
      </w:r>
      <w:r>
        <w:rPr>
          <w:rFonts w:hint="default" w:ascii="Times New Roman" w:hAnsi="Times New Roman" w:eastAsia="宋体" w:cs="Times New Roman"/>
          <w:color w:val="auto"/>
          <w:kern w:val="2"/>
          <w:sz w:val="24"/>
          <w:szCs w:val="24"/>
          <w:lang w:val="en-US" w:eastAsia="zh-CN" w:bidi="ar-SA"/>
        </w:rPr>
        <w:t>鸡舍</w:t>
      </w:r>
      <w:r>
        <w:rPr>
          <w:rFonts w:hint="default" w:ascii="Times New Roman" w:hAnsi="Times New Roman" w:eastAsia="宋体" w:cs="Times New Roman"/>
          <w:color w:val="auto"/>
          <w:kern w:val="2"/>
          <w:sz w:val="24"/>
          <w:szCs w:val="24"/>
          <w:lang w:val="en-GB" w:bidi="ar-SA"/>
        </w:rPr>
        <w:t>周围种植绿色植物是为了防止气味扩散，降低场区温度和</w:t>
      </w:r>
      <w:r>
        <w:rPr>
          <w:rFonts w:hint="default" w:ascii="Times New Roman" w:hAnsi="Times New Roman" w:eastAsia="宋体" w:cs="Times New Roman"/>
          <w:color w:val="auto"/>
          <w:kern w:val="2"/>
          <w:sz w:val="24"/>
          <w:szCs w:val="24"/>
          <w:lang w:val="en-GB" w:eastAsia="zh-CN" w:bidi="ar-SA"/>
        </w:rPr>
        <w:t>噪声</w:t>
      </w:r>
      <w:r>
        <w:rPr>
          <w:rFonts w:hint="default" w:ascii="Times New Roman" w:hAnsi="Times New Roman" w:eastAsia="宋体" w:cs="Times New Roman"/>
          <w:color w:val="auto"/>
          <w:kern w:val="2"/>
          <w:sz w:val="24"/>
          <w:szCs w:val="24"/>
          <w:lang w:val="en-GB" w:bidi="ar-SA"/>
        </w:rPr>
        <w:t>、提高环境质量最有效的手段。种植绿色植物首先可以降低风速，防止气味传播到更远的距离，减少气味的污染范围。根据国内的研究资料表明，在场区上风向种植防风林可使场区风速降低</w:t>
      </w:r>
      <w:r>
        <w:rPr>
          <w:rFonts w:hint="default" w:ascii="Times New Roman" w:hAnsi="Times New Roman" w:eastAsia="宋体" w:cs="Times New Roman"/>
          <w:color w:val="auto"/>
          <w:kern w:val="2"/>
          <w:sz w:val="24"/>
          <w:szCs w:val="24"/>
          <w:lang w:val="en-GB" w:eastAsia="zh-CN" w:bidi="ar-SA"/>
        </w:rPr>
        <w:t>75%～80%</w:t>
      </w:r>
      <w:r>
        <w:rPr>
          <w:rFonts w:hint="default" w:ascii="Times New Roman" w:hAnsi="Times New Roman" w:eastAsia="宋体" w:cs="Times New Roman"/>
          <w:color w:val="auto"/>
          <w:kern w:val="2"/>
          <w:sz w:val="24"/>
          <w:szCs w:val="24"/>
          <w:lang w:val="en-GB" w:bidi="ar-SA"/>
        </w:rPr>
        <w:t>，有效范围可达树高的10倍。同时绿色植物还可通过控制温度改善局部环境。树叶还可以直接吸收、过滤含有气味的气体和尘粒，从而减少空气中的气味，有害气体经过绿化带后，至少有25</w:t>
      </w:r>
      <w:r>
        <w:rPr>
          <w:rFonts w:hint="default" w:ascii="Times New Roman" w:hAnsi="Times New Roman" w:eastAsia="宋体" w:cs="Times New Roman"/>
          <w:color w:val="auto"/>
          <w:kern w:val="2"/>
          <w:sz w:val="24"/>
          <w:szCs w:val="24"/>
          <w:lang w:val="en-US" w:bidi="ar-SA"/>
        </w:rPr>
        <w:t>%</w:t>
      </w:r>
      <w:r>
        <w:rPr>
          <w:rFonts w:hint="default" w:ascii="Times New Roman" w:hAnsi="Times New Roman" w:eastAsia="宋体" w:cs="Times New Roman"/>
          <w:color w:val="auto"/>
          <w:kern w:val="2"/>
          <w:sz w:val="24"/>
          <w:szCs w:val="24"/>
          <w:lang w:val="en-GB" w:bidi="ar-SA"/>
        </w:rPr>
        <w:t>被吸收，恶臭可减少约55</w:t>
      </w:r>
      <w:r>
        <w:rPr>
          <w:rFonts w:hint="default" w:ascii="Times New Roman" w:hAnsi="Times New Roman" w:eastAsia="宋体" w:cs="Times New Roman"/>
          <w:color w:val="auto"/>
          <w:kern w:val="2"/>
          <w:sz w:val="24"/>
          <w:szCs w:val="24"/>
          <w:lang w:val="en-US" w:bidi="ar-SA"/>
        </w:rPr>
        <w:t>%</w:t>
      </w:r>
      <w:r>
        <w:rPr>
          <w:rFonts w:hint="default" w:ascii="Times New Roman" w:hAnsi="Times New Roman" w:eastAsia="宋体" w:cs="Times New Roman"/>
          <w:color w:val="auto"/>
          <w:kern w:val="2"/>
          <w:sz w:val="24"/>
          <w:szCs w:val="24"/>
          <w:lang w:val="en-GB" w:bidi="ar-SA"/>
        </w:rPr>
        <w:t>。树木通过光合作用吸收空气中的二氧化碳、释放氧气，可使动物呼出的二氧化碳减少60</w:t>
      </w:r>
      <w:r>
        <w:rPr>
          <w:rFonts w:hint="default" w:ascii="Times New Roman" w:hAnsi="Times New Roman" w:eastAsia="宋体" w:cs="Times New Roman"/>
          <w:color w:val="auto"/>
          <w:kern w:val="2"/>
          <w:sz w:val="24"/>
          <w:szCs w:val="24"/>
          <w:lang w:val="en-US" w:bidi="ar-SA"/>
        </w:rPr>
        <w:t>%</w:t>
      </w:r>
      <w:r>
        <w:rPr>
          <w:rFonts w:hint="default" w:ascii="Times New Roman" w:hAnsi="Times New Roman" w:eastAsia="宋体" w:cs="Times New Roman"/>
          <w:color w:val="auto"/>
          <w:kern w:val="2"/>
          <w:sz w:val="24"/>
          <w:szCs w:val="24"/>
          <w:lang w:val="en-GB" w:bidi="ar-SA"/>
        </w:rPr>
        <w:t>，改善空气质量。在场区及其周围种植高大树木，还能净化、澄清大气中的粉尘，据测定可减少35</w:t>
      </w:r>
      <w:r>
        <w:rPr>
          <w:rFonts w:hint="default" w:ascii="Times New Roman" w:hAnsi="Times New Roman" w:cs="Times New Roman"/>
          <w:color w:val="auto"/>
          <w:kern w:val="2"/>
          <w:sz w:val="24"/>
          <w:szCs w:val="24"/>
          <w:lang w:val="en-GB" w:eastAsia="zh-CN" w:bidi="ar-SA"/>
        </w:rPr>
        <w:t>%～</w:t>
      </w:r>
      <w:r>
        <w:rPr>
          <w:rFonts w:hint="default" w:ascii="Times New Roman" w:hAnsi="Times New Roman" w:eastAsia="宋体" w:cs="Times New Roman"/>
          <w:color w:val="auto"/>
          <w:kern w:val="2"/>
          <w:sz w:val="24"/>
          <w:szCs w:val="24"/>
          <w:lang w:val="en-GB" w:bidi="ar-SA"/>
        </w:rPr>
        <w:t>67</w:t>
      </w:r>
      <w:r>
        <w:rPr>
          <w:rFonts w:hint="default" w:ascii="Times New Roman" w:hAnsi="Times New Roman" w:eastAsia="宋体" w:cs="Times New Roman"/>
          <w:color w:val="auto"/>
          <w:kern w:val="2"/>
          <w:sz w:val="24"/>
          <w:szCs w:val="24"/>
          <w:lang w:val="en-US" w:bidi="ar-SA"/>
        </w:rPr>
        <w:t>%</w:t>
      </w:r>
      <w:r>
        <w:rPr>
          <w:rFonts w:hint="default" w:ascii="Times New Roman" w:hAnsi="Times New Roman" w:eastAsia="宋体" w:cs="Times New Roman"/>
          <w:color w:val="auto"/>
          <w:kern w:val="2"/>
          <w:sz w:val="24"/>
          <w:szCs w:val="24"/>
          <w:lang w:val="en-GB" w:bidi="ar-SA"/>
        </w:rPr>
        <w:t>；与此同时，减少了空气中的微生物，细菌总数可减少</w:t>
      </w:r>
      <w:r>
        <w:rPr>
          <w:rFonts w:hint="default" w:ascii="Times New Roman" w:hAnsi="Times New Roman" w:eastAsia="宋体" w:cs="Times New Roman"/>
          <w:color w:val="auto"/>
          <w:kern w:val="2"/>
          <w:sz w:val="24"/>
          <w:szCs w:val="24"/>
          <w:lang w:val="en-GB" w:eastAsia="zh-CN" w:bidi="ar-SA"/>
        </w:rPr>
        <w:t>22%～79%</w:t>
      </w:r>
      <w:r>
        <w:rPr>
          <w:rFonts w:hint="default" w:ascii="Times New Roman" w:hAnsi="Times New Roman" w:eastAsia="宋体" w:cs="Times New Roman"/>
          <w:color w:val="auto"/>
          <w:kern w:val="2"/>
          <w:sz w:val="24"/>
          <w:szCs w:val="24"/>
          <w:lang w:val="en-GB" w:bidi="ar-SA"/>
        </w:rPr>
        <w:t>，甚至某些树木的额花、叶能分泌杀菌物质，可杀死细菌、真菌等。</w:t>
      </w:r>
    </w:p>
    <w:p w14:paraId="743A59E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FF0000"/>
          <w:kern w:val="2"/>
          <w:sz w:val="24"/>
          <w:szCs w:val="24"/>
          <w:highlight w:val="none"/>
          <w:lang w:val="en-US" w:eastAsia="zh-CN" w:bidi="ar-SA"/>
        </w:rPr>
      </w:pPr>
      <w:r>
        <w:rPr>
          <w:rFonts w:hint="default" w:ascii="Times New Roman" w:hAnsi="Times New Roman" w:eastAsia="宋体" w:cs="Times New Roman"/>
          <w:color w:val="FF0000"/>
          <w:kern w:val="2"/>
          <w:sz w:val="24"/>
          <w:szCs w:val="24"/>
          <w:highlight w:val="none"/>
          <w:lang w:val="en-GB" w:eastAsia="zh-CN" w:bidi="ar-SA"/>
        </w:rPr>
        <w:t>（</w:t>
      </w:r>
      <w:r>
        <w:rPr>
          <w:rFonts w:hint="default" w:ascii="Times New Roman" w:hAnsi="Times New Roman" w:eastAsia="宋体" w:cs="Times New Roman"/>
          <w:color w:val="FF0000"/>
          <w:kern w:val="2"/>
          <w:sz w:val="24"/>
          <w:szCs w:val="24"/>
          <w:highlight w:val="none"/>
          <w:lang w:val="en-US" w:eastAsia="zh-CN" w:bidi="ar-SA"/>
        </w:rPr>
        <w:t>2</w:t>
      </w:r>
      <w:r>
        <w:rPr>
          <w:rFonts w:hint="default" w:ascii="Times New Roman" w:hAnsi="Times New Roman" w:eastAsia="宋体" w:cs="Times New Roman"/>
          <w:color w:val="FF0000"/>
          <w:kern w:val="2"/>
          <w:sz w:val="24"/>
          <w:szCs w:val="24"/>
          <w:highlight w:val="none"/>
          <w:lang w:val="en-GB" w:eastAsia="zh-CN" w:bidi="ar-SA"/>
        </w:rPr>
        <w:t>）</w:t>
      </w:r>
      <w:r>
        <w:rPr>
          <w:rFonts w:hint="default" w:ascii="Times New Roman" w:hAnsi="Times New Roman" w:eastAsia="宋体" w:cs="Times New Roman"/>
          <w:color w:val="FF0000"/>
          <w:kern w:val="2"/>
          <w:sz w:val="24"/>
          <w:szCs w:val="24"/>
          <w:highlight w:val="none"/>
          <w:lang w:val="en-US" w:eastAsia="zh-CN" w:bidi="ar-SA"/>
        </w:rPr>
        <w:t>鸡粪发酵处理场恶臭</w:t>
      </w:r>
    </w:p>
    <w:p w14:paraId="58C461A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FF0000"/>
          <w:kern w:val="2"/>
          <w:sz w:val="24"/>
          <w:szCs w:val="24"/>
          <w:highlight w:val="none"/>
          <w:lang w:val="en-GB" w:eastAsia="zh-CN" w:bidi="ar-SA"/>
        </w:rPr>
      </w:pPr>
      <w:r>
        <w:rPr>
          <w:rFonts w:hint="default" w:ascii="Times New Roman" w:hAnsi="Times New Roman" w:eastAsia="宋体" w:cs="Times New Roman"/>
          <w:color w:val="FF0000"/>
          <w:kern w:val="2"/>
          <w:sz w:val="24"/>
          <w:szCs w:val="24"/>
          <w:highlight w:val="none"/>
          <w:lang w:val="en-GB" w:eastAsia="zh-CN" w:bidi="ar-SA"/>
        </w:rPr>
        <w:t>《畜禽养殖业污染治理工程技术规范》（HJ497-2009）中对恶臭控制提出了指导性的要求，具体如下：</w:t>
      </w:r>
    </w:p>
    <w:p w14:paraId="40B858B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FF0000"/>
          <w:kern w:val="2"/>
          <w:sz w:val="24"/>
          <w:szCs w:val="24"/>
          <w:lang w:val="en-GB" w:eastAsia="zh-CN" w:bidi="ar-SA"/>
        </w:rPr>
        <w:t>本项目</w:t>
      </w:r>
      <w:r>
        <w:rPr>
          <w:rFonts w:hint="default" w:ascii="Times New Roman" w:hAnsi="Times New Roman" w:eastAsia="宋体" w:cs="Times New Roman"/>
          <w:color w:val="FF0000"/>
          <w:kern w:val="2"/>
          <w:sz w:val="24"/>
          <w:szCs w:val="24"/>
          <w:lang w:val="en-US" w:eastAsia="zh-CN" w:bidi="ar-SA"/>
        </w:rPr>
        <w:t>要求鸡粪发酵处理场</w:t>
      </w:r>
      <w:r>
        <w:rPr>
          <w:rFonts w:hint="default" w:ascii="Times New Roman" w:hAnsi="Times New Roman" w:eastAsia="宋体" w:cs="Times New Roman"/>
          <w:color w:val="FF0000"/>
          <w:kern w:val="2"/>
          <w:sz w:val="24"/>
          <w:szCs w:val="24"/>
          <w:lang w:val="en-GB" w:eastAsia="zh-CN" w:bidi="ar-SA"/>
        </w:rPr>
        <w:t>设计为</w:t>
      </w:r>
      <w:r>
        <w:rPr>
          <w:rFonts w:hint="default" w:ascii="Times New Roman" w:hAnsi="Times New Roman" w:eastAsia="宋体" w:cs="Times New Roman"/>
          <w:color w:val="FF0000"/>
          <w:kern w:val="2"/>
          <w:sz w:val="24"/>
          <w:szCs w:val="24"/>
          <w:lang w:val="en-US" w:eastAsia="zh-CN" w:bidi="ar-SA"/>
        </w:rPr>
        <w:t>半</w:t>
      </w:r>
      <w:r>
        <w:rPr>
          <w:rFonts w:hint="default" w:ascii="Times New Roman" w:hAnsi="Times New Roman" w:eastAsia="宋体" w:cs="Times New Roman"/>
          <w:color w:val="FF0000"/>
          <w:kern w:val="2"/>
          <w:sz w:val="24"/>
          <w:szCs w:val="24"/>
          <w:lang w:val="en-GB" w:eastAsia="zh-CN" w:bidi="ar-SA"/>
        </w:rPr>
        <w:t>封闭形式，每栋鸡舍均设自动清粪系统，鸡舍内设横斜向</w:t>
      </w:r>
      <w:r>
        <w:rPr>
          <w:rFonts w:hint="eastAsia" w:ascii="Times New Roman" w:hAnsi="Times New Roman" w:cs="Times New Roman"/>
          <w:color w:val="FF0000"/>
          <w:kern w:val="2"/>
          <w:sz w:val="24"/>
          <w:szCs w:val="24"/>
          <w:lang w:val="en-GB" w:eastAsia="zh-CN" w:bidi="ar-SA"/>
        </w:rPr>
        <w:t>粪便传送带</w:t>
      </w:r>
      <w:r>
        <w:rPr>
          <w:rFonts w:hint="default" w:ascii="Times New Roman" w:hAnsi="Times New Roman" w:eastAsia="宋体" w:cs="Times New Roman"/>
          <w:color w:val="FF0000"/>
          <w:kern w:val="2"/>
          <w:sz w:val="24"/>
          <w:szCs w:val="24"/>
          <w:lang w:val="en-GB" w:eastAsia="zh-CN" w:bidi="ar-SA"/>
        </w:rPr>
        <w:t>，鸡排出的粪便主要通过清粪机进入横向</w:t>
      </w:r>
      <w:r>
        <w:rPr>
          <w:rFonts w:hint="eastAsia" w:ascii="Times New Roman" w:hAnsi="Times New Roman" w:cs="Times New Roman"/>
          <w:color w:val="FF0000"/>
          <w:kern w:val="2"/>
          <w:sz w:val="24"/>
          <w:szCs w:val="24"/>
          <w:lang w:val="en-GB" w:eastAsia="zh-CN" w:bidi="ar-SA"/>
        </w:rPr>
        <w:t>粪便传送带</w:t>
      </w:r>
      <w:r>
        <w:rPr>
          <w:rFonts w:hint="default" w:ascii="Times New Roman" w:hAnsi="Times New Roman" w:eastAsia="宋体" w:cs="Times New Roman"/>
          <w:color w:val="FF0000"/>
          <w:kern w:val="2"/>
          <w:sz w:val="24"/>
          <w:szCs w:val="24"/>
          <w:lang w:val="en-GB" w:eastAsia="zh-CN" w:bidi="ar-SA"/>
        </w:rPr>
        <w:t>内，传输至清粪房再通过斜向</w:t>
      </w:r>
      <w:r>
        <w:rPr>
          <w:rFonts w:hint="eastAsia" w:ascii="Times New Roman" w:hAnsi="Times New Roman" w:cs="Times New Roman"/>
          <w:color w:val="FF0000"/>
          <w:kern w:val="2"/>
          <w:sz w:val="24"/>
          <w:szCs w:val="24"/>
          <w:lang w:val="en-GB" w:eastAsia="zh-CN" w:bidi="ar-SA"/>
        </w:rPr>
        <w:t>粪便传送带</w:t>
      </w:r>
      <w:r>
        <w:rPr>
          <w:rFonts w:hint="default" w:ascii="Times New Roman" w:hAnsi="Times New Roman" w:eastAsia="宋体" w:cs="Times New Roman"/>
          <w:color w:val="FF0000"/>
          <w:kern w:val="2"/>
          <w:sz w:val="24"/>
          <w:szCs w:val="24"/>
          <w:lang w:val="en-GB" w:eastAsia="zh-CN" w:bidi="ar-SA"/>
        </w:rPr>
        <w:t>进入鸡粪发酵处理场，发酵处理后，外售农户综合利用。另外为进一步减少堆粪池恶臭排放，环评要求建设单位定期喷洒除臭剂、及时清运堆肥后的粪便，</w:t>
      </w:r>
      <w:r>
        <w:rPr>
          <w:rFonts w:hint="default" w:ascii="Times New Roman" w:hAnsi="Times New Roman" w:eastAsia="宋体" w:cs="Times New Roman"/>
          <w:color w:val="FF0000"/>
          <w:kern w:val="2"/>
          <w:sz w:val="24"/>
          <w:szCs w:val="24"/>
          <w:lang w:val="en-US" w:eastAsia="zh-CN" w:bidi="ar-SA"/>
        </w:rPr>
        <w:t>发酵废气经1套生物滤池一体化设备，处理规模为10000Nm</w:t>
      </w:r>
      <w:r>
        <w:rPr>
          <w:rFonts w:hint="default" w:ascii="Times New Roman" w:hAnsi="Times New Roman" w:eastAsia="宋体" w:cs="Times New Roman"/>
          <w:color w:val="FF0000"/>
          <w:kern w:val="2"/>
          <w:sz w:val="24"/>
          <w:szCs w:val="24"/>
          <w:vertAlign w:val="superscript"/>
          <w:lang w:val="en-US" w:eastAsia="zh-CN" w:bidi="ar-SA"/>
        </w:rPr>
        <w:t>3</w:t>
      </w:r>
      <w:r>
        <w:rPr>
          <w:rFonts w:hint="default" w:ascii="Times New Roman" w:hAnsi="Times New Roman" w:eastAsia="宋体" w:cs="Times New Roman"/>
          <w:color w:val="FF0000"/>
          <w:kern w:val="2"/>
          <w:sz w:val="24"/>
          <w:szCs w:val="24"/>
          <w:lang w:val="en-US" w:eastAsia="zh-CN" w:bidi="ar-SA"/>
        </w:rPr>
        <w:t>/h，采用生物滤池一体化设备+15m排气筒。臭气收集率按90%计，生物滤池一体化设备除臭对硫化氢和氨的去除率为80%。未经收集的20%恶臭污染物属于无组织排放。</w:t>
      </w:r>
    </w:p>
    <w:p w14:paraId="55F3FF8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FF0000"/>
          <w:kern w:val="2"/>
          <w:sz w:val="24"/>
          <w:szCs w:val="24"/>
          <w:lang w:val="en-GB" w:eastAsia="zh-CN" w:bidi="ar-SA"/>
        </w:rPr>
      </w:pPr>
      <w:r>
        <w:rPr>
          <w:rFonts w:hint="default" w:ascii="Times New Roman" w:hAnsi="Times New Roman" w:eastAsia="宋体" w:cs="Times New Roman"/>
          <w:color w:val="FF0000"/>
          <w:kern w:val="2"/>
          <w:sz w:val="24"/>
          <w:szCs w:val="24"/>
          <w:lang w:val="en-GB" w:eastAsia="zh-CN" w:bidi="ar-SA"/>
        </w:rPr>
        <w:t>1）除臭工艺</w:t>
      </w:r>
    </w:p>
    <w:p w14:paraId="545A614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FF0000"/>
          <w:kern w:val="2"/>
          <w:sz w:val="24"/>
          <w:szCs w:val="24"/>
          <w:lang w:val="en-GB" w:eastAsia="zh-CN" w:bidi="ar-SA"/>
        </w:rPr>
      </w:pPr>
      <w:r>
        <w:rPr>
          <w:rFonts w:hint="default" w:ascii="Times New Roman" w:hAnsi="Times New Roman" w:eastAsia="宋体" w:cs="Times New Roman"/>
          <w:color w:val="FF0000"/>
          <w:kern w:val="2"/>
          <w:sz w:val="24"/>
          <w:szCs w:val="24"/>
          <w:lang w:val="en-GB" w:eastAsia="zh-CN" w:bidi="ar-SA"/>
        </w:rPr>
        <w:t>参考《排污许可证申请与核发技术规范禽畜养殖行业》（HJ1029-2019）及《禽畜养殖业污染治理工程技术规范》（HJ479-2009）等相关规范，禽畜养殖场恶臭废气常见的治理措施包括物理除臭法、化学除臭法、生物除臭法等。各类除臭净化措施比选方案见下表。</w:t>
      </w:r>
    </w:p>
    <w:p w14:paraId="190A0C3E">
      <w:pPr>
        <w:pStyle w:val="14"/>
        <w:bidi w:val="0"/>
        <w:rPr>
          <w:rFonts w:hint="default" w:ascii="Times New Roman" w:hAnsi="Times New Roman" w:cs="Times New Roman"/>
          <w:lang w:val="en-GB" w:eastAsia="zh-C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6.2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t>除臭工艺比选一览表</w:t>
      </w:r>
    </w:p>
    <w:tbl>
      <w:tblPr>
        <w:tblStyle w:val="76"/>
        <w:tblW w:w="8435" w:type="dxa"/>
        <w:tblInd w:w="6"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671"/>
        <w:gridCol w:w="977"/>
        <w:gridCol w:w="1389"/>
        <w:gridCol w:w="2331"/>
        <w:gridCol w:w="2330"/>
        <w:gridCol w:w="737"/>
      </w:tblGrid>
      <w:tr w14:paraId="413BD8A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671" w:type="dxa"/>
            <w:tcBorders>
              <w:tl2br w:val="nil"/>
              <w:tr2bl w:val="nil"/>
            </w:tcBorders>
            <w:vAlign w:val="center"/>
          </w:tcPr>
          <w:p w14:paraId="2E8C928A">
            <w:pPr>
              <w:widowControl/>
              <w:kinsoku w:val="0"/>
              <w:adjustRightInd w:val="0"/>
              <w:snapToGrid w:val="0"/>
              <w:spacing w:before="55" w:line="233" w:lineRule="auto"/>
              <w:ind w:left="126"/>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b/>
                <w:bCs/>
                <w:snapToGrid w:val="0"/>
                <w:color w:val="000000"/>
                <w:spacing w:val="1"/>
                <w:kern w:val="0"/>
                <w:sz w:val="20"/>
                <w:szCs w:val="20"/>
                <w:u w:val="none" w:color="auto"/>
                <w:lang w:val="en-US" w:eastAsia="en-US" w:bidi="ar-SA"/>
              </w:rPr>
              <w:t>处理</w:t>
            </w:r>
            <w:r>
              <w:rPr>
                <w:rFonts w:hint="default" w:ascii="Times New Roman" w:hAnsi="Times New Roman" w:eastAsia="宋体" w:cs="Times New Roman"/>
                <w:b/>
                <w:bCs/>
                <w:snapToGrid w:val="0"/>
                <w:color w:val="000000"/>
                <w:spacing w:val="3"/>
                <w:kern w:val="0"/>
                <w:sz w:val="20"/>
                <w:szCs w:val="20"/>
                <w:u w:val="none" w:color="auto"/>
                <w:lang w:val="en-US" w:eastAsia="en-US" w:bidi="ar-SA"/>
              </w:rPr>
              <w:t>方法</w:t>
            </w:r>
          </w:p>
        </w:tc>
        <w:tc>
          <w:tcPr>
            <w:tcW w:w="977" w:type="dxa"/>
            <w:tcBorders>
              <w:tl2br w:val="nil"/>
              <w:tr2bl w:val="nil"/>
            </w:tcBorders>
            <w:vAlign w:val="center"/>
          </w:tcPr>
          <w:p w14:paraId="50CC5AC2">
            <w:pPr>
              <w:widowControl/>
              <w:kinsoku w:val="0"/>
              <w:adjustRightInd w:val="0"/>
              <w:snapToGrid w:val="0"/>
              <w:spacing w:before="56" w:line="228" w:lineRule="auto"/>
              <w:ind w:left="179"/>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b/>
                <w:bCs/>
                <w:snapToGrid w:val="0"/>
                <w:color w:val="000000"/>
                <w:spacing w:val="1"/>
                <w:kern w:val="0"/>
                <w:sz w:val="20"/>
                <w:szCs w:val="20"/>
                <w:u w:val="none" w:color="auto"/>
                <w:lang w:val="en-US" w:eastAsia="en-US" w:bidi="ar-SA"/>
              </w:rPr>
              <w:t>除臭技</w:t>
            </w:r>
            <w:r>
              <w:rPr>
                <w:rFonts w:hint="default" w:ascii="Times New Roman" w:hAnsi="Times New Roman" w:eastAsia="宋体" w:cs="Times New Roman"/>
                <w:b/>
                <w:bCs/>
                <w:snapToGrid w:val="0"/>
                <w:color w:val="000000"/>
                <w:spacing w:val="-3"/>
                <w:kern w:val="0"/>
                <w:sz w:val="20"/>
                <w:szCs w:val="20"/>
                <w:u w:val="none" w:color="auto"/>
                <w:lang w:val="en-US" w:eastAsia="en-US" w:bidi="ar-SA"/>
              </w:rPr>
              <w:t>术</w:t>
            </w:r>
          </w:p>
        </w:tc>
        <w:tc>
          <w:tcPr>
            <w:tcW w:w="1389" w:type="dxa"/>
            <w:tcBorders>
              <w:tl2br w:val="nil"/>
              <w:tr2bl w:val="nil"/>
            </w:tcBorders>
            <w:vAlign w:val="center"/>
          </w:tcPr>
          <w:p w14:paraId="7C789FFA">
            <w:pPr>
              <w:widowControl/>
              <w:kinsoku w:val="0"/>
              <w:adjustRightInd w:val="0"/>
              <w:snapToGrid w:val="0"/>
              <w:spacing w:before="212" w:line="229" w:lineRule="auto"/>
              <w:ind w:left="269"/>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b/>
                <w:bCs/>
                <w:snapToGrid w:val="0"/>
                <w:color w:val="000000"/>
                <w:spacing w:val="6"/>
                <w:kern w:val="0"/>
                <w:sz w:val="20"/>
                <w:szCs w:val="20"/>
                <w:u w:val="none" w:color="auto"/>
                <w:lang w:val="en-US" w:eastAsia="en-US" w:bidi="ar-SA"/>
              </w:rPr>
              <w:t>适用范围</w:t>
            </w:r>
          </w:p>
        </w:tc>
        <w:tc>
          <w:tcPr>
            <w:tcW w:w="2331" w:type="dxa"/>
            <w:tcBorders>
              <w:tl2br w:val="nil"/>
              <w:tr2bl w:val="nil"/>
            </w:tcBorders>
            <w:vAlign w:val="center"/>
          </w:tcPr>
          <w:p w14:paraId="4EE7DD54">
            <w:pPr>
              <w:widowControl/>
              <w:kinsoku w:val="0"/>
              <w:adjustRightInd w:val="0"/>
              <w:snapToGrid w:val="0"/>
              <w:spacing w:before="212" w:line="228" w:lineRule="auto"/>
              <w:ind w:left="953"/>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b/>
                <w:bCs/>
                <w:snapToGrid w:val="0"/>
                <w:color w:val="000000"/>
                <w:spacing w:val="4"/>
                <w:kern w:val="0"/>
                <w:sz w:val="20"/>
                <w:szCs w:val="20"/>
                <w:u w:val="none" w:color="auto"/>
                <w:lang w:val="en-US" w:eastAsia="en-US" w:bidi="ar-SA"/>
              </w:rPr>
              <w:t>优点</w:t>
            </w:r>
          </w:p>
        </w:tc>
        <w:tc>
          <w:tcPr>
            <w:tcW w:w="2330" w:type="dxa"/>
            <w:tcBorders>
              <w:tl2br w:val="nil"/>
              <w:tr2bl w:val="nil"/>
            </w:tcBorders>
            <w:vAlign w:val="center"/>
          </w:tcPr>
          <w:p w14:paraId="5CAF6B16">
            <w:pPr>
              <w:widowControl/>
              <w:kinsoku w:val="0"/>
              <w:adjustRightInd w:val="0"/>
              <w:snapToGrid w:val="0"/>
              <w:spacing w:before="212" w:line="229" w:lineRule="auto"/>
              <w:ind w:left="958"/>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b/>
                <w:bCs/>
                <w:snapToGrid w:val="0"/>
                <w:color w:val="000000"/>
                <w:spacing w:val="3"/>
                <w:kern w:val="0"/>
                <w:sz w:val="20"/>
                <w:szCs w:val="20"/>
                <w:u w:val="none" w:color="auto"/>
                <w:lang w:val="en-US" w:eastAsia="en-US" w:bidi="ar-SA"/>
              </w:rPr>
              <w:t>缺点</w:t>
            </w:r>
          </w:p>
        </w:tc>
        <w:tc>
          <w:tcPr>
            <w:tcW w:w="737" w:type="dxa"/>
            <w:tcBorders>
              <w:tl2br w:val="nil"/>
              <w:tr2bl w:val="nil"/>
            </w:tcBorders>
            <w:vAlign w:val="center"/>
          </w:tcPr>
          <w:p w14:paraId="59632830">
            <w:pPr>
              <w:widowControl/>
              <w:kinsoku w:val="0"/>
              <w:adjustRightInd w:val="0"/>
              <w:snapToGrid w:val="0"/>
              <w:spacing w:before="55" w:line="233" w:lineRule="auto"/>
              <w:ind w:left="164"/>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b/>
                <w:bCs/>
                <w:snapToGrid w:val="0"/>
                <w:color w:val="000000"/>
                <w:spacing w:val="1"/>
                <w:kern w:val="0"/>
                <w:sz w:val="20"/>
                <w:szCs w:val="20"/>
                <w:u w:val="none" w:color="auto"/>
                <w:lang w:val="en-US" w:eastAsia="en-US" w:bidi="ar-SA"/>
              </w:rPr>
              <w:t>处理效果</w:t>
            </w:r>
          </w:p>
        </w:tc>
      </w:tr>
      <w:tr w14:paraId="00592F7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671" w:type="dxa"/>
            <w:vMerge w:val="restart"/>
            <w:tcBorders>
              <w:tl2br w:val="nil"/>
              <w:tr2bl w:val="nil"/>
            </w:tcBorders>
            <w:vAlign w:val="center"/>
          </w:tcPr>
          <w:p w14:paraId="3879F12D">
            <w:pPr>
              <w:widowControl/>
              <w:kinsoku w:val="0"/>
              <w:adjustRightInd w:val="0"/>
              <w:snapToGrid w:val="0"/>
              <w:spacing w:before="65" w:line="292" w:lineRule="auto"/>
              <w:ind w:left="228" w:right="123" w:hanging="106"/>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4"/>
                <w:kern w:val="0"/>
                <w:sz w:val="20"/>
                <w:szCs w:val="20"/>
                <w:u w:val="none" w:color="auto"/>
                <w:lang w:val="en-US" w:eastAsia="en-US" w:bidi="ar-SA"/>
              </w:rPr>
              <w:t>物理</w:t>
            </w:r>
            <w:r>
              <w:rPr>
                <w:rFonts w:hint="default" w:ascii="Times New Roman" w:hAnsi="Times New Roman" w:eastAsia="宋体" w:cs="Times New Roman"/>
                <w:snapToGrid w:val="0"/>
                <w:color w:val="000000"/>
                <w:kern w:val="0"/>
                <w:sz w:val="20"/>
                <w:szCs w:val="20"/>
                <w:u w:val="none" w:color="auto"/>
                <w:lang w:val="en-US" w:eastAsia="en-US" w:bidi="ar-SA"/>
              </w:rPr>
              <w:t>法</w:t>
            </w:r>
          </w:p>
        </w:tc>
        <w:tc>
          <w:tcPr>
            <w:tcW w:w="977" w:type="dxa"/>
            <w:tcBorders>
              <w:tl2br w:val="nil"/>
              <w:tr2bl w:val="nil"/>
            </w:tcBorders>
            <w:vAlign w:val="center"/>
          </w:tcPr>
          <w:p w14:paraId="6389274F">
            <w:pPr>
              <w:widowControl/>
              <w:kinsoku w:val="0"/>
              <w:adjustRightInd w:val="0"/>
              <w:snapToGrid w:val="0"/>
              <w:spacing w:before="65" w:line="289" w:lineRule="auto"/>
              <w:ind w:left="270" w:right="171" w:hanging="99"/>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6"/>
                <w:kern w:val="0"/>
                <w:sz w:val="20"/>
                <w:szCs w:val="20"/>
                <w:u w:val="none" w:color="auto"/>
                <w:lang w:val="en-US" w:eastAsia="en-US" w:bidi="ar-SA"/>
              </w:rPr>
              <w:t>大气稀</w:t>
            </w:r>
            <w:r>
              <w:rPr>
                <w:rFonts w:hint="default" w:ascii="Times New Roman" w:hAnsi="Times New Roman" w:eastAsia="宋体" w:cs="Times New Roman"/>
                <w:snapToGrid w:val="0"/>
                <w:color w:val="000000"/>
                <w:spacing w:val="5"/>
                <w:kern w:val="0"/>
                <w:sz w:val="20"/>
                <w:szCs w:val="20"/>
                <w:u w:val="none" w:color="auto"/>
                <w:lang w:val="en-US" w:eastAsia="en-US" w:bidi="ar-SA"/>
              </w:rPr>
              <w:t>释法</w:t>
            </w:r>
          </w:p>
        </w:tc>
        <w:tc>
          <w:tcPr>
            <w:tcW w:w="1389" w:type="dxa"/>
            <w:tcBorders>
              <w:tl2br w:val="nil"/>
              <w:tr2bl w:val="nil"/>
            </w:tcBorders>
            <w:vAlign w:val="center"/>
          </w:tcPr>
          <w:p w14:paraId="175D34B0">
            <w:pPr>
              <w:widowControl/>
              <w:kinsoku w:val="0"/>
              <w:adjustRightInd w:val="0"/>
              <w:snapToGrid w:val="0"/>
              <w:spacing w:before="202" w:line="229" w:lineRule="auto"/>
              <w:ind w:left="166"/>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适用于浓度较低的有组</w:t>
            </w:r>
            <w:r>
              <w:rPr>
                <w:rFonts w:hint="default" w:ascii="Times New Roman" w:hAnsi="Times New Roman" w:eastAsia="宋体" w:cs="Times New Roman"/>
                <w:snapToGrid w:val="0"/>
                <w:color w:val="000000"/>
                <w:spacing w:val="6"/>
                <w:kern w:val="0"/>
                <w:sz w:val="20"/>
                <w:szCs w:val="20"/>
                <w:u w:val="none" w:color="auto"/>
                <w:lang w:val="en-US" w:eastAsia="en-US" w:bidi="ar-SA"/>
              </w:rPr>
              <w:t>织排放源</w:t>
            </w:r>
          </w:p>
        </w:tc>
        <w:tc>
          <w:tcPr>
            <w:tcW w:w="2331" w:type="dxa"/>
            <w:tcBorders>
              <w:tl2br w:val="nil"/>
              <w:tr2bl w:val="nil"/>
            </w:tcBorders>
            <w:vAlign w:val="center"/>
          </w:tcPr>
          <w:p w14:paraId="57B576E5">
            <w:pPr>
              <w:widowControl/>
              <w:kinsoku w:val="0"/>
              <w:adjustRightInd w:val="0"/>
              <w:snapToGrid w:val="0"/>
              <w:spacing w:before="65" w:line="228" w:lineRule="auto"/>
              <w:ind w:left="337"/>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7"/>
                <w:kern w:val="0"/>
                <w:sz w:val="20"/>
                <w:szCs w:val="20"/>
                <w:u w:val="none" w:color="auto"/>
                <w:lang w:val="en-US" w:eastAsia="en-US" w:bidi="ar-SA"/>
              </w:rPr>
              <w:t>费用低，运行简单</w:t>
            </w:r>
          </w:p>
        </w:tc>
        <w:tc>
          <w:tcPr>
            <w:tcW w:w="2330" w:type="dxa"/>
            <w:tcBorders>
              <w:tl2br w:val="nil"/>
              <w:tr2bl w:val="nil"/>
            </w:tcBorders>
            <w:vAlign w:val="center"/>
          </w:tcPr>
          <w:p w14:paraId="55CEBE98">
            <w:pPr>
              <w:widowControl/>
              <w:kinsoku w:val="0"/>
              <w:adjustRightInd w:val="0"/>
              <w:snapToGrid w:val="0"/>
              <w:spacing w:before="46" w:line="228" w:lineRule="auto"/>
              <w:ind w:left="122"/>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受当地气象条件和地形条件影响较大，另外对烟囱高度也有一定的</w:t>
            </w:r>
            <w:r>
              <w:rPr>
                <w:rFonts w:hint="default" w:ascii="Times New Roman" w:hAnsi="Times New Roman" w:eastAsia="宋体" w:cs="Times New Roman"/>
                <w:snapToGrid w:val="0"/>
                <w:color w:val="000000"/>
                <w:spacing w:val="4"/>
                <w:kern w:val="0"/>
                <w:sz w:val="20"/>
                <w:szCs w:val="20"/>
                <w:u w:val="none" w:color="auto"/>
                <w:lang w:val="en-US" w:eastAsia="en-US" w:bidi="ar-SA"/>
              </w:rPr>
              <w:t>要求</w:t>
            </w:r>
          </w:p>
        </w:tc>
        <w:tc>
          <w:tcPr>
            <w:tcW w:w="737" w:type="dxa"/>
            <w:tcBorders>
              <w:tl2br w:val="nil"/>
              <w:tr2bl w:val="nil"/>
            </w:tcBorders>
            <w:vAlign w:val="center"/>
          </w:tcPr>
          <w:p w14:paraId="26B2CB89">
            <w:pPr>
              <w:widowControl/>
              <w:kinsoku w:val="0"/>
              <w:adjustRightInd w:val="0"/>
              <w:snapToGrid w:val="0"/>
              <w:spacing w:before="65" w:line="230" w:lineRule="auto"/>
              <w:ind w:left="163"/>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3"/>
                <w:kern w:val="0"/>
                <w:sz w:val="20"/>
                <w:szCs w:val="20"/>
                <w:u w:val="none" w:color="auto"/>
                <w:lang w:val="en-US" w:eastAsia="en-US" w:bidi="ar-SA"/>
              </w:rPr>
              <w:t>一般</w:t>
            </w:r>
          </w:p>
        </w:tc>
      </w:tr>
      <w:tr w14:paraId="32D58B0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671" w:type="dxa"/>
            <w:vMerge w:val="continue"/>
            <w:tcBorders>
              <w:tl2br w:val="nil"/>
              <w:tr2bl w:val="nil"/>
            </w:tcBorders>
            <w:vAlign w:val="center"/>
          </w:tcPr>
          <w:p w14:paraId="21F53806">
            <w:pPr>
              <w:widowControl/>
              <w:kinsoku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u w:val="none" w:color="auto"/>
                <w:lang w:val="en-US" w:eastAsia="en-US" w:bidi="ar-SA"/>
              </w:rPr>
            </w:pPr>
          </w:p>
        </w:tc>
        <w:tc>
          <w:tcPr>
            <w:tcW w:w="977" w:type="dxa"/>
            <w:tcBorders>
              <w:tl2br w:val="nil"/>
              <w:tr2bl w:val="nil"/>
            </w:tcBorders>
            <w:vAlign w:val="center"/>
          </w:tcPr>
          <w:p w14:paraId="6A763B4B">
            <w:pPr>
              <w:widowControl/>
              <w:kinsoku w:val="0"/>
              <w:adjustRightInd w:val="0"/>
              <w:snapToGrid w:val="0"/>
              <w:spacing w:before="208" w:line="289" w:lineRule="auto"/>
              <w:ind w:left="280" w:right="171" w:hanging="108"/>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5"/>
                <w:kern w:val="0"/>
                <w:sz w:val="20"/>
                <w:szCs w:val="20"/>
                <w:u w:val="none" w:color="auto"/>
                <w:lang w:val="en-US" w:eastAsia="en-US" w:bidi="ar-SA"/>
              </w:rPr>
              <w:t>活性炭</w:t>
            </w:r>
            <w:r>
              <w:rPr>
                <w:rFonts w:hint="default" w:ascii="Times New Roman" w:hAnsi="Times New Roman" w:eastAsia="宋体" w:cs="Times New Roman"/>
                <w:snapToGrid w:val="0"/>
                <w:color w:val="000000"/>
                <w:kern w:val="0"/>
                <w:sz w:val="20"/>
                <w:szCs w:val="20"/>
                <w:u w:val="none" w:color="auto"/>
                <w:lang w:val="en-US" w:eastAsia="en-US" w:bidi="ar-SA"/>
              </w:rPr>
              <w:t>吸附</w:t>
            </w:r>
          </w:p>
        </w:tc>
        <w:tc>
          <w:tcPr>
            <w:tcW w:w="1389" w:type="dxa"/>
            <w:tcBorders>
              <w:tl2br w:val="nil"/>
              <w:tr2bl w:val="nil"/>
            </w:tcBorders>
            <w:vAlign w:val="center"/>
          </w:tcPr>
          <w:p w14:paraId="69E928CB">
            <w:pPr>
              <w:widowControl/>
              <w:kinsoku w:val="0"/>
              <w:adjustRightInd w:val="0"/>
              <w:snapToGrid w:val="0"/>
              <w:spacing w:before="53" w:line="228" w:lineRule="auto"/>
              <w:ind w:left="165"/>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低浓度臭气</w:t>
            </w:r>
            <w:r>
              <w:rPr>
                <w:rFonts w:hint="default" w:ascii="Times New Roman" w:hAnsi="Times New Roman" w:eastAsia="宋体" w:cs="Times New Roman"/>
                <w:snapToGrid w:val="0"/>
                <w:color w:val="000000"/>
                <w:spacing w:val="7"/>
                <w:kern w:val="0"/>
                <w:sz w:val="20"/>
                <w:szCs w:val="20"/>
                <w:u w:val="none" w:color="auto"/>
                <w:lang w:val="en-US" w:eastAsia="en-US" w:bidi="ar-SA"/>
              </w:rPr>
              <w:t>和脱臭的后</w:t>
            </w:r>
            <w:r>
              <w:rPr>
                <w:rFonts w:hint="default" w:ascii="Times New Roman" w:hAnsi="Times New Roman" w:eastAsia="宋体" w:cs="Times New Roman"/>
                <w:snapToGrid w:val="0"/>
                <w:color w:val="000000"/>
                <w:spacing w:val="2"/>
                <w:kern w:val="0"/>
                <w:sz w:val="20"/>
                <w:szCs w:val="20"/>
                <w:u w:val="none" w:color="auto"/>
                <w:lang w:val="en-US" w:eastAsia="en-US" w:bidi="ar-SA"/>
              </w:rPr>
              <w:t>处理</w:t>
            </w:r>
          </w:p>
        </w:tc>
        <w:tc>
          <w:tcPr>
            <w:tcW w:w="2331" w:type="dxa"/>
            <w:tcBorders>
              <w:tl2br w:val="nil"/>
              <w:tr2bl w:val="nil"/>
            </w:tcBorders>
            <w:vAlign w:val="center"/>
          </w:tcPr>
          <w:p w14:paraId="5324D9DA">
            <w:pPr>
              <w:widowControl/>
              <w:kinsoku w:val="0"/>
              <w:adjustRightInd w:val="0"/>
              <w:snapToGrid w:val="0"/>
              <w:spacing w:before="209" w:line="289" w:lineRule="auto"/>
              <w:ind w:left="327" w:right="111" w:hanging="214"/>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9"/>
                <w:kern w:val="0"/>
                <w:sz w:val="20"/>
                <w:szCs w:val="20"/>
                <w:u w:val="none" w:color="auto"/>
                <w:lang w:val="en-US" w:eastAsia="en-US" w:bidi="ar-SA"/>
              </w:rPr>
              <w:t>初期投资比较低，维护</w:t>
            </w:r>
            <w:r>
              <w:rPr>
                <w:rFonts w:hint="default" w:ascii="Times New Roman" w:hAnsi="Times New Roman" w:eastAsia="宋体" w:cs="Times New Roman"/>
                <w:snapToGrid w:val="0"/>
                <w:color w:val="000000"/>
                <w:spacing w:val="8"/>
                <w:kern w:val="0"/>
                <w:sz w:val="20"/>
                <w:szCs w:val="20"/>
                <w:u w:val="none" w:color="auto"/>
                <w:lang w:val="en-US" w:eastAsia="en-US" w:bidi="ar-SA"/>
              </w:rPr>
              <w:t>容易而被广泛应用</w:t>
            </w:r>
          </w:p>
        </w:tc>
        <w:tc>
          <w:tcPr>
            <w:tcW w:w="2330" w:type="dxa"/>
            <w:tcBorders>
              <w:tl2br w:val="nil"/>
              <w:tr2bl w:val="nil"/>
            </w:tcBorders>
            <w:vAlign w:val="center"/>
          </w:tcPr>
          <w:p w14:paraId="4DFA1942">
            <w:pPr>
              <w:widowControl/>
              <w:kinsoku w:val="0"/>
              <w:adjustRightInd w:val="0"/>
              <w:snapToGrid w:val="0"/>
              <w:spacing w:before="208" w:line="289" w:lineRule="auto"/>
              <w:ind w:left="331" w:right="106" w:hanging="209"/>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活性炭需经常更换或再生，运行成本较高</w:t>
            </w:r>
          </w:p>
        </w:tc>
        <w:tc>
          <w:tcPr>
            <w:tcW w:w="737" w:type="dxa"/>
            <w:tcBorders>
              <w:tl2br w:val="nil"/>
              <w:tr2bl w:val="nil"/>
            </w:tcBorders>
            <w:vAlign w:val="center"/>
          </w:tcPr>
          <w:p w14:paraId="02029445">
            <w:pPr>
              <w:widowControl/>
              <w:kinsoku w:val="0"/>
              <w:adjustRightInd w:val="0"/>
              <w:snapToGrid w:val="0"/>
              <w:spacing w:before="65" w:line="228" w:lineRule="auto"/>
              <w:ind w:left="193"/>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12"/>
                <w:kern w:val="0"/>
                <w:sz w:val="20"/>
                <w:szCs w:val="20"/>
                <w:u w:val="none" w:color="auto"/>
                <w:lang w:val="en-US" w:eastAsia="en-US" w:bidi="ar-SA"/>
              </w:rPr>
              <w:t>良好</w:t>
            </w:r>
          </w:p>
        </w:tc>
      </w:tr>
      <w:tr w14:paraId="3232747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671" w:type="dxa"/>
            <w:vMerge w:val="restart"/>
            <w:tcBorders>
              <w:tl2br w:val="nil"/>
              <w:tr2bl w:val="nil"/>
            </w:tcBorders>
            <w:vAlign w:val="center"/>
          </w:tcPr>
          <w:p w14:paraId="3FCBEFB2">
            <w:pPr>
              <w:widowControl/>
              <w:kinsoku w:val="0"/>
              <w:adjustRightInd w:val="0"/>
              <w:snapToGrid w:val="0"/>
              <w:spacing w:before="65" w:line="292" w:lineRule="auto"/>
              <w:ind w:left="228" w:right="123" w:hanging="105"/>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4"/>
                <w:kern w:val="0"/>
                <w:sz w:val="20"/>
                <w:szCs w:val="20"/>
                <w:u w:val="none" w:color="auto"/>
                <w:lang w:val="en-US" w:eastAsia="en-US" w:bidi="ar-SA"/>
              </w:rPr>
              <w:t>化学</w:t>
            </w:r>
            <w:r>
              <w:rPr>
                <w:rFonts w:hint="default" w:ascii="Times New Roman" w:hAnsi="Times New Roman" w:eastAsia="宋体" w:cs="Times New Roman"/>
                <w:snapToGrid w:val="0"/>
                <w:color w:val="000000"/>
                <w:kern w:val="0"/>
                <w:sz w:val="20"/>
                <w:szCs w:val="20"/>
                <w:u w:val="none" w:color="auto"/>
                <w:lang w:val="en-US" w:eastAsia="en-US" w:bidi="ar-SA"/>
              </w:rPr>
              <w:t>法</w:t>
            </w:r>
          </w:p>
        </w:tc>
        <w:tc>
          <w:tcPr>
            <w:tcW w:w="977" w:type="dxa"/>
            <w:tcBorders>
              <w:tl2br w:val="nil"/>
              <w:tr2bl w:val="nil"/>
            </w:tcBorders>
            <w:vAlign w:val="center"/>
          </w:tcPr>
          <w:p w14:paraId="4551FE68">
            <w:pPr>
              <w:widowControl/>
              <w:kinsoku w:val="0"/>
              <w:adjustRightInd w:val="0"/>
              <w:snapToGrid w:val="0"/>
              <w:spacing w:before="65" w:line="228" w:lineRule="auto"/>
              <w:ind w:left="168"/>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7"/>
                <w:kern w:val="0"/>
                <w:sz w:val="20"/>
                <w:szCs w:val="20"/>
                <w:u w:val="none" w:color="auto"/>
                <w:lang w:val="en-US" w:eastAsia="en-US" w:bidi="ar-SA"/>
              </w:rPr>
              <w:t>燃烧法</w:t>
            </w:r>
          </w:p>
        </w:tc>
        <w:tc>
          <w:tcPr>
            <w:tcW w:w="1389" w:type="dxa"/>
            <w:tcBorders>
              <w:tl2br w:val="nil"/>
              <w:tr2bl w:val="nil"/>
            </w:tcBorders>
            <w:vAlign w:val="center"/>
          </w:tcPr>
          <w:p w14:paraId="2C467F40">
            <w:pPr>
              <w:widowControl/>
              <w:kinsoku w:val="0"/>
              <w:adjustRightInd w:val="0"/>
              <w:snapToGrid w:val="0"/>
              <w:spacing w:before="209" w:line="228" w:lineRule="auto"/>
              <w:ind w:left="166"/>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适用于高浓度小气量的</w:t>
            </w:r>
            <w:r>
              <w:rPr>
                <w:rFonts w:hint="default" w:ascii="Times New Roman" w:hAnsi="Times New Roman" w:eastAsia="宋体" w:cs="Times New Roman"/>
                <w:snapToGrid w:val="0"/>
                <w:color w:val="000000"/>
                <w:spacing w:val="7"/>
                <w:kern w:val="0"/>
                <w:sz w:val="20"/>
                <w:szCs w:val="20"/>
                <w:u w:val="none" w:color="auto"/>
                <w:lang w:val="en-US" w:eastAsia="en-US" w:bidi="ar-SA"/>
              </w:rPr>
              <w:t>有机废气</w:t>
            </w:r>
          </w:p>
        </w:tc>
        <w:tc>
          <w:tcPr>
            <w:tcW w:w="2331" w:type="dxa"/>
            <w:tcBorders>
              <w:tl2br w:val="nil"/>
              <w:tr2bl w:val="nil"/>
            </w:tcBorders>
            <w:vAlign w:val="center"/>
          </w:tcPr>
          <w:p w14:paraId="3CD91CD2">
            <w:pPr>
              <w:widowControl/>
              <w:kinsoku w:val="0"/>
              <w:adjustRightInd w:val="0"/>
              <w:snapToGrid w:val="0"/>
              <w:spacing w:before="65" w:line="289" w:lineRule="auto"/>
              <w:ind w:left="640" w:right="29" w:hanging="531"/>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3"/>
                <w:kern w:val="0"/>
                <w:sz w:val="20"/>
                <w:szCs w:val="20"/>
                <w:u w:val="none" w:color="auto"/>
                <w:lang w:val="en-US" w:eastAsia="en-US" w:bidi="ar-SA"/>
              </w:rPr>
              <w:t>净化效率高、操作简单、</w:t>
            </w:r>
            <w:r>
              <w:rPr>
                <w:rFonts w:hint="default" w:ascii="Times New Roman" w:hAnsi="Times New Roman" w:eastAsia="宋体" w:cs="Times New Roman"/>
                <w:snapToGrid w:val="0"/>
                <w:color w:val="000000"/>
                <w:spacing w:val="7"/>
                <w:kern w:val="0"/>
                <w:sz w:val="20"/>
                <w:szCs w:val="20"/>
                <w:u w:val="none" w:color="auto"/>
                <w:lang w:val="en-US" w:eastAsia="en-US" w:bidi="ar-SA"/>
              </w:rPr>
              <w:t>动力消耗少</w:t>
            </w:r>
          </w:p>
        </w:tc>
        <w:tc>
          <w:tcPr>
            <w:tcW w:w="2330" w:type="dxa"/>
            <w:tcBorders>
              <w:tl2br w:val="nil"/>
              <w:tr2bl w:val="nil"/>
            </w:tcBorders>
            <w:vAlign w:val="center"/>
          </w:tcPr>
          <w:p w14:paraId="21EA5339">
            <w:pPr>
              <w:widowControl/>
              <w:kinsoku w:val="0"/>
              <w:adjustRightInd w:val="0"/>
              <w:snapToGrid w:val="0"/>
              <w:spacing w:before="53" w:line="228" w:lineRule="auto"/>
              <w:ind w:left="121"/>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建设投资和运行管理费用都很高，温度控制复</w:t>
            </w:r>
            <w:r>
              <w:rPr>
                <w:rFonts w:hint="default" w:ascii="Times New Roman" w:hAnsi="Times New Roman" w:eastAsia="宋体" w:cs="Times New Roman"/>
                <w:snapToGrid w:val="0"/>
                <w:color w:val="000000"/>
                <w:spacing w:val="10"/>
                <w:kern w:val="0"/>
                <w:sz w:val="20"/>
                <w:szCs w:val="20"/>
                <w:u w:val="none" w:color="auto"/>
                <w:lang w:val="en-US" w:eastAsia="en-US" w:bidi="ar-SA"/>
              </w:rPr>
              <w:t>杂，需添加辅助燃料，</w:t>
            </w:r>
            <w:r>
              <w:rPr>
                <w:rFonts w:hint="default" w:ascii="Times New Roman" w:hAnsi="Times New Roman" w:eastAsia="宋体" w:cs="Times New Roman"/>
                <w:snapToGrid w:val="0"/>
                <w:color w:val="000000"/>
                <w:spacing w:val="8"/>
                <w:kern w:val="0"/>
                <w:sz w:val="20"/>
                <w:szCs w:val="20"/>
                <w:u w:val="none" w:color="auto"/>
                <w:lang w:val="en-US" w:eastAsia="en-US" w:bidi="ar-SA"/>
              </w:rPr>
              <w:t>燃料费用高</w:t>
            </w:r>
          </w:p>
        </w:tc>
        <w:tc>
          <w:tcPr>
            <w:tcW w:w="737" w:type="dxa"/>
            <w:tcBorders>
              <w:tl2br w:val="nil"/>
              <w:tr2bl w:val="nil"/>
            </w:tcBorders>
            <w:vAlign w:val="center"/>
          </w:tcPr>
          <w:p w14:paraId="66BD8B69">
            <w:pPr>
              <w:widowControl/>
              <w:kinsoku w:val="0"/>
              <w:adjustRightInd w:val="0"/>
              <w:snapToGrid w:val="0"/>
              <w:spacing w:before="65" w:line="228" w:lineRule="auto"/>
              <w:ind w:left="193"/>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12"/>
                <w:kern w:val="0"/>
                <w:sz w:val="20"/>
                <w:szCs w:val="20"/>
                <w:u w:val="none" w:color="auto"/>
                <w:lang w:val="en-US" w:eastAsia="en-US" w:bidi="ar-SA"/>
              </w:rPr>
              <w:t>良好</w:t>
            </w:r>
          </w:p>
        </w:tc>
      </w:tr>
      <w:tr w14:paraId="578AE5D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671" w:type="dxa"/>
            <w:vMerge w:val="continue"/>
            <w:tcBorders>
              <w:tl2br w:val="nil"/>
              <w:tr2bl w:val="nil"/>
            </w:tcBorders>
            <w:vAlign w:val="center"/>
          </w:tcPr>
          <w:p w14:paraId="2E5C97D7">
            <w:pPr>
              <w:widowControl/>
              <w:kinsoku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u w:val="none" w:color="auto"/>
                <w:lang w:val="en-US" w:eastAsia="en-US" w:bidi="ar-SA"/>
              </w:rPr>
            </w:pPr>
          </w:p>
        </w:tc>
        <w:tc>
          <w:tcPr>
            <w:tcW w:w="977" w:type="dxa"/>
            <w:tcBorders>
              <w:tl2br w:val="nil"/>
              <w:tr2bl w:val="nil"/>
            </w:tcBorders>
            <w:vAlign w:val="center"/>
          </w:tcPr>
          <w:p w14:paraId="7B733619">
            <w:pPr>
              <w:widowControl/>
              <w:kinsoku w:val="0"/>
              <w:adjustRightInd w:val="0"/>
              <w:snapToGrid w:val="0"/>
              <w:spacing w:before="65" w:line="290" w:lineRule="auto"/>
              <w:ind w:left="272" w:right="171" w:hanging="95"/>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4"/>
                <w:kern w:val="0"/>
                <w:sz w:val="20"/>
                <w:szCs w:val="20"/>
                <w:u w:val="none" w:color="auto"/>
                <w:lang w:val="en-US" w:eastAsia="en-US" w:bidi="ar-SA"/>
              </w:rPr>
              <w:t>喷淋洗涤法</w:t>
            </w:r>
          </w:p>
        </w:tc>
        <w:tc>
          <w:tcPr>
            <w:tcW w:w="1389" w:type="dxa"/>
            <w:tcBorders>
              <w:tl2br w:val="nil"/>
              <w:tr2bl w:val="nil"/>
            </w:tcBorders>
            <w:vAlign w:val="center"/>
          </w:tcPr>
          <w:p w14:paraId="4EA01684">
            <w:pPr>
              <w:widowControl/>
              <w:kinsoku w:val="0"/>
              <w:adjustRightInd w:val="0"/>
              <w:snapToGrid w:val="0"/>
              <w:spacing w:before="210" w:line="228" w:lineRule="auto"/>
              <w:ind w:left="104"/>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5"/>
                <w:kern w:val="0"/>
                <w:sz w:val="20"/>
                <w:szCs w:val="20"/>
                <w:u w:val="none" w:color="auto"/>
                <w:lang w:val="en-US" w:eastAsia="en-US" w:bidi="ar-SA"/>
              </w:rPr>
              <w:t>排放量大、高</w:t>
            </w:r>
            <w:r>
              <w:rPr>
                <w:rFonts w:hint="default" w:ascii="Times New Roman" w:hAnsi="Times New Roman" w:eastAsia="宋体" w:cs="Times New Roman"/>
                <w:snapToGrid w:val="0"/>
                <w:color w:val="000000"/>
                <w:spacing w:val="8"/>
                <w:kern w:val="0"/>
                <w:sz w:val="20"/>
                <w:szCs w:val="20"/>
                <w:u w:val="none" w:color="auto"/>
                <w:lang w:val="en-US" w:eastAsia="en-US" w:bidi="ar-SA"/>
              </w:rPr>
              <w:t>浓度的臭气</w:t>
            </w:r>
            <w:r>
              <w:rPr>
                <w:rFonts w:hint="default" w:ascii="Times New Roman" w:hAnsi="Times New Roman" w:eastAsia="宋体" w:cs="Times New Roman"/>
                <w:snapToGrid w:val="0"/>
                <w:color w:val="000000"/>
                <w:spacing w:val="7"/>
                <w:kern w:val="0"/>
                <w:sz w:val="20"/>
                <w:szCs w:val="20"/>
                <w:u w:val="none" w:color="auto"/>
                <w:lang w:val="en-US" w:eastAsia="en-US" w:bidi="ar-SA"/>
              </w:rPr>
              <w:t>排放场合</w:t>
            </w:r>
          </w:p>
        </w:tc>
        <w:tc>
          <w:tcPr>
            <w:tcW w:w="2331" w:type="dxa"/>
            <w:tcBorders>
              <w:tl2br w:val="nil"/>
              <w:tr2bl w:val="nil"/>
            </w:tcBorders>
            <w:vAlign w:val="center"/>
          </w:tcPr>
          <w:p w14:paraId="382235CD">
            <w:pPr>
              <w:widowControl/>
              <w:kinsoku w:val="0"/>
              <w:adjustRightInd w:val="0"/>
              <w:snapToGrid w:val="0"/>
              <w:spacing w:before="54" w:line="229" w:lineRule="auto"/>
              <w:ind w:left="115"/>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反应速度快、反应温度</w:t>
            </w:r>
            <w:r>
              <w:rPr>
                <w:rFonts w:hint="default" w:ascii="Times New Roman" w:hAnsi="Times New Roman" w:eastAsia="宋体" w:cs="Times New Roman"/>
                <w:snapToGrid w:val="0"/>
                <w:color w:val="000000"/>
                <w:spacing w:val="-1"/>
                <w:kern w:val="0"/>
                <w:sz w:val="20"/>
                <w:szCs w:val="20"/>
                <w:u w:val="none" w:color="auto"/>
                <w:lang w:val="en-US" w:eastAsia="en-US" w:bidi="ar-SA"/>
              </w:rPr>
              <w:t>低、安全高效、运行可</w:t>
            </w:r>
            <w:r>
              <w:rPr>
                <w:rFonts w:hint="default" w:ascii="Times New Roman" w:hAnsi="Times New Roman" w:eastAsia="宋体" w:cs="Times New Roman"/>
                <w:snapToGrid w:val="0"/>
                <w:color w:val="000000"/>
                <w:spacing w:val="4"/>
                <w:kern w:val="0"/>
                <w:sz w:val="20"/>
                <w:szCs w:val="20"/>
                <w:u w:val="none" w:color="auto"/>
                <w:lang w:val="en-US" w:eastAsia="en-US" w:bidi="ar-SA"/>
              </w:rPr>
              <w:t>靠、占地相对最小、能耗低</w:t>
            </w:r>
          </w:p>
        </w:tc>
        <w:tc>
          <w:tcPr>
            <w:tcW w:w="2330" w:type="dxa"/>
            <w:tcBorders>
              <w:tl2br w:val="nil"/>
              <w:tr2bl w:val="nil"/>
            </w:tcBorders>
            <w:vAlign w:val="center"/>
          </w:tcPr>
          <w:p w14:paraId="33498D1E">
            <w:pPr>
              <w:widowControl/>
              <w:kinsoku w:val="0"/>
              <w:adjustRightInd w:val="0"/>
              <w:snapToGrid w:val="0"/>
              <w:spacing w:before="209" w:line="289" w:lineRule="auto"/>
              <w:ind w:left="172" w:right="106" w:hanging="55"/>
              <w:jc w:val="both"/>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9"/>
                <w:kern w:val="0"/>
                <w:sz w:val="20"/>
                <w:szCs w:val="20"/>
                <w:u w:val="none" w:color="auto"/>
                <w:lang w:val="en-US" w:eastAsia="en-US" w:bidi="ar-SA"/>
              </w:rPr>
              <w:t>对硫醇、挥发性脂肪酸</w:t>
            </w:r>
            <w:r>
              <w:rPr>
                <w:rFonts w:hint="default" w:ascii="Times New Roman" w:hAnsi="Times New Roman" w:eastAsia="宋体" w:cs="Times New Roman"/>
                <w:snapToGrid w:val="0"/>
                <w:color w:val="000000"/>
                <w:spacing w:val="8"/>
                <w:kern w:val="0"/>
                <w:sz w:val="20"/>
                <w:szCs w:val="20"/>
                <w:u w:val="none" w:color="auto"/>
                <w:lang w:val="en-US" w:eastAsia="en-US" w:bidi="ar-SA"/>
              </w:rPr>
              <w:t>等或其他挥发性有机</w:t>
            </w:r>
            <w:r>
              <w:rPr>
                <w:rFonts w:hint="default" w:ascii="Times New Roman" w:hAnsi="Times New Roman" w:eastAsia="宋体" w:cs="Times New Roman"/>
                <w:snapToGrid w:val="0"/>
                <w:color w:val="000000"/>
                <w:spacing w:val="14"/>
                <w:kern w:val="0"/>
                <w:sz w:val="20"/>
                <w:szCs w:val="20"/>
                <w:u w:val="none" w:color="auto"/>
                <w:lang w:val="en-US" w:eastAsia="en-US" w:bidi="ar-SA"/>
              </w:rPr>
              <w:t>气体的去除比较困难</w:t>
            </w:r>
          </w:p>
        </w:tc>
        <w:tc>
          <w:tcPr>
            <w:tcW w:w="737" w:type="dxa"/>
            <w:tcBorders>
              <w:tl2br w:val="nil"/>
              <w:tr2bl w:val="nil"/>
            </w:tcBorders>
            <w:vAlign w:val="center"/>
          </w:tcPr>
          <w:p w14:paraId="04329C20">
            <w:pPr>
              <w:widowControl/>
              <w:kinsoku w:val="0"/>
              <w:adjustRightInd w:val="0"/>
              <w:snapToGrid w:val="0"/>
              <w:spacing w:before="65" w:line="230" w:lineRule="auto"/>
              <w:ind w:left="163"/>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3"/>
                <w:kern w:val="0"/>
                <w:sz w:val="20"/>
                <w:szCs w:val="20"/>
                <w:u w:val="none" w:color="auto"/>
                <w:lang w:val="en-US" w:eastAsia="en-US" w:bidi="ar-SA"/>
              </w:rPr>
              <w:t>一般</w:t>
            </w:r>
          </w:p>
        </w:tc>
      </w:tr>
      <w:tr w14:paraId="4D22B4A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671" w:type="dxa"/>
            <w:vMerge w:val="continue"/>
            <w:tcBorders>
              <w:tl2br w:val="nil"/>
              <w:tr2bl w:val="nil"/>
            </w:tcBorders>
            <w:vAlign w:val="center"/>
          </w:tcPr>
          <w:p w14:paraId="5796A3F0">
            <w:pPr>
              <w:widowControl/>
              <w:kinsoku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u w:val="none" w:color="auto"/>
                <w:lang w:val="en-US" w:eastAsia="en-US" w:bidi="ar-SA"/>
              </w:rPr>
            </w:pPr>
          </w:p>
        </w:tc>
        <w:tc>
          <w:tcPr>
            <w:tcW w:w="977" w:type="dxa"/>
            <w:tcBorders>
              <w:tl2br w:val="nil"/>
              <w:tr2bl w:val="nil"/>
            </w:tcBorders>
            <w:vAlign w:val="center"/>
          </w:tcPr>
          <w:p w14:paraId="343FFEE8">
            <w:pPr>
              <w:kinsoku w:val="0"/>
              <w:autoSpaceDE w:val="0"/>
              <w:autoSpaceDN w:val="0"/>
              <w:adjustRightInd w:val="0"/>
              <w:snapToGrid w:val="0"/>
              <w:spacing w:before="214" w:line="289" w:lineRule="auto"/>
              <w:ind w:left="273" w:right="107" w:hanging="178"/>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Times New Roman" w:cs="Times New Roman"/>
                <w:snapToGrid w:val="0"/>
                <w:color w:val="000000"/>
                <w:kern w:val="0"/>
                <w:sz w:val="20"/>
                <w:szCs w:val="20"/>
                <w:u w:val="none" w:color="auto"/>
                <w:lang w:val="en-US" w:eastAsia="en-US" w:bidi="ar-SA"/>
              </w:rPr>
              <w:t>UV</w:t>
            </w:r>
            <w:r>
              <w:rPr>
                <w:rFonts w:hint="default" w:ascii="Times New Roman" w:hAnsi="Times New Roman" w:eastAsia="宋体" w:cs="Times New Roman"/>
                <w:snapToGrid w:val="0"/>
                <w:color w:val="000000"/>
                <w:spacing w:val="7"/>
                <w:kern w:val="0"/>
                <w:sz w:val="20"/>
                <w:szCs w:val="20"/>
                <w:u w:val="none" w:color="auto"/>
                <w:lang w:val="en-US" w:eastAsia="en-US" w:bidi="ar-SA"/>
              </w:rPr>
              <w:t>光解</w:t>
            </w:r>
            <w:r>
              <w:rPr>
                <w:rFonts w:hint="default" w:ascii="Times New Roman" w:hAnsi="Times New Roman" w:eastAsia="宋体" w:cs="Times New Roman"/>
                <w:snapToGrid w:val="0"/>
                <w:color w:val="000000"/>
                <w:spacing w:val="4"/>
                <w:kern w:val="0"/>
                <w:sz w:val="20"/>
                <w:szCs w:val="20"/>
                <w:u w:val="none" w:color="auto"/>
                <w:lang w:val="en-US" w:eastAsia="en-US" w:bidi="ar-SA"/>
              </w:rPr>
              <w:t>技术</w:t>
            </w:r>
          </w:p>
        </w:tc>
        <w:tc>
          <w:tcPr>
            <w:tcW w:w="1389" w:type="dxa"/>
            <w:tcBorders>
              <w:tl2br w:val="nil"/>
              <w:tr2bl w:val="nil"/>
            </w:tcBorders>
            <w:vAlign w:val="center"/>
          </w:tcPr>
          <w:p w14:paraId="466CE0D5">
            <w:pPr>
              <w:widowControl/>
              <w:kinsoku w:val="0"/>
              <w:adjustRightInd w:val="0"/>
              <w:snapToGrid w:val="0"/>
              <w:spacing w:before="214" w:line="289" w:lineRule="auto"/>
              <w:ind w:left="272" w:right="166" w:hanging="92"/>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5"/>
                <w:kern w:val="0"/>
                <w:sz w:val="20"/>
                <w:szCs w:val="20"/>
                <w:u w:val="none" w:color="auto"/>
                <w:lang w:val="en-US" w:eastAsia="en-US" w:bidi="ar-SA"/>
              </w:rPr>
              <w:t>易氧化分解</w:t>
            </w:r>
            <w:r>
              <w:rPr>
                <w:rFonts w:hint="default" w:ascii="Times New Roman" w:hAnsi="Times New Roman" w:eastAsia="宋体" w:cs="Times New Roman"/>
                <w:snapToGrid w:val="0"/>
                <w:color w:val="000000"/>
                <w:spacing w:val="7"/>
                <w:kern w:val="0"/>
                <w:sz w:val="20"/>
                <w:szCs w:val="20"/>
                <w:u w:val="none" w:color="auto"/>
                <w:lang w:val="en-US" w:eastAsia="en-US" w:bidi="ar-SA"/>
              </w:rPr>
              <w:t>恶臭成分</w:t>
            </w:r>
          </w:p>
        </w:tc>
        <w:tc>
          <w:tcPr>
            <w:tcW w:w="2331" w:type="dxa"/>
            <w:tcBorders>
              <w:tl2br w:val="nil"/>
              <w:tr2bl w:val="nil"/>
            </w:tcBorders>
            <w:vAlign w:val="center"/>
          </w:tcPr>
          <w:p w14:paraId="3ECEF7F7">
            <w:pPr>
              <w:widowControl/>
              <w:kinsoku w:val="0"/>
              <w:adjustRightInd w:val="0"/>
              <w:snapToGrid w:val="0"/>
              <w:spacing w:before="58" w:line="228" w:lineRule="auto"/>
              <w:ind w:left="120"/>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高效去除恶臭，适应性</w:t>
            </w:r>
            <w:r>
              <w:rPr>
                <w:rFonts w:hint="default" w:ascii="Times New Roman" w:hAnsi="Times New Roman" w:eastAsia="宋体" w:cs="Times New Roman"/>
                <w:snapToGrid w:val="0"/>
                <w:color w:val="000000"/>
                <w:kern w:val="0"/>
                <w:sz w:val="20"/>
                <w:szCs w:val="20"/>
                <w:u w:val="none" w:color="auto"/>
                <w:lang w:val="en-US" w:eastAsia="en-US" w:bidi="ar-SA"/>
              </w:rPr>
              <w:t>强，运行成本低，占地小</w:t>
            </w:r>
          </w:p>
        </w:tc>
        <w:tc>
          <w:tcPr>
            <w:tcW w:w="2330" w:type="dxa"/>
            <w:tcBorders>
              <w:tl2br w:val="nil"/>
              <w:tr2bl w:val="nil"/>
            </w:tcBorders>
            <w:vAlign w:val="center"/>
          </w:tcPr>
          <w:p w14:paraId="39E4BA98">
            <w:pPr>
              <w:widowControl/>
              <w:kinsoku w:val="0"/>
              <w:adjustRightInd w:val="0"/>
              <w:snapToGrid w:val="0"/>
              <w:spacing w:before="65" w:line="228" w:lineRule="auto"/>
              <w:ind w:left="332"/>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投资和运营成本高</w:t>
            </w:r>
          </w:p>
        </w:tc>
        <w:tc>
          <w:tcPr>
            <w:tcW w:w="737" w:type="dxa"/>
            <w:tcBorders>
              <w:tl2br w:val="nil"/>
              <w:tr2bl w:val="nil"/>
            </w:tcBorders>
            <w:vAlign w:val="center"/>
          </w:tcPr>
          <w:p w14:paraId="5A32B455">
            <w:pPr>
              <w:widowControl/>
              <w:kinsoku w:val="0"/>
              <w:adjustRightInd w:val="0"/>
              <w:snapToGrid w:val="0"/>
              <w:spacing w:before="65" w:line="228" w:lineRule="auto"/>
              <w:ind w:left="193"/>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12"/>
                <w:kern w:val="0"/>
                <w:sz w:val="20"/>
                <w:szCs w:val="20"/>
                <w:u w:val="none" w:color="auto"/>
                <w:lang w:val="en-US" w:eastAsia="en-US" w:bidi="ar-SA"/>
              </w:rPr>
              <w:t>良好</w:t>
            </w:r>
          </w:p>
        </w:tc>
      </w:tr>
      <w:tr w14:paraId="0EEB261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671" w:type="dxa"/>
            <w:vMerge w:val="restart"/>
            <w:tcBorders>
              <w:tl2br w:val="nil"/>
              <w:tr2bl w:val="nil"/>
            </w:tcBorders>
            <w:vAlign w:val="center"/>
          </w:tcPr>
          <w:p w14:paraId="3DD5FB83">
            <w:pPr>
              <w:widowControl/>
              <w:kinsoku w:val="0"/>
              <w:adjustRightInd w:val="0"/>
              <w:snapToGrid w:val="0"/>
              <w:spacing w:before="65" w:line="228" w:lineRule="auto"/>
              <w:ind w:left="122"/>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4"/>
                <w:kern w:val="0"/>
                <w:sz w:val="20"/>
                <w:szCs w:val="20"/>
                <w:u w:val="none" w:color="auto"/>
                <w:lang w:val="en-US" w:eastAsia="en-US" w:bidi="ar-SA"/>
              </w:rPr>
              <w:t>微生物法</w:t>
            </w:r>
          </w:p>
        </w:tc>
        <w:tc>
          <w:tcPr>
            <w:tcW w:w="977" w:type="dxa"/>
            <w:tcBorders>
              <w:tl2br w:val="nil"/>
              <w:tr2bl w:val="nil"/>
            </w:tcBorders>
            <w:vAlign w:val="center"/>
          </w:tcPr>
          <w:p w14:paraId="50211995">
            <w:pPr>
              <w:widowControl/>
              <w:kinsoku w:val="0"/>
              <w:adjustRightInd w:val="0"/>
              <w:snapToGrid w:val="0"/>
              <w:spacing w:before="214" w:line="290" w:lineRule="auto"/>
              <w:ind w:left="272" w:right="171" w:hanging="97"/>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4"/>
                <w:kern w:val="0"/>
                <w:sz w:val="20"/>
                <w:szCs w:val="20"/>
                <w:u w:val="none" w:color="auto"/>
                <w:lang w:val="en-US" w:eastAsia="en-US" w:bidi="ar-SA"/>
              </w:rPr>
              <w:t>空间雾化法</w:t>
            </w:r>
          </w:p>
        </w:tc>
        <w:tc>
          <w:tcPr>
            <w:tcW w:w="1389" w:type="dxa"/>
            <w:tcBorders>
              <w:tl2br w:val="nil"/>
              <w:tr2bl w:val="nil"/>
            </w:tcBorders>
            <w:vAlign w:val="center"/>
          </w:tcPr>
          <w:p w14:paraId="2A46D0DE">
            <w:pPr>
              <w:widowControl/>
              <w:kinsoku w:val="0"/>
              <w:adjustRightInd w:val="0"/>
              <w:snapToGrid w:val="0"/>
              <w:spacing w:before="58" w:line="228" w:lineRule="auto"/>
              <w:ind w:left="166"/>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臭气不便收集的构筑物</w:t>
            </w:r>
            <w:r>
              <w:rPr>
                <w:rFonts w:hint="default" w:ascii="Times New Roman" w:hAnsi="Times New Roman" w:eastAsia="宋体" w:cs="Times New Roman"/>
                <w:snapToGrid w:val="0"/>
                <w:color w:val="000000"/>
                <w:kern w:val="0"/>
                <w:sz w:val="20"/>
                <w:szCs w:val="20"/>
                <w:u w:val="none" w:color="auto"/>
                <w:lang w:val="en-US" w:eastAsia="en-US" w:bidi="ar-SA"/>
              </w:rPr>
              <w:t>内</w:t>
            </w:r>
          </w:p>
        </w:tc>
        <w:tc>
          <w:tcPr>
            <w:tcW w:w="2331" w:type="dxa"/>
            <w:tcBorders>
              <w:tl2br w:val="nil"/>
              <w:tr2bl w:val="nil"/>
            </w:tcBorders>
            <w:vAlign w:val="center"/>
          </w:tcPr>
          <w:p w14:paraId="72DADF4E">
            <w:pPr>
              <w:widowControl/>
              <w:kinsoku w:val="0"/>
              <w:adjustRightInd w:val="0"/>
              <w:snapToGrid w:val="0"/>
              <w:spacing w:before="65" w:line="229" w:lineRule="auto"/>
              <w:ind w:left="642"/>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7"/>
                <w:kern w:val="0"/>
                <w:sz w:val="20"/>
                <w:szCs w:val="20"/>
                <w:u w:val="none" w:color="auto"/>
                <w:lang w:val="en-US" w:eastAsia="en-US" w:bidi="ar-SA"/>
              </w:rPr>
              <w:t>建设投资少</w:t>
            </w:r>
          </w:p>
        </w:tc>
        <w:tc>
          <w:tcPr>
            <w:tcW w:w="2330" w:type="dxa"/>
            <w:tcBorders>
              <w:tl2br w:val="nil"/>
              <w:tr2bl w:val="nil"/>
            </w:tcBorders>
            <w:vAlign w:val="center"/>
          </w:tcPr>
          <w:p w14:paraId="5598CD46">
            <w:pPr>
              <w:widowControl/>
              <w:kinsoku w:val="0"/>
              <w:adjustRightInd w:val="0"/>
              <w:snapToGrid w:val="0"/>
              <w:spacing w:before="58" w:line="228" w:lineRule="auto"/>
              <w:ind w:left="122"/>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不能有效控制由恶臭源外溢造成的周边环境污染，运行成本高</w:t>
            </w:r>
          </w:p>
        </w:tc>
        <w:tc>
          <w:tcPr>
            <w:tcW w:w="737" w:type="dxa"/>
            <w:tcBorders>
              <w:tl2br w:val="nil"/>
              <w:tr2bl w:val="nil"/>
            </w:tcBorders>
            <w:vAlign w:val="center"/>
          </w:tcPr>
          <w:p w14:paraId="147D5AAE">
            <w:pPr>
              <w:widowControl/>
              <w:kinsoku w:val="0"/>
              <w:adjustRightInd w:val="0"/>
              <w:snapToGrid w:val="0"/>
              <w:spacing w:before="65" w:line="228" w:lineRule="auto"/>
              <w:ind w:left="193"/>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12"/>
                <w:kern w:val="0"/>
                <w:sz w:val="20"/>
                <w:szCs w:val="20"/>
                <w:u w:val="none" w:color="auto"/>
                <w:lang w:val="en-US" w:eastAsia="en-US" w:bidi="ar-SA"/>
              </w:rPr>
              <w:t>良好</w:t>
            </w:r>
          </w:p>
        </w:tc>
      </w:tr>
      <w:tr w14:paraId="2B238CD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1884" w:hRule="atLeast"/>
        </w:trPr>
        <w:tc>
          <w:tcPr>
            <w:tcW w:w="671" w:type="dxa"/>
            <w:vMerge w:val="continue"/>
            <w:tcBorders>
              <w:tl2br w:val="nil"/>
              <w:tr2bl w:val="nil"/>
            </w:tcBorders>
            <w:vAlign w:val="center"/>
          </w:tcPr>
          <w:p w14:paraId="6C14927B">
            <w:pPr>
              <w:widowControl/>
              <w:kinsoku w:val="0"/>
              <w:adjustRightInd w:val="0"/>
              <w:snapToGrid w:val="0"/>
              <w:spacing w:line="240" w:lineRule="auto"/>
              <w:jc w:val="left"/>
              <w:textAlignment w:val="baseline"/>
              <w:rPr>
                <w:rFonts w:hint="default" w:ascii="Times New Roman" w:hAnsi="Times New Roman" w:eastAsia="Arial" w:cs="Times New Roman"/>
                <w:snapToGrid w:val="0"/>
                <w:color w:val="000000"/>
                <w:kern w:val="0"/>
                <w:sz w:val="21"/>
                <w:szCs w:val="21"/>
                <w:u w:val="none" w:color="auto"/>
                <w:lang w:val="en-US" w:eastAsia="en-US" w:bidi="ar-SA"/>
              </w:rPr>
            </w:pPr>
          </w:p>
        </w:tc>
        <w:tc>
          <w:tcPr>
            <w:tcW w:w="977" w:type="dxa"/>
            <w:tcBorders>
              <w:tl2br w:val="nil"/>
              <w:tr2bl w:val="nil"/>
            </w:tcBorders>
            <w:vAlign w:val="center"/>
          </w:tcPr>
          <w:p w14:paraId="1191A39C">
            <w:pPr>
              <w:widowControl/>
              <w:kinsoku w:val="0"/>
              <w:adjustRightInd w:val="0"/>
              <w:snapToGrid w:val="0"/>
              <w:spacing w:before="65" w:line="229" w:lineRule="auto"/>
              <w:ind w:left="171"/>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6"/>
                <w:kern w:val="0"/>
                <w:sz w:val="20"/>
                <w:szCs w:val="20"/>
                <w:u w:val="none" w:color="auto"/>
                <w:lang w:val="en-US" w:eastAsia="en-US" w:bidi="ar-SA"/>
              </w:rPr>
              <w:t>填充塔</w:t>
            </w:r>
            <w:r>
              <w:rPr>
                <w:rFonts w:hint="default" w:ascii="Times New Roman" w:hAnsi="Times New Roman" w:eastAsia="宋体" w:cs="Times New Roman"/>
                <w:snapToGrid w:val="0"/>
                <w:color w:val="000000"/>
                <w:spacing w:val="5"/>
                <w:kern w:val="0"/>
                <w:sz w:val="20"/>
                <w:szCs w:val="20"/>
                <w:u w:val="none" w:color="auto"/>
                <w:lang w:val="en-US" w:eastAsia="en-US" w:bidi="ar-SA"/>
              </w:rPr>
              <w:t>式生物</w:t>
            </w:r>
            <w:r>
              <w:rPr>
                <w:rFonts w:hint="default" w:ascii="Times New Roman" w:hAnsi="Times New Roman" w:eastAsia="宋体" w:cs="Times New Roman"/>
                <w:snapToGrid w:val="0"/>
                <w:color w:val="000000"/>
                <w:spacing w:val="6"/>
                <w:kern w:val="0"/>
                <w:sz w:val="20"/>
                <w:szCs w:val="20"/>
                <w:u w:val="none" w:color="auto"/>
                <w:lang w:val="en-US" w:eastAsia="en-US" w:bidi="ar-SA"/>
              </w:rPr>
              <w:t>脱臭法</w:t>
            </w:r>
          </w:p>
        </w:tc>
        <w:tc>
          <w:tcPr>
            <w:tcW w:w="1389" w:type="dxa"/>
            <w:tcBorders>
              <w:tl2br w:val="nil"/>
              <w:tr2bl w:val="nil"/>
            </w:tcBorders>
            <w:vAlign w:val="center"/>
          </w:tcPr>
          <w:p w14:paraId="76DB224C">
            <w:pPr>
              <w:widowControl/>
              <w:kinsoku w:val="0"/>
              <w:adjustRightInd w:val="0"/>
              <w:snapToGrid w:val="0"/>
              <w:spacing w:before="65" w:line="229" w:lineRule="auto"/>
              <w:ind w:left="166"/>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适用于各种</w:t>
            </w:r>
            <w:r>
              <w:rPr>
                <w:rFonts w:hint="default" w:ascii="Times New Roman" w:hAnsi="Times New Roman" w:eastAsia="宋体" w:cs="Times New Roman"/>
                <w:snapToGrid w:val="0"/>
                <w:color w:val="000000"/>
                <w:spacing w:val="7"/>
                <w:kern w:val="0"/>
                <w:sz w:val="20"/>
                <w:szCs w:val="20"/>
                <w:u w:val="none" w:color="auto"/>
                <w:lang w:val="en-US" w:eastAsia="en-US" w:bidi="ar-SA"/>
              </w:rPr>
              <w:t>恶臭成分的</w:t>
            </w:r>
            <w:r>
              <w:rPr>
                <w:rFonts w:hint="default" w:ascii="Times New Roman" w:hAnsi="Times New Roman" w:eastAsia="宋体" w:cs="Times New Roman"/>
                <w:snapToGrid w:val="0"/>
                <w:color w:val="000000"/>
                <w:spacing w:val="3"/>
                <w:kern w:val="0"/>
                <w:sz w:val="20"/>
                <w:szCs w:val="20"/>
                <w:u w:val="none" w:color="auto"/>
                <w:lang w:val="en-US" w:eastAsia="en-US" w:bidi="ar-SA"/>
              </w:rPr>
              <w:t>降解处理</w:t>
            </w:r>
          </w:p>
        </w:tc>
        <w:tc>
          <w:tcPr>
            <w:tcW w:w="2331" w:type="dxa"/>
            <w:tcBorders>
              <w:tl2br w:val="nil"/>
              <w:tr2bl w:val="nil"/>
            </w:tcBorders>
            <w:vAlign w:val="center"/>
          </w:tcPr>
          <w:p w14:paraId="39B77569">
            <w:pPr>
              <w:widowControl/>
              <w:kinsoku w:val="0"/>
              <w:adjustRightInd w:val="0"/>
              <w:snapToGrid w:val="0"/>
              <w:spacing w:before="57" w:line="228" w:lineRule="auto"/>
              <w:ind w:right="5"/>
              <w:jc w:val="righ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1"/>
                <w:kern w:val="0"/>
                <w:sz w:val="20"/>
                <w:szCs w:val="20"/>
                <w:u w:val="none" w:color="auto"/>
                <w:lang w:val="en-US" w:eastAsia="en-US" w:bidi="ar-SA"/>
              </w:rPr>
              <w:t>维护简单、运行费用低、</w:t>
            </w:r>
            <w:r>
              <w:rPr>
                <w:rFonts w:hint="default" w:ascii="Times New Roman" w:hAnsi="Times New Roman" w:eastAsia="宋体" w:cs="Times New Roman"/>
                <w:snapToGrid w:val="0"/>
                <w:color w:val="000000"/>
                <w:spacing w:val="8"/>
                <w:kern w:val="0"/>
                <w:sz w:val="20"/>
                <w:szCs w:val="20"/>
                <w:u w:val="none" w:color="auto"/>
                <w:lang w:val="en-US" w:eastAsia="en-US" w:bidi="ar-SA"/>
              </w:rPr>
              <w:t>脱臭效果好。对臭气浓</w:t>
            </w:r>
            <w:r>
              <w:rPr>
                <w:rFonts w:hint="default" w:ascii="Times New Roman" w:hAnsi="Times New Roman" w:eastAsia="宋体" w:cs="Times New Roman"/>
                <w:snapToGrid w:val="0"/>
                <w:color w:val="000000"/>
                <w:spacing w:val="9"/>
                <w:kern w:val="0"/>
                <w:sz w:val="20"/>
                <w:szCs w:val="20"/>
                <w:u w:val="none" w:color="auto"/>
                <w:lang w:val="en-US" w:eastAsia="en-US" w:bidi="ar-SA"/>
              </w:rPr>
              <w:t>度变化幅度大</w:t>
            </w:r>
            <w:r>
              <w:rPr>
                <w:rFonts w:hint="default" w:ascii="Times New Roman" w:hAnsi="Times New Roman" w:cs="Times New Roman"/>
                <w:snapToGrid w:val="0"/>
                <w:color w:val="000000"/>
                <w:spacing w:val="9"/>
                <w:kern w:val="0"/>
                <w:sz w:val="20"/>
                <w:szCs w:val="20"/>
                <w:u w:val="none" w:color="auto"/>
                <w:lang w:val="en-US" w:eastAsia="zh-CN" w:bidi="ar-SA"/>
              </w:rPr>
              <w:t>，以及</w:t>
            </w:r>
            <w:r>
              <w:rPr>
                <w:rFonts w:hint="default" w:ascii="Times New Roman" w:hAnsi="Times New Roman" w:eastAsia="宋体" w:cs="Times New Roman"/>
                <w:snapToGrid w:val="0"/>
                <w:color w:val="000000"/>
                <w:spacing w:val="9"/>
                <w:kern w:val="0"/>
                <w:sz w:val="20"/>
                <w:szCs w:val="20"/>
                <w:u w:val="none" w:color="auto"/>
                <w:lang w:val="en-US" w:eastAsia="en-US" w:bidi="ar-SA"/>
              </w:rPr>
              <w:t>吸</w:t>
            </w:r>
            <w:r>
              <w:rPr>
                <w:rFonts w:hint="default" w:ascii="Times New Roman" w:hAnsi="Times New Roman" w:eastAsia="宋体" w:cs="Times New Roman"/>
                <w:snapToGrid w:val="0"/>
                <w:color w:val="000000"/>
                <w:spacing w:val="7"/>
                <w:kern w:val="0"/>
                <w:sz w:val="20"/>
                <w:szCs w:val="20"/>
                <w:u w:val="none" w:color="auto"/>
                <w:lang w:val="en-US" w:eastAsia="en-US" w:bidi="ar-SA"/>
              </w:rPr>
              <w:t>附药液洗脱法难处理的高浓度臭气具有很强</w:t>
            </w:r>
            <w:r>
              <w:rPr>
                <w:rFonts w:hint="default" w:ascii="Times New Roman" w:hAnsi="Times New Roman" w:eastAsia="宋体" w:cs="Times New Roman"/>
                <w:snapToGrid w:val="0"/>
                <w:color w:val="000000"/>
                <w:spacing w:val="3"/>
                <w:kern w:val="0"/>
                <w:sz w:val="20"/>
                <w:szCs w:val="20"/>
                <w:u w:val="none" w:color="auto"/>
                <w:lang w:val="en-US" w:eastAsia="en-US" w:bidi="ar-SA"/>
              </w:rPr>
              <w:t>的适应性</w:t>
            </w:r>
          </w:p>
        </w:tc>
        <w:tc>
          <w:tcPr>
            <w:tcW w:w="2330" w:type="dxa"/>
            <w:tcBorders>
              <w:tl2br w:val="nil"/>
              <w:tr2bl w:val="nil"/>
            </w:tcBorders>
            <w:vAlign w:val="center"/>
          </w:tcPr>
          <w:p w14:paraId="670D713F">
            <w:pPr>
              <w:widowControl/>
              <w:kinsoku w:val="0"/>
              <w:adjustRightInd w:val="0"/>
              <w:snapToGrid w:val="0"/>
              <w:spacing w:before="65" w:line="228" w:lineRule="auto"/>
              <w:ind w:left="438"/>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8"/>
                <w:kern w:val="0"/>
                <w:sz w:val="20"/>
                <w:szCs w:val="20"/>
                <w:u w:val="none" w:color="auto"/>
                <w:lang w:val="en-US" w:eastAsia="en-US" w:bidi="ar-SA"/>
              </w:rPr>
              <w:t>一次性投入较高</w:t>
            </w:r>
          </w:p>
        </w:tc>
        <w:tc>
          <w:tcPr>
            <w:tcW w:w="737" w:type="dxa"/>
            <w:tcBorders>
              <w:tl2br w:val="nil"/>
              <w:tr2bl w:val="nil"/>
            </w:tcBorders>
            <w:vAlign w:val="center"/>
          </w:tcPr>
          <w:p w14:paraId="78D0A318">
            <w:pPr>
              <w:widowControl/>
              <w:kinsoku w:val="0"/>
              <w:adjustRightInd w:val="0"/>
              <w:snapToGrid w:val="0"/>
              <w:spacing w:before="65" w:line="228" w:lineRule="auto"/>
              <w:ind w:left="193"/>
              <w:jc w:val="left"/>
              <w:textAlignment w:val="baseline"/>
              <w:rPr>
                <w:rFonts w:hint="default" w:ascii="Times New Roman" w:hAnsi="Times New Roman" w:eastAsia="宋体" w:cs="Times New Roman"/>
                <w:snapToGrid w:val="0"/>
                <w:color w:val="000000"/>
                <w:kern w:val="0"/>
                <w:sz w:val="20"/>
                <w:szCs w:val="20"/>
                <w:u w:val="none" w:color="auto"/>
                <w:lang w:val="en-US" w:eastAsia="en-US" w:bidi="ar-SA"/>
              </w:rPr>
            </w:pPr>
            <w:r>
              <w:rPr>
                <w:rFonts w:hint="default" w:ascii="Times New Roman" w:hAnsi="Times New Roman" w:eastAsia="宋体" w:cs="Times New Roman"/>
                <w:snapToGrid w:val="0"/>
                <w:color w:val="000000"/>
                <w:spacing w:val="-12"/>
                <w:kern w:val="0"/>
                <w:sz w:val="20"/>
                <w:szCs w:val="20"/>
                <w:u w:val="none" w:color="auto"/>
                <w:lang w:val="en-US" w:eastAsia="en-US" w:bidi="ar-SA"/>
              </w:rPr>
              <w:t>良好</w:t>
            </w:r>
          </w:p>
        </w:tc>
      </w:tr>
    </w:tbl>
    <w:p w14:paraId="61BABF4F">
      <w:pPr>
        <w:keepNext w:val="0"/>
        <w:keepLines w:val="0"/>
        <w:pageBreakBefore w:val="0"/>
        <w:widowControl/>
        <w:tabs>
          <w:tab w:val="left" w:pos="148"/>
        </w:tabs>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napToGrid w:val="0"/>
          <w:color w:val="FF0000"/>
          <w:kern w:val="0"/>
          <w:sz w:val="24"/>
          <w:szCs w:val="24"/>
          <w:u w:val="none" w:color="auto"/>
          <w:lang w:val="en-US" w:eastAsia="en-US" w:bidi="ar-SA"/>
        </w:rPr>
      </w:pPr>
      <w:r>
        <w:rPr>
          <w:rFonts w:hint="default" w:ascii="Times New Roman" w:hAnsi="Times New Roman" w:eastAsia="宋体" w:cs="Times New Roman"/>
          <w:snapToGrid w:val="0"/>
          <w:color w:val="FF0000"/>
          <w:spacing w:val="-3"/>
          <w:kern w:val="0"/>
          <w:sz w:val="24"/>
          <w:szCs w:val="24"/>
          <w:u w:val="none" w:color="auto"/>
          <w:lang w:val="en-US" w:eastAsia="en-US" w:bidi="ar-SA"/>
        </w:rPr>
        <w:t>根据上述除臭方案比选，本项目无害化处理间除臭采用生物除臭</w:t>
      </w:r>
      <w:r>
        <w:rPr>
          <w:rFonts w:hint="default" w:ascii="Times New Roman" w:hAnsi="Times New Roman" w:eastAsia="宋体" w:cs="Times New Roman"/>
          <w:snapToGrid w:val="0"/>
          <w:color w:val="FF0000"/>
          <w:spacing w:val="-4"/>
          <w:kern w:val="0"/>
          <w:sz w:val="24"/>
          <w:szCs w:val="24"/>
          <w:u w:val="none" w:color="auto"/>
          <w:lang w:val="en-US" w:eastAsia="en-US" w:bidi="ar-SA"/>
        </w:rPr>
        <w:t>塔处理工艺</w:t>
      </w:r>
      <w:r>
        <w:rPr>
          <w:rFonts w:hint="default" w:ascii="Times New Roman" w:hAnsi="Times New Roman" w:eastAsia="宋体" w:cs="Times New Roman"/>
          <w:snapToGrid w:val="0"/>
          <w:color w:val="FF0000"/>
          <w:spacing w:val="-6"/>
          <w:kern w:val="0"/>
          <w:sz w:val="24"/>
          <w:szCs w:val="24"/>
          <w:u w:val="none" w:color="auto"/>
          <w:lang w:val="en-US" w:eastAsia="en-US" w:bidi="ar-SA"/>
        </w:rPr>
        <w:t>恶臭气体经集中处理后通过</w:t>
      </w:r>
      <w:r>
        <w:rPr>
          <w:rFonts w:hint="default" w:ascii="Times New Roman" w:hAnsi="Times New Roman" w:eastAsia="Times New Roman" w:cs="Times New Roman"/>
          <w:snapToGrid w:val="0"/>
          <w:color w:val="FF0000"/>
          <w:spacing w:val="-6"/>
          <w:kern w:val="0"/>
          <w:sz w:val="24"/>
          <w:szCs w:val="24"/>
          <w:u w:val="none" w:color="auto"/>
          <w:lang w:val="en-US" w:eastAsia="en-US" w:bidi="ar-SA"/>
        </w:rPr>
        <w:t>15m</w:t>
      </w:r>
      <w:r>
        <w:rPr>
          <w:rFonts w:hint="default" w:ascii="Times New Roman" w:hAnsi="Times New Roman" w:eastAsia="宋体" w:cs="Times New Roman"/>
          <w:snapToGrid w:val="0"/>
          <w:color w:val="FF0000"/>
          <w:spacing w:val="-6"/>
          <w:kern w:val="0"/>
          <w:sz w:val="24"/>
          <w:szCs w:val="24"/>
          <w:u w:val="none" w:color="auto"/>
          <w:lang w:val="en-US" w:eastAsia="en-US" w:bidi="ar-SA"/>
        </w:rPr>
        <w:t>高</w:t>
      </w:r>
      <w:r>
        <w:rPr>
          <w:rFonts w:hint="default" w:ascii="Times New Roman" w:hAnsi="Times New Roman" w:eastAsia="宋体" w:cs="Times New Roman"/>
          <w:snapToGrid w:val="0"/>
          <w:color w:val="FF0000"/>
          <w:spacing w:val="-7"/>
          <w:kern w:val="0"/>
          <w:sz w:val="24"/>
          <w:szCs w:val="24"/>
          <w:u w:val="none" w:color="auto"/>
          <w:lang w:val="en-US" w:eastAsia="en-US" w:bidi="ar-SA"/>
        </w:rPr>
        <w:t>排气筒达标排放。</w:t>
      </w:r>
      <w:r>
        <w:rPr>
          <w:rFonts w:hint="default" w:ascii="Times New Roman" w:hAnsi="Times New Roman" w:eastAsia="宋体" w:cs="Times New Roman"/>
          <w:snapToGrid w:val="0"/>
          <w:color w:val="FF0000"/>
          <w:spacing w:val="-2"/>
          <w:kern w:val="0"/>
          <w:sz w:val="24"/>
          <w:szCs w:val="24"/>
          <w:u w:val="none" w:color="auto"/>
          <w:lang w:val="en-US" w:eastAsia="en-US" w:bidi="ar-SA"/>
        </w:rPr>
        <w:t>根据工程分析，项目拟配置生物除臭塔（</w:t>
      </w:r>
      <w:r>
        <w:rPr>
          <w:rFonts w:hint="default" w:ascii="Times New Roman" w:hAnsi="Times New Roman" w:eastAsia="Times New Roman" w:cs="Times New Roman"/>
          <w:snapToGrid w:val="0"/>
          <w:color w:val="FF0000"/>
          <w:spacing w:val="-2"/>
          <w:kern w:val="0"/>
          <w:sz w:val="24"/>
          <w:szCs w:val="24"/>
          <w:u w:val="none" w:color="auto"/>
          <w:lang w:val="en-US" w:eastAsia="en-US" w:bidi="ar-SA"/>
        </w:rPr>
        <w:t>TA001</w:t>
      </w:r>
      <w:r>
        <w:rPr>
          <w:rFonts w:hint="default" w:ascii="Times New Roman" w:hAnsi="Times New Roman" w:eastAsia="宋体" w:cs="Times New Roman"/>
          <w:snapToGrid w:val="0"/>
          <w:color w:val="FF0000"/>
          <w:spacing w:val="-8"/>
          <w:kern w:val="0"/>
          <w:sz w:val="24"/>
          <w:szCs w:val="24"/>
          <w:u w:val="none" w:color="auto"/>
          <w:lang w:val="en-US" w:eastAsia="en-US" w:bidi="ar-SA"/>
        </w:rPr>
        <w:t>），</w:t>
      </w:r>
      <w:r>
        <w:rPr>
          <w:rFonts w:hint="default" w:ascii="Times New Roman" w:hAnsi="Times New Roman" w:eastAsia="宋体" w:cs="Times New Roman"/>
          <w:snapToGrid w:val="0"/>
          <w:color w:val="FF0000"/>
          <w:spacing w:val="-2"/>
          <w:kern w:val="0"/>
          <w:sz w:val="24"/>
          <w:szCs w:val="24"/>
          <w:u w:val="none" w:color="auto"/>
          <w:lang w:val="en-US" w:eastAsia="en-US" w:bidi="ar-SA"/>
        </w:rPr>
        <w:t>处理风量为</w:t>
      </w:r>
      <w:r>
        <w:rPr>
          <w:rFonts w:hint="default" w:ascii="Times New Roman" w:hAnsi="Times New Roman" w:eastAsia="Times New Roman" w:cs="Times New Roman"/>
          <w:snapToGrid w:val="0"/>
          <w:color w:val="FF0000"/>
          <w:spacing w:val="-2"/>
          <w:kern w:val="0"/>
          <w:sz w:val="24"/>
          <w:szCs w:val="24"/>
          <w:u w:val="none" w:color="auto"/>
          <w:lang w:val="en-US" w:eastAsia="en-US" w:bidi="ar-SA"/>
        </w:rPr>
        <w:t>3000m</w:t>
      </w:r>
      <w:r>
        <w:rPr>
          <w:rFonts w:hint="default" w:ascii="Times New Roman" w:hAnsi="Times New Roman" w:eastAsia="Times New Roman" w:cs="Times New Roman"/>
          <w:snapToGrid w:val="0"/>
          <w:color w:val="FF0000"/>
          <w:spacing w:val="-2"/>
          <w:kern w:val="0"/>
          <w:position w:val="7"/>
          <w:sz w:val="15"/>
          <w:szCs w:val="15"/>
          <w:u w:val="none" w:color="auto"/>
          <w:lang w:val="en-US" w:eastAsia="en-US" w:bidi="ar-SA"/>
        </w:rPr>
        <w:t>3</w:t>
      </w:r>
      <w:r>
        <w:rPr>
          <w:rFonts w:hint="default" w:ascii="Times New Roman" w:hAnsi="Times New Roman" w:eastAsia="Times New Roman" w:cs="Times New Roman"/>
          <w:snapToGrid w:val="0"/>
          <w:color w:val="FF0000"/>
          <w:spacing w:val="-2"/>
          <w:kern w:val="0"/>
          <w:sz w:val="24"/>
          <w:szCs w:val="24"/>
          <w:u w:val="none" w:color="auto"/>
          <w:lang w:val="en-US" w:eastAsia="en-US" w:bidi="ar-SA"/>
        </w:rPr>
        <w:t>/h</w:t>
      </w:r>
      <w:r>
        <w:rPr>
          <w:rFonts w:hint="default" w:ascii="Times New Roman" w:hAnsi="Times New Roman" w:eastAsia="宋体" w:cs="Times New Roman"/>
          <w:snapToGrid w:val="0"/>
          <w:color w:val="FF0000"/>
          <w:spacing w:val="-2"/>
          <w:kern w:val="0"/>
          <w:sz w:val="24"/>
          <w:szCs w:val="24"/>
          <w:u w:val="none" w:color="auto"/>
          <w:lang w:val="en-US" w:eastAsia="en-US" w:bidi="ar-SA"/>
        </w:rPr>
        <w:t>，恶臭</w:t>
      </w:r>
      <w:r>
        <w:rPr>
          <w:rFonts w:hint="default" w:ascii="Times New Roman" w:hAnsi="Times New Roman" w:eastAsia="宋体" w:cs="Times New Roman"/>
          <w:snapToGrid w:val="0"/>
          <w:color w:val="FF0000"/>
          <w:spacing w:val="-6"/>
          <w:kern w:val="0"/>
          <w:sz w:val="24"/>
          <w:szCs w:val="24"/>
          <w:u w:val="none" w:color="auto"/>
          <w:lang w:val="en-US" w:eastAsia="en-US" w:bidi="ar-SA"/>
        </w:rPr>
        <w:t>气体的去除率可达</w:t>
      </w:r>
      <w:r>
        <w:rPr>
          <w:rFonts w:hint="default" w:ascii="Times New Roman" w:hAnsi="Times New Roman" w:eastAsia="Times New Roman" w:cs="Times New Roman"/>
          <w:snapToGrid w:val="0"/>
          <w:color w:val="FF0000"/>
          <w:spacing w:val="-6"/>
          <w:kern w:val="0"/>
          <w:sz w:val="24"/>
          <w:szCs w:val="24"/>
          <w:u w:val="none" w:color="auto"/>
          <w:lang w:val="en-US" w:eastAsia="en-US" w:bidi="ar-SA"/>
        </w:rPr>
        <w:t>70%</w:t>
      </w:r>
      <w:r>
        <w:rPr>
          <w:rFonts w:hint="default" w:ascii="Times New Roman" w:hAnsi="Times New Roman" w:eastAsia="宋体" w:cs="Times New Roman"/>
          <w:snapToGrid w:val="0"/>
          <w:color w:val="FF0000"/>
          <w:spacing w:val="-6"/>
          <w:kern w:val="0"/>
          <w:sz w:val="24"/>
          <w:szCs w:val="24"/>
          <w:u w:val="none" w:color="auto"/>
          <w:lang w:val="en-US" w:eastAsia="en-US" w:bidi="ar-SA"/>
        </w:rPr>
        <w:t>以上，处理后废气经配套</w:t>
      </w:r>
      <w:r>
        <w:rPr>
          <w:rFonts w:hint="default" w:ascii="Times New Roman" w:hAnsi="Times New Roman" w:eastAsia="Times New Roman" w:cs="Times New Roman"/>
          <w:snapToGrid w:val="0"/>
          <w:color w:val="FF0000"/>
          <w:spacing w:val="-6"/>
          <w:kern w:val="0"/>
          <w:sz w:val="24"/>
          <w:szCs w:val="24"/>
          <w:u w:val="none" w:color="auto"/>
          <w:lang w:val="en-US" w:eastAsia="en-US" w:bidi="ar-SA"/>
        </w:rPr>
        <w:t>15m</w:t>
      </w:r>
      <w:r>
        <w:rPr>
          <w:rFonts w:hint="default" w:ascii="Times New Roman" w:hAnsi="Times New Roman" w:eastAsia="宋体" w:cs="Times New Roman"/>
          <w:snapToGrid w:val="0"/>
          <w:color w:val="FF0000"/>
          <w:spacing w:val="-6"/>
          <w:kern w:val="0"/>
          <w:sz w:val="24"/>
          <w:szCs w:val="24"/>
          <w:u w:val="none" w:color="auto"/>
          <w:lang w:val="en-US" w:eastAsia="en-US" w:bidi="ar-SA"/>
        </w:rPr>
        <w:t>高排气筒（</w:t>
      </w:r>
      <w:r>
        <w:rPr>
          <w:rFonts w:hint="default" w:ascii="Times New Roman" w:hAnsi="Times New Roman" w:eastAsia="Times New Roman" w:cs="Times New Roman"/>
          <w:snapToGrid w:val="0"/>
          <w:color w:val="FF0000"/>
          <w:spacing w:val="-6"/>
          <w:kern w:val="0"/>
          <w:sz w:val="24"/>
          <w:szCs w:val="24"/>
          <w:u w:val="none" w:color="auto"/>
          <w:lang w:val="en-US" w:eastAsia="en-US" w:bidi="ar-SA"/>
        </w:rPr>
        <w:t>DA00</w:t>
      </w:r>
      <w:r>
        <w:rPr>
          <w:rFonts w:hint="default" w:ascii="Times New Roman" w:hAnsi="Times New Roman" w:eastAsia="宋体" w:cs="Times New Roman"/>
          <w:snapToGrid w:val="0"/>
          <w:color w:val="FF0000"/>
          <w:spacing w:val="-6"/>
          <w:kern w:val="0"/>
          <w:sz w:val="24"/>
          <w:szCs w:val="24"/>
          <w:u w:val="none" w:color="auto"/>
          <w:lang w:val="en-US" w:eastAsia="zh-CN" w:bidi="ar-SA"/>
        </w:rPr>
        <w:t>2</w:t>
      </w:r>
      <w:r>
        <w:rPr>
          <w:rFonts w:hint="default" w:ascii="Times New Roman" w:hAnsi="Times New Roman" w:eastAsia="宋体" w:cs="Times New Roman"/>
          <w:snapToGrid w:val="0"/>
          <w:color w:val="FF0000"/>
          <w:spacing w:val="-6"/>
          <w:kern w:val="0"/>
          <w:sz w:val="24"/>
          <w:szCs w:val="24"/>
          <w:u w:val="none" w:color="auto"/>
          <w:lang w:val="en-US" w:eastAsia="en-US" w:bidi="ar-SA"/>
        </w:rPr>
        <w:t>）</w:t>
      </w:r>
      <w:r>
        <w:rPr>
          <w:rFonts w:hint="default" w:ascii="Times New Roman" w:hAnsi="Times New Roman" w:eastAsia="宋体" w:cs="Times New Roman"/>
          <w:snapToGrid w:val="0"/>
          <w:color w:val="FF0000"/>
          <w:spacing w:val="10"/>
          <w:kern w:val="0"/>
          <w:sz w:val="24"/>
          <w:szCs w:val="24"/>
          <w:u w:val="none" w:color="auto"/>
          <w:lang w:val="en-US" w:eastAsia="en-US" w:bidi="ar-SA"/>
        </w:rPr>
        <w:t>排放。</w:t>
      </w:r>
    </w:p>
    <w:p w14:paraId="403CBEDA">
      <w:pPr>
        <w:keepNext w:val="0"/>
        <w:keepLines w:val="0"/>
        <w:pageBreakBefore w:val="0"/>
        <w:widowControl/>
        <w:tabs>
          <w:tab w:val="left" w:pos="629"/>
        </w:tabs>
        <w:kinsoku w:val="0"/>
        <w:wordWrap/>
        <w:overflowPunct/>
        <w:topLinePunct w:val="0"/>
        <w:autoSpaceDE w:val="0"/>
        <w:autoSpaceDN w:val="0"/>
        <w:bidi w:val="0"/>
        <w:adjustRightInd w:val="0"/>
        <w:snapToGrid w:val="0"/>
        <w:spacing w:line="360" w:lineRule="auto"/>
        <w:ind w:left="0" w:right="0" w:firstLine="428" w:firstLineChars="200"/>
        <w:jc w:val="left"/>
        <w:textAlignment w:val="baseline"/>
        <w:rPr>
          <w:rFonts w:hint="default" w:ascii="Times New Roman" w:hAnsi="Times New Roman" w:eastAsia="宋体" w:cs="Times New Roman"/>
          <w:snapToGrid w:val="0"/>
          <w:color w:val="FF0000"/>
          <w:kern w:val="0"/>
          <w:sz w:val="24"/>
          <w:szCs w:val="24"/>
          <w:u w:val="none" w:color="auto"/>
          <w:lang w:val="en-US" w:eastAsia="en-US" w:bidi="ar-SA"/>
        </w:rPr>
      </w:pPr>
      <w:r>
        <w:rPr>
          <w:rFonts w:hint="default" w:ascii="Times New Roman" w:hAnsi="Times New Roman" w:eastAsia="Times New Roman" w:cs="Times New Roman"/>
          <w:b/>
          <w:bCs/>
          <w:snapToGrid w:val="0"/>
          <w:color w:val="FF0000"/>
          <w:spacing w:val="-13"/>
          <w:kern w:val="0"/>
          <w:sz w:val="24"/>
          <w:szCs w:val="24"/>
          <w:u w:val="none" w:color="auto"/>
          <w:lang w:val="en-US" w:eastAsia="en-US" w:bidi="ar-SA"/>
        </w:rPr>
        <w:t>2</w:t>
      </w:r>
      <w:r>
        <w:rPr>
          <w:rFonts w:hint="default" w:ascii="Times New Roman" w:hAnsi="Times New Roman" w:eastAsia="宋体" w:cs="Times New Roman"/>
          <w:b/>
          <w:bCs/>
          <w:snapToGrid w:val="0"/>
          <w:color w:val="FF0000"/>
          <w:spacing w:val="-13"/>
          <w:kern w:val="0"/>
          <w:sz w:val="24"/>
          <w:szCs w:val="24"/>
          <w:u w:val="none" w:color="auto"/>
          <w:lang w:val="en-US" w:eastAsia="en-US" w:bidi="ar-SA"/>
        </w:rPr>
        <w:t>）技术经济可行性分析</w:t>
      </w:r>
    </w:p>
    <w:p w14:paraId="43460F4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both"/>
        <w:textAlignment w:val="baseline"/>
        <w:rPr>
          <w:rFonts w:hint="default" w:ascii="Times New Roman" w:hAnsi="Times New Roman" w:eastAsia="宋体" w:cs="Times New Roman"/>
          <w:snapToGrid w:val="0"/>
          <w:color w:val="FF0000"/>
          <w:kern w:val="0"/>
          <w:sz w:val="24"/>
          <w:szCs w:val="24"/>
          <w:u w:val="none" w:color="auto"/>
          <w:lang w:val="en-US" w:eastAsia="en-US" w:bidi="ar-SA"/>
        </w:rPr>
      </w:pPr>
      <w:r>
        <w:rPr>
          <w:rFonts w:hint="default" w:ascii="Times New Roman" w:hAnsi="Times New Roman" w:eastAsia="宋体" w:cs="Times New Roman"/>
          <w:b/>
          <w:bCs/>
          <w:snapToGrid w:val="0"/>
          <w:color w:val="FF0000"/>
          <w:spacing w:val="-4"/>
          <w:kern w:val="0"/>
          <w:sz w:val="24"/>
          <w:szCs w:val="24"/>
          <w:u w:val="none" w:color="auto"/>
          <w:lang w:val="en-US" w:eastAsia="en-US" w:bidi="ar-SA"/>
        </w:rPr>
        <w:t>生物滤塔除臭工作原理：</w:t>
      </w:r>
      <w:r>
        <w:rPr>
          <w:rFonts w:hint="default" w:ascii="Times New Roman" w:hAnsi="Times New Roman" w:eastAsia="宋体" w:cs="Times New Roman"/>
          <w:snapToGrid w:val="0"/>
          <w:color w:val="FF0000"/>
          <w:spacing w:val="-4"/>
          <w:kern w:val="0"/>
          <w:sz w:val="24"/>
          <w:szCs w:val="24"/>
          <w:u w:val="none" w:color="auto"/>
          <w:lang w:val="en-US" w:eastAsia="en-US" w:bidi="ar-SA"/>
        </w:rPr>
        <w:t>利用微生物把溶解于水中的恶臭物质吸收于微</w:t>
      </w:r>
      <w:r>
        <w:rPr>
          <w:rFonts w:hint="default" w:ascii="Times New Roman" w:hAnsi="Times New Roman" w:eastAsia="宋体" w:cs="Times New Roman"/>
          <w:snapToGrid w:val="0"/>
          <w:color w:val="FF0000"/>
          <w:spacing w:val="-5"/>
          <w:kern w:val="0"/>
          <w:sz w:val="24"/>
          <w:szCs w:val="24"/>
          <w:u w:val="none" w:color="auto"/>
          <w:lang w:val="en-US" w:eastAsia="en-US" w:bidi="ar-SA"/>
        </w:rPr>
        <w:t>生物</w:t>
      </w:r>
      <w:r>
        <w:rPr>
          <w:rFonts w:hint="default" w:ascii="Times New Roman" w:hAnsi="Times New Roman" w:eastAsia="宋体" w:cs="Times New Roman"/>
          <w:snapToGrid w:val="0"/>
          <w:color w:val="FF0000"/>
          <w:spacing w:val="-3"/>
          <w:kern w:val="0"/>
          <w:sz w:val="24"/>
          <w:szCs w:val="24"/>
          <w:u w:val="none" w:color="auto"/>
          <w:lang w:val="en-US" w:eastAsia="en-US" w:bidi="ar-SA"/>
        </w:rPr>
        <w:t>自身体内，通过微生物的代谢活动使其降解的一种过程。被作用物最终被微生物分解为无机酸，形成不利于腐败微生物生活的酸性环境，并从根本上降解分解时</w:t>
      </w:r>
      <w:r>
        <w:rPr>
          <w:rFonts w:hint="default" w:ascii="Times New Roman" w:hAnsi="Times New Roman" w:eastAsia="宋体" w:cs="Times New Roman"/>
          <w:snapToGrid w:val="0"/>
          <w:color w:val="FF0000"/>
          <w:spacing w:val="-1"/>
          <w:kern w:val="0"/>
          <w:sz w:val="24"/>
          <w:szCs w:val="24"/>
          <w:u w:val="none" w:color="auto"/>
          <w:lang w:val="en-US" w:eastAsia="en-US" w:bidi="ar-SA"/>
        </w:rPr>
        <w:t>产生恶臭气体的物质。微生物除臭可分为三个过程：</w:t>
      </w:r>
    </w:p>
    <w:p w14:paraId="3221491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FF0000"/>
          <w:kern w:val="0"/>
          <w:sz w:val="24"/>
          <w:szCs w:val="24"/>
          <w:u w:val="none" w:color="auto"/>
          <w:lang w:val="en-US" w:eastAsia="en-US" w:bidi="ar-SA"/>
        </w:rPr>
      </w:pPr>
      <w:r>
        <w:rPr>
          <w:rFonts w:hint="default" w:ascii="Times New Roman" w:hAnsi="Times New Roman" w:eastAsia="宋体" w:cs="Times New Roman"/>
          <w:snapToGrid w:val="0"/>
          <w:color w:val="FF0000"/>
          <w:spacing w:val="-1"/>
          <w:kern w:val="0"/>
          <w:sz w:val="24"/>
          <w:szCs w:val="24"/>
          <w:u w:val="none" w:color="auto"/>
          <w:lang w:val="en-US" w:eastAsia="en-US" w:bidi="ar-SA"/>
        </w:rPr>
        <w:t>①恶臭气体的溶解过程，即由气相转移到液相；</w:t>
      </w:r>
    </w:p>
    <w:p w14:paraId="3F9464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FF0000"/>
          <w:kern w:val="0"/>
          <w:sz w:val="24"/>
          <w:szCs w:val="24"/>
          <w:u w:val="none" w:color="auto"/>
          <w:lang w:val="en-US" w:eastAsia="en-US" w:bidi="ar-SA"/>
        </w:rPr>
      </w:pPr>
      <w:r>
        <w:rPr>
          <w:rFonts w:hint="default" w:ascii="Times New Roman" w:hAnsi="Times New Roman" w:eastAsia="宋体" w:cs="Times New Roman"/>
          <w:snapToGrid w:val="0"/>
          <w:color w:val="FF0000"/>
          <w:spacing w:val="-3"/>
          <w:kern w:val="0"/>
          <w:sz w:val="24"/>
          <w:szCs w:val="24"/>
          <w:u w:val="none" w:color="auto"/>
          <w:lang w:val="en-US" w:eastAsia="en-US" w:bidi="ar-SA"/>
        </w:rPr>
        <w:t>②水溶液中恶臭成分被微生物吸收，即溶于水中的臭气通过微生物</w:t>
      </w:r>
      <w:r>
        <w:rPr>
          <w:rFonts w:hint="default" w:ascii="Times New Roman" w:hAnsi="Times New Roman" w:eastAsia="宋体" w:cs="Times New Roman"/>
          <w:snapToGrid w:val="0"/>
          <w:color w:val="FF0000"/>
          <w:spacing w:val="-4"/>
          <w:kern w:val="0"/>
          <w:sz w:val="24"/>
          <w:szCs w:val="24"/>
          <w:u w:val="none" w:color="auto"/>
          <w:lang w:val="en-US" w:eastAsia="en-US" w:bidi="ar-SA"/>
        </w:rPr>
        <w:t>的细胞壁</w:t>
      </w:r>
      <w:r>
        <w:rPr>
          <w:rFonts w:hint="default" w:ascii="Times New Roman" w:hAnsi="Times New Roman" w:eastAsia="宋体" w:cs="Times New Roman"/>
          <w:snapToGrid w:val="0"/>
          <w:color w:val="FF0000"/>
          <w:spacing w:val="-3"/>
          <w:kern w:val="0"/>
          <w:sz w:val="24"/>
          <w:szCs w:val="24"/>
          <w:u w:val="none" w:color="auto"/>
          <w:lang w:val="en-US" w:eastAsia="en-US" w:bidi="ar-SA"/>
        </w:rPr>
        <w:t>和细胞膜被微生物吸收，而不溶于水的臭气先附着在微生物体外，由微生物分泌</w:t>
      </w:r>
      <w:r>
        <w:rPr>
          <w:rFonts w:hint="default" w:ascii="Times New Roman" w:hAnsi="Times New Roman" w:eastAsia="宋体" w:cs="Times New Roman"/>
          <w:snapToGrid w:val="0"/>
          <w:color w:val="FF0000"/>
          <w:spacing w:val="-1"/>
          <w:kern w:val="0"/>
          <w:sz w:val="24"/>
          <w:szCs w:val="24"/>
          <w:u w:val="none" w:color="auto"/>
          <w:lang w:val="en-US" w:eastAsia="en-US" w:bidi="ar-SA"/>
        </w:rPr>
        <w:t>的细胞外酶分解为可溶性物质，再渗入细胞；</w:t>
      </w:r>
    </w:p>
    <w:p w14:paraId="5C53B9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FF0000"/>
          <w:kern w:val="0"/>
          <w:sz w:val="24"/>
          <w:szCs w:val="24"/>
          <w:u w:val="none" w:color="auto"/>
          <w:lang w:val="en-US" w:eastAsia="en-US" w:bidi="ar-SA"/>
        </w:rPr>
      </w:pPr>
      <w:r>
        <w:rPr>
          <w:rFonts w:hint="default" w:ascii="Times New Roman" w:hAnsi="Times New Roman" w:eastAsia="宋体" w:cs="Times New Roman"/>
          <w:snapToGrid w:val="0"/>
          <w:color w:val="FF0000"/>
          <w:spacing w:val="-3"/>
          <w:kern w:val="0"/>
          <w:sz w:val="24"/>
          <w:szCs w:val="24"/>
          <w:u w:val="none" w:color="auto"/>
          <w:lang w:val="en-US" w:eastAsia="en-US" w:bidi="ar-SA"/>
        </w:rPr>
        <w:t>③进入微生物细胞的恶臭成分作为营养物质为微生物所分解、利用</w:t>
      </w:r>
      <w:r>
        <w:rPr>
          <w:rFonts w:hint="default" w:ascii="Times New Roman" w:hAnsi="Times New Roman" w:eastAsia="宋体" w:cs="Times New Roman"/>
          <w:snapToGrid w:val="0"/>
          <w:color w:val="FF0000"/>
          <w:spacing w:val="-4"/>
          <w:kern w:val="0"/>
          <w:sz w:val="24"/>
          <w:szCs w:val="24"/>
          <w:u w:val="none" w:color="auto"/>
          <w:lang w:val="en-US" w:eastAsia="en-US" w:bidi="ar-SA"/>
        </w:rPr>
        <w:t>，使污染</w:t>
      </w:r>
      <w:r>
        <w:rPr>
          <w:rFonts w:hint="default" w:ascii="Times New Roman" w:hAnsi="Times New Roman" w:eastAsia="宋体" w:cs="Times New Roman"/>
          <w:snapToGrid w:val="0"/>
          <w:color w:val="FF0000"/>
          <w:spacing w:val="3"/>
          <w:kern w:val="0"/>
          <w:sz w:val="24"/>
          <w:szCs w:val="24"/>
          <w:u w:val="none" w:color="auto"/>
          <w:lang w:val="en-US" w:eastAsia="en-US" w:bidi="ar-SA"/>
        </w:rPr>
        <w:t>物得以去除。</w:t>
      </w:r>
    </w:p>
    <w:p w14:paraId="380952E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napToGrid w:val="0"/>
          <w:color w:val="FF0000"/>
          <w:kern w:val="0"/>
          <w:sz w:val="24"/>
          <w:szCs w:val="24"/>
          <w:u w:val="none" w:color="auto"/>
          <w:lang w:val="en-US" w:eastAsia="en-US" w:bidi="ar-SA"/>
        </w:rPr>
      </w:pPr>
      <w:r>
        <w:rPr>
          <w:rFonts w:hint="default" w:ascii="Times New Roman" w:hAnsi="Times New Roman" w:eastAsia="宋体" w:cs="Times New Roman"/>
          <w:snapToGrid w:val="0"/>
          <w:color w:val="FF0000"/>
          <w:spacing w:val="-3"/>
          <w:kern w:val="0"/>
          <w:sz w:val="24"/>
          <w:szCs w:val="24"/>
          <w:u w:val="none" w:color="auto"/>
          <w:lang w:val="en-US" w:eastAsia="en-US" w:bidi="ar-SA"/>
        </w:rPr>
        <w:t>生物过滤是使收集到的废气在适宜的条件下通过长满微生物</w:t>
      </w:r>
      <w:r>
        <w:rPr>
          <w:rFonts w:hint="default" w:ascii="Times New Roman" w:hAnsi="Times New Roman" w:eastAsia="宋体" w:cs="Times New Roman"/>
          <w:snapToGrid w:val="0"/>
          <w:color w:val="FF0000"/>
          <w:spacing w:val="-4"/>
          <w:kern w:val="0"/>
          <w:sz w:val="24"/>
          <w:szCs w:val="24"/>
          <w:u w:val="none" w:color="auto"/>
          <w:lang w:val="en-US" w:eastAsia="en-US" w:bidi="ar-SA"/>
        </w:rPr>
        <w:t>的固体载体（填</w:t>
      </w:r>
      <w:r>
        <w:rPr>
          <w:rFonts w:hint="default" w:ascii="Times New Roman" w:hAnsi="Times New Roman" w:eastAsia="宋体" w:cs="Times New Roman"/>
          <w:snapToGrid w:val="0"/>
          <w:color w:val="FF0000"/>
          <w:spacing w:val="-2"/>
          <w:kern w:val="0"/>
          <w:sz w:val="24"/>
          <w:szCs w:val="24"/>
          <w:u w:val="none" w:color="auto"/>
          <w:lang w:val="en-US" w:eastAsia="en-US" w:bidi="ar-SA"/>
        </w:rPr>
        <w:t>料</w:t>
      </w:r>
      <w:r>
        <w:rPr>
          <w:rFonts w:hint="default" w:ascii="Times New Roman" w:hAnsi="Times New Roman" w:eastAsia="宋体" w:cs="Times New Roman"/>
          <w:snapToGrid w:val="0"/>
          <w:color w:val="FF0000"/>
          <w:spacing w:val="-19"/>
          <w:kern w:val="0"/>
          <w:sz w:val="24"/>
          <w:szCs w:val="24"/>
          <w:u w:val="none" w:color="auto"/>
          <w:lang w:val="en-US" w:eastAsia="en-US" w:bidi="ar-SA"/>
        </w:rPr>
        <w:t>），</w:t>
      </w:r>
      <w:r>
        <w:rPr>
          <w:rFonts w:hint="default" w:ascii="Times New Roman" w:hAnsi="Times New Roman" w:eastAsia="宋体" w:cs="Times New Roman"/>
          <w:snapToGrid w:val="0"/>
          <w:color w:val="FF0000"/>
          <w:spacing w:val="-2"/>
          <w:kern w:val="0"/>
          <w:sz w:val="24"/>
          <w:szCs w:val="24"/>
          <w:u w:val="none" w:color="auto"/>
          <w:lang w:val="en-US" w:eastAsia="en-US" w:bidi="ar-SA"/>
        </w:rPr>
        <w:t>气味物质先被填料吸收，然后被填料上的微生物氧化分解，完成废气的除</w:t>
      </w:r>
      <w:r>
        <w:rPr>
          <w:rFonts w:hint="default" w:ascii="Times New Roman" w:hAnsi="Times New Roman" w:eastAsia="宋体" w:cs="Times New Roman"/>
          <w:snapToGrid w:val="0"/>
          <w:color w:val="FF0000"/>
          <w:spacing w:val="5"/>
          <w:kern w:val="0"/>
          <w:sz w:val="24"/>
          <w:szCs w:val="24"/>
          <w:u w:val="none" w:color="auto"/>
          <w:lang w:val="en-US" w:eastAsia="en-US" w:bidi="ar-SA"/>
        </w:rPr>
        <w:t>臭过程。</w:t>
      </w:r>
    </w:p>
    <w:p w14:paraId="60DD6F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napToGrid w:val="0"/>
          <w:color w:val="FF0000"/>
          <w:kern w:val="0"/>
          <w:sz w:val="24"/>
          <w:szCs w:val="24"/>
          <w:u w:val="none" w:color="auto"/>
          <w:lang w:val="en-US" w:eastAsia="en-US" w:bidi="ar-SA"/>
        </w:rPr>
      </w:pPr>
      <w:r>
        <w:rPr>
          <w:rFonts w:hint="default" w:ascii="Times New Roman" w:hAnsi="Times New Roman" w:eastAsia="宋体" w:cs="Times New Roman"/>
          <w:snapToGrid w:val="0"/>
          <w:color w:val="FF0000"/>
          <w:spacing w:val="-3"/>
          <w:kern w:val="0"/>
          <w:sz w:val="24"/>
          <w:szCs w:val="24"/>
          <w:u w:val="none" w:color="auto"/>
          <w:lang w:val="en-US" w:eastAsia="en-US" w:bidi="ar-SA"/>
        </w:rPr>
        <w:t>根据生物降解机生产厂家提供的废气监测数据，生物降解机废气</w:t>
      </w:r>
      <w:r>
        <w:rPr>
          <w:rFonts w:hint="default" w:ascii="Times New Roman" w:hAnsi="Times New Roman" w:eastAsia="宋体" w:cs="Times New Roman"/>
          <w:snapToGrid w:val="0"/>
          <w:color w:val="FF0000"/>
          <w:spacing w:val="-4"/>
          <w:kern w:val="0"/>
          <w:sz w:val="24"/>
          <w:szCs w:val="24"/>
          <w:u w:val="none" w:color="auto"/>
          <w:lang w:val="en-US" w:eastAsia="en-US" w:bidi="ar-SA"/>
        </w:rPr>
        <w:t>排口中恶臭</w:t>
      </w:r>
      <w:r>
        <w:rPr>
          <w:rFonts w:hint="default" w:ascii="Times New Roman" w:hAnsi="Times New Roman" w:eastAsia="宋体" w:cs="Times New Roman"/>
          <w:snapToGrid w:val="0"/>
          <w:color w:val="FF0000"/>
          <w:spacing w:val="-3"/>
          <w:kern w:val="0"/>
          <w:sz w:val="24"/>
          <w:szCs w:val="24"/>
          <w:u w:val="none" w:color="auto"/>
          <w:lang w:val="en-US" w:eastAsia="en-US" w:bidi="ar-SA"/>
        </w:rPr>
        <w:t>气排放极小，恶臭废气经稀释扩散后在环境空气中的浓度极小，本项目无害化处</w:t>
      </w:r>
      <w:r>
        <w:rPr>
          <w:rFonts w:hint="default" w:ascii="Times New Roman" w:hAnsi="Times New Roman" w:eastAsia="宋体" w:cs="Times New Roman"/>
          <w:snapToGrid w:val="0"/>
          <w:color w:val="FF0000"/>
          <w:spacing w:val="2"/>
          <w:kern w:val="0"/>
          <w:sz w:val="24"/>
          <w:szCs w:val="24"/>
          <w:u w:val="none" w:color="auto"/>
          <w:lang w:val="en-US" w:eastAsia="en-US" w:bidi="ar-SA"/>
        </w:rPr>
        <w:t>理恶臭废气可达到《恶臭污染物排放标准》（</w:t>
      </w:r>
      <w:r>
        <w:rPr>
          <w:rFonts w:hint="default" w:ascii="Times New Roman" w:hAnsi="Times New Roman" w:eastAsia="Times New Roman" w:cs="Times New Roman"/>
          <w:snapToGrid w:val="0"/>
          <w:color w:val="FF0000"/>
          <w:kern w:val="0"/>
          <w:sz w:val="24"/>
          <w:szCs w:val="24"/>
          <w:u w:val="none" w:color="auto"/>
          <w:lang w:val="en-US" w:eastAsia="en-US" w:bidi="ar-SA"/>
        </w:rPr>
        <w:t>GB</w:t>
      </w:r>
      <w:r>
        <w:rPr>
          <w:rFonts w:hint="default" w:ascii="Times New Roman" w:hAnsi="Times New Roman" w:eastAsia="Times New Roman" w:cs="Times New Roman"/>
          <w:snapToGrid w:val="0"/>
          <w:color w:val="FF0000"/>
          <w:spacing w:val="2"/>
          <w:kern w:val="0"/>
          <w:sz w:val="24"/>
          <w:szCs w:val="24"/>
          <w:u w:val="none" w:color="auto"/>
          <w:lang w:val="en-US" w:eastAsia="en-US" w:bidi="ar-SA"/>
        </w:rPr>
        <w:t>14554-93</w:t>
      </w:r>
      <w:r>
        <w:rPr>
          <w:rFonts w:hint="default" w:ascii="Times New Roman" w:hAnsi="Times New Roman" w:eastAsia="宋体" w:cs="Times New Roman"/>
          <w:snapToGrid w:val="0"/>
          <w:color w:val="FF0000"/>
          <w:spacing w:val="2"/>
          <w:kern w:val="0"/>
          <w:sz w:val="24"/>
          <w:szCs w:val="24"/>
          <w:u w:val="none" w:color="auto"/>
          <w:lang w:val="en-US" w:eastAsia="en-US" w:bidi="ar-SA"/>
        </w:rPr>
        <w:t>）表</w:t>
      </w:r>
      <w:r>
        <w:rPr>
          <w:rFonts w:hint="default" w:ascii="Times New Roman" w:hAnsi="Times New Roman" w:eastAsia="Times New Roman" w:cs="Times New Roman"/>
          <w:snapToGrid w:val="0"/>
          <w:color w:val="FF0000"/>
          <w:spacing w:val="2"/>
          <w:kern w:val="0"/>
          <w:sz w:val="24"/>
          <w:szCs w:val="24"/>
          <w:u w:val="none" w:color="auto"/>
          <w:lang w:val="en-US" w:eastAsia="en-US" w:bidi="ar-SA"/>
        </w:rPr>
        <w:t>2</w:t>
      </w:r>
      <w:r>
        <w:rPr>
          <w:rFonts w:hint="default" w:ascii="Times New Roman" w:hAnsi="Times New Roman" w:eastAsia="宋体" w:cs="Times New Roman"/>
          <w:snapToGrid w:val="0"/>
          <w:color w:val="FF0000"/>
          <w:spacing w:val="2"/>
          <w:kern w:val="0"/>
          <w:sz w:val="24"/>
          <w:szCs w:val="24"/>
          <w:u w:val="none" w:color="auto"/>
          <w:lang w:val="en-US" w:eastAsia="en-US" w:bidi="ar-SA"/>
        </w:rPr>
        <w:t>恶臭污</w:t>
      </w:r>
      <w:r>
        <w:rPr>
          <w:rFonts w:hint="default" w:ascii="Times New Roman" w:hAnsi="Times New Roman" w:eastAsia="宋体" w:cs="Times New Roman"/>
          <w:snapToGrid w:val="0"/>
          <w:color w:val="FF0000"/>
          <w:spacing w:val="1"/>
          <w:kern w:val="0"/>
          <w:sz w:val="24"/>
          <w:szCs w:val="24"/>
          <w:u w:val="none" w:color="auto"/>
          <w:lang w:val="en-US" w:eastAsia="en-US" w:bidi="ar-SA"/>
        </w:rPr>
        <w:t>染物排</w:t>
      </w:r>
      <w:r>
        <w:rPr>
          <w:rFonts w:hint="default" w:ascii="Times New Roman" w:hAnsi="Times New Roman" w:eastAsia="宋体" w:cs="Times New Roman"/>
          <w:snapToGrid w:val="0"/>
          <w:color w:val="FF0000"/>
          <w:spacing w:val="3"/>
          <w:kern w:val="0"/>
          <w:sz w:val="24"/>
          <w:szCs w:val="24"/>
          <w:u w:val="none" w:color="auto"/>
          <w:lang w:val="en-US" w:eastAsia="en-US" w:bidi="ar-SA"/>
        </w:rPr>
        <w:t>放标准要求。在厂界排放可满足《恶臭污染物排放标准》（</w:t>
      </w:r>
      <w:r>
        <w:rPr>
          <w:rFonts w:hint="default" w:ascii="Times New Roman" w:hAnsi="Times New Roman" w:eastAsia="Times New Roman" w:cs="Times New Roman"/>
          <w:snapToGrid w:val="0"/>
          <w:color w:val="FF0000"/>
          <w:kern w:val="0"/>
          <w:sz w:val="24"/>
          <w:szCs w:val="24"/>
          <w:u w:val="none" w:color="auto"/>
          <w:lang w:val="en-US" w:eastAsia="en-US" w:bidi="ar-SA"/>
        </w:rPr>
        <w:t>GB</w:t>
      </w:r>
      <w:r>
        <w:rPr>
          <w:rFonts w:hint="default" w:ascii="Times New Roman" w:hAnsi="Times New Roman" w:eastAsia="Times New Roman" w:cs="Times New Roman"/>
          <w:snapToGrid w:val="0"/>
          <w:color w:val="FF0000"/>
          <w:spacing w:val="3"/>
          <w:kern w:val="0"/>
          <w:sz w:val="24"/>
          <w:szCs w:val="24"/>
          <w:u w:val="none" w:color="auto"/>
          <w:lang w:val="en-US" w:eastAsia="en-US" w:bidi="ar-SA"/>
        </w:rPr>
        <w:t>14554-93</w:t>
      </w:r>
      <w:r>
        <w:rPr>
          <w:rFonts w:hint="default" w:ascii="Times New Roman" w:hAnsi="Times New Roman" w:eastAsia="宋体" w:cs="Times New Roman"/>
          <w:snapToGrid w:val="0"/>
          <w:color w:val="FF0000"/>
          <w:spacing w:val="2"/>
          <w:kern w:val="0"/>
          <w:sz w:val="24"/>
          <w:szCs w:val="24"/>
          <w:u w:val="none" w:color="auto"/>
          <w:lang w:val="en-US" w:eastAsia="en-US" w:bidi="ar-SA"/>
        </w:rPr>
        <w:t>）表</w:t>
      </w:r>
      <w:r>
        <w:rPr>
          <w:rFonts w:hint="default" w:ascii="Times New Roman" w:hAnsi="Times New Roman" w:eastAsia="Times New Roman" w:cs="Times New Roman"/>
          <w:snapToGrid w:val="0"/>
          <w:color w:val="FF0000"/>
          <w:spacing w:val="2"/>
          <w:kern w:val="0"/>
          <w:sz w:val="24"/>
          <w:szCs w:val="24"/>
          <w:u w:val="none" w:color="auto"/>
          <w:lang w:val="en-US" w:eastAsia="en-US" w:bidi="ar-SA"/>
        </w:rPr>
        <w:t>1</w:t>
      </w:r>
      <w:r>
        <w:rPr>
          <w:rFonts w:hint="default" w:ascii="Times New Roman" w:hAnsi="Times New Roman" w:eastAsia="宋体" w:cs="Times New Roman"/>
          <w:snapToGrid w:val="0"/>
          <w:color w:val="FF0000"/>
          <w:spacing w:val="-3"/>
          <w:kern w:val="0"/>
          <w:sz w:val="24"/>
          <w:szCs w:val="24"/>
          <w:u w:val="none" w:color="auto"/>
          <w:lang w:val="en-US" w:eastAsia="en-US" w:bidi="ar-SA"/>
        </w:rPr>
        <w:t>恶臭污染物厂界标准值二级新扩改建标准，不会对周围环境空气和环境保护目标</w:t>
      </w:r>
      <w:r>
        <w:rPr>
          <w:rFonts w:hint="default" w:ascii="Times New Roman" w:hAnsi="Times New Roman" w:eastAsia="宋体" w:cs="Times New Roman"/>
          <w:snapToGrid w:val="0"/>
          <w:color w:val="FF0000"/>
          <w:spacing w:val="3"/>
          <w:kern w:val="0"/>
          <w:sz w:val="24"/>
          <w:szCs w:val="24"/>
          <w:u w:val="none" w:color="auto"/>
          <w:lang w:val="en-US" w:eastAsia="en-US" w:bidi="ar-SA"/>
        </w:rPr>
        <w:t>造成明显影响。</w:t>
      </w:r>
    </w:p>
    <w:p w14:paraId="4DCDF5A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napToGrid w:val="0"/>
          <w:color w:val="000000"/>
          <w:spacing w:val="-3"/>
          <w:kern w:val="0"/>
          <w:sz w:val="24"/>
          <w:szCs w:val="24"/>
          <w:u w:val="none" w:color="auto"/>
          <w:lang w:val="en-US" w:eastAsia="en-US" w:bidi="ar-SA"/>
        </w:rPr>
      </w:pPr>
      <w:r>
        <w:rPr>
          <w:rFonts w:hint="default" w:ascii="Times New Roman" w:hAnsi="Times New Roman" w:eastAsia="宋体" w:cs="Times New Roman"/>
          <w:snapToGrid w:val="0"/>
          <w:color w:val="FF0000"/>
          <w:spacing w:val="-3"/>
          <w:kern w:val="0"/>
          <w:sz w:val="24"/>
          <w:szCs w:val="24"/>
          <w:u w:val="none" w:color="auto"/>
          <w:lang w:val="en-US" w:eastAsia="en-US" w:bidi="ar-SA"/>
        </w:rPr>
        <w:t>综上所述，配套的生物除臭滤塔除臭装置技术可行。</w:t>
      </w:r>
    </w:p>
    <w:p w14:paraId="543BBE5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snapToGrid w:val="0"/>
          <w:color w:val="000000"/>
          <w:spacing w:val="-3"/>
          <w:kern w:val="0"/>
          <w:sz w:val="24"/>
          <w:szCs w:val="24"/>
          <w:u w:val="none" w:color="auto"/>
          <w:lang w:val="en-GB" w:eastAsia="en-US" w:bidi="ar-SA"/>
        </w:rPr>
      </w:pPr>
      <w:r>
        <w:rPr>
          <w:rFonts w:hint="default" w:ascii="Times New Roman" w:hAnsi="Times New Roman" w:eastAsia="宋体" w:cs="Times New Roman"/>
          <w:snapToGrid w:val="0"/>
          <w:color w:val="000000"/>
          <w:spacing w:val="-3"/>
          <w:kern w:val="0"/>
          <w:sz w:val="24"/>
          <w:szCs w:val="24"/>
          <w:u w:val="none" w:color="auto"/>
          <w:lang w:val="en-GB" w:eastAsia="zh-CN" w:bidi="ar-SA"/>
        </w:rPr>
        <w:t>另外，依据《畜禽粪便无害化处理技术规范》（GB/T36195-2018）畜禽粪便收集、运输过程中，应采取防遗洒防渗漏等措施。</w:t>
      </w:r>
    </w:p>
    <w:p w14:paraId="36BC9D9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GB" w:eastAsia="zh-CN" w:bidi="ar-SA"/>
        </w:rPr>
        <w:t>（</w:t>
      </w:r>
      <w:r>
        <w:rPr>
          <w:rFonts w:hint="default"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GB" w:eastAsia="zh-CN" w:bidi="ar-SA"/>
        </w:rPr>
        <w:t>）</w:t>
      </w:r>
      <w:r>
        <w:rPr>
          <w:rFonts w:hint="default" w:ascii="Times New Roman" w:hAnsi="Times New Roman" w:eastAsia="宋体" w:cs="Times New Roman"/>
          <w:color w:val="auto"/>
          <w:kern w:val="2"/>
          <w:sz w:val="24"/>
          <w:szCs w:val="24"/>
          <w:lang w:val="en-US" w:eastAsia="zh-CN" w:bidi="ar-SA"/>
        </w:rPr>
        <w:t>废水收集池</w:t>
      </w:r>
    </w:p>
    <w:p w14:paraId="2789F63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项目废水收集池为鸡舍粪便收集设施（</w:t>
      </w:r>
      <w:r>
        <w:rPr>
          <w:rFonts w:hint="eastAsia" w:ascii="Times New Roman" w:hAnsi="Times New Roman" w:cs="Times New Roman"/>
          <w:color w:val="auto"/>
          <w:kern w:val="2"/>
          <w:sz w:val="24"/>
          <w:szCs w:val="24"/>
          <w:lang w:val="en-US" w:eastAsia="zh-CN" w:bidi="ar-SA"/>
        </w:rPr>
        <w:t>粪便传送带</w:t>
      </w:r>
      <w:r>
        <w:rPr>
          <w:rFonts w:hint="default" w:ascii="Times New Roman" w:hAnsi="Times New Roman" w:eastAsia="宋体" w:cs="Times New Roman"/>
          <w:color w:val="auto"/>
          <w:kern w:val="2"/>
          <w:sz w:val="24"/>
          <w:szCs w:val="24"/>
          <w:lang w:val="en-US" w:eastAsia="zh-CN" w:bidi="ar-SA"/>
        </w:rPr>
        <w:t>和清粪机）冲洗废水和生活污水处理设施，项目</w:t>
      </w:r>
      <w:r>
        <w:rPr>
          <w:rFonts w:hint="default" w:ascii="Times New Roman" w:hAnsi="Times New Roman" w:eastAsia="宋体" w:cs="Times New Roman"/>
          <w:color w:val="auto"/>
          <w:kern w:val="2"/>
          <w:sz w:val="24"/>
          <w:szCs w:val="24"/>
          <w:lang w:val="en-US" w:bidi="ar-SA"/>
        </w:rPr>
        <w:t>生活污水</w:t>
      </w:r>
      <w:r>
        <w:rPr>
          <w:rFonts w:hint="default" w:ascii="Times New Roman" w:hAnsi="Times New Roman" w:eastAsia="宋体" w:cs="Times New Roman"/>
          <w:color w:val="auto"/>
          <w:kern w:val="2"/>
          <w:sz w:val="24"/>
          <w:szCs w:val="24"/>
          <w:lang w:val="en-US" w:eastAsia="zh-CN" w:bidi="ar-SA"/>
        </w:rPr>
        <w:t>和鸡舍粪便收集设施（</w:t>
      </w:r>
      <w:r>
        <w:rPr>
          <w:rFonts w:hint="eastAsia" w:ascii="Times New Roman" w:hAnsi="Times New Roman" w:cs="Times New Roman"/>
          <w:color w:val="auto"/>
          <w:kern w:val="2"/>
          <w:sz w:val="24"/>
          <w:szCs w:val="24"/>
          <w:lang w:val="en-US" w:eastAsia="zh-CN" w:bidi="ar-SA"/>
        </w:rPr>
        <w:t>粪便传送带</w:t>
      </w:r>
      <w:r>
        <w:rPr>
          <w:rFonts w:hint="default" w:ascii="Times New Roman" w:hAnsi="Times New Roman" w:eastAsia="宋体" w:cs="Times New Roman"/>
          <w:color w:val="auto"/>
          <w:kern w:val="2"/>
          <w:sz w:val="24"/>
          <w:szCs w:val="24"/>
          <w:lang w:val="en-US" w:eastAsia="zh-CN" w:bidi="ar-SA"/>
        </w:rPr>
        <w:t>和清粪机）冲洗废水排入废水收集池发酵处理后用于农田灌溉。项目废水收集池四周喷洒除臭剂，设置一定面积的绿化，可有效抑制恶臭产生量。</w:t>
      </w:r>
    </w:p>
    <w:p w14:paraId="5BB4634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GB" w:bidi="ar-SA"/>
        </w:rPr>
      </w:pPr>
      <w:r>
        <w:rPr>
          <w:rFonts w:hint="default" w:ascii="Times New Roman" w:hAnsi="Times New Roman" w:eastAsia="宋体" w:cs="Times New Roman"/>
          <w:color w:val="auto"/>
          <w:kern w:val="2"/>
          <w:sz w:val="24"/>
          <w:szCs w:val="24"/>
          <w:lang w:val="en-GB" w:bidi="ar-SA"/>
        </w:rPr>
        <w:t>采取以上措施后，全厂恶臭可得到</w:t>
      </w:r>
      <w:r>
        <w:rPr>
          <w:rFonts w:hint="default" w:ascii="Times New Roman" w:hAnsi="Times New Roman" w:eastAsia="宋体" w:cs="Times New Roman"/>
          <w:color w:val="auto"/>
          <w:kern w:val="2"/>
          <w:sz w:val="24"/>
          <w:szCs w:val="24"/>
          <w:lang w:val="en-GB" w:eastAsia="zh-CN" w:bidi="ar-SA"/>
        </w:rPr>
        <w:t>有效的控制</w:t>
      </w:r>
      <w:r>
        <w:rPr>
          <w:rFonts w:hint="default" w:ascii="Times New Roman" w:hAnsi="Times New Roman" w:eastAsia="宋体" w:cs="Times New Roman"/>
          <w:color w:val="auto"/>
          <w:kern w:val="2"/>
          <w:sz w:val="24"/>
          <w:szCs w:val="24"/>
          <w:lang w:val="en-GB" w:bidi="ar-SA"/>
        </w:rPr>
        <w:t>，能够满足《畜禽养殖业污染物排放标准》（GB18596-2001）中的要求，恶臭因子H</w:t>
      </w:r>
      <w:r>
        <w:rPr>
          <w:rFonts w:hint="default" w:ascii="Times New Roman" w:hAnsi="Times New Roman" w:eastAsia="宋体" w:cs="Times New Roman"/>
          <w:color w:val="auto"/>
          <w:kern w:val="2"/>
          <w:sz w:val="24"/>
          <w:szCs w:val="24"/>
          <w:vertAlign w:val="subscript"/>
          <w:lang w:val="en-GB" w:bidi="ar-SA"/>
        </w:rPr>
        <w:t>2</w:t>
      </w:r>
      <w:r>
        <w:rPr>
          <w:rFonts w:hint="default" w:ascii="Times New Roman" w:hAnsi="Times New Roman" w:eastAsia="宋体" w:cs="Times New Roman"/>
          <w:color w:val="auto"/>
          <w:kern w:val="2"/>
          <w:sz w:val="24"/>
          <w:szCs w:val="24"/>
          <w:lang w:val="en-GB" w:bidi="ar-SA"/>
        </w:rPr>
        <w:t>S、NH</w:t>
      </w:r>
      <w:r>
        <w:rPr>
          <w:rFonts w:hint="default" w:ascii="Times New Roman" w:hAnsi="Times New Roman" w:eastAsia="宋体" w:cs="Times New Roman"/>
          <w:color w:val="auto"/>
          <w:kern w:val="2"/>
          <w:sz w:val="24"/>
          <w:szCs w:val="24"/>
          <w:vertAlign w:val="subscript"/>
          <w:lang w:val="en-GB" w:bidi="ar-SA"/>
        </w:rPr>
        <w:t>3</w:t>
      </w:r>
      <w:r>
        <w:rPr>
          <w:rFonts w:hint="default" w:ascii="Times New Roman" w:hAnsi="Times New Roman" w:eastAsia="宋体" w:cs="Times New Roman"/>
          <w:color w:val="auto"/>
          <w:kern w:val="2"/>
          <w:sz w:val="24"/>
          <w:szCs w:val="24"/>
          <w:lang w:val="en-GB" w:bidi="ar-SA"/>
        </w:rPr>
        <w:t>均符合《恶臭污染物排放标准》（GB14554-93）表1中新扩建的二级标准要求，</w:t>
      </w:r>
      <w:r>
        <w:rPr>
          <w:rFonts w:hint="default" w:ascii="Times New Roman" w:hAnsi="Times New Roman" w:eastAsia="宋体" w:cs="Times New Roman"/>
          <w:color w:val="auto"/>
          <w:kern w:val="2"/>
          <w:sz w:val="24"/>
          <w:szCs w:val="24"/>
          <w:lang w:val="en-US" w:eastAsia="zh-CN" w:bidi="ar-SA"/>
        </w:rPr>
        <w:t>对周围环境影响较小</w:t>
      </w:r>
      <w:r>
        <w:rPr>
          <w:rFonts w:hint="default" w:ascii="Times New Roman" w:hAnsi="Times New Roman" w:eastAsia="宋体" w:cs="Times New Roman"/>
          <w:color w:val="auto"/>
          <w:kern w:val="2"/>
          <w:sz w:val="24"/>
          <w:szCs w:val="24"/>
          <w:lang w:val="en-GB" w:bidi="ar-SA"/>
        </w:rPr>
        <w:t>。</w:t>
      </w:r>
    </w:p>
    <w:p w14:paraId="5C16F5F3">
      <w:pPr>
        <w:pStyle w:val="5"/>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油烟废气</w:t>
      </w:r>
      <w:r>
        <w:rPr>
          <w:rFonts w:hint="default" w:ascii="Times New Roman" w:hAnsi="Times New Roman" w:cs="Times New Roman"/>
          <w:color w:val="auto"/>
          <w:lang w:val="en-US"/>
        </w:rPr>
        <w:t>污染防治措施</w:t>
      </w:r>
    </w:p>
    <w:p w14:paraId="165333D6">
      <w:pPr>
        <w:widowControl w:val="0"/>
        <w:adjustRightInd w:val="0"/>
        <w:snapToGrid w:val="0"/>
        <w:spacing w:line="360" w:lineRule="auto"/>
        <w:ind w:left="0" w:leftChars="0" w:right="0" w:firstLine="480" w:firstLineChars="200"/>
        <w:jc w:val="both"/>
        <w:textAlignment w:val="baseline"/>
        <w:rPr>
          <w:rFonts w:hint="default" w:ascii="Times New Roman" w:hAnsi="Times New Roman" w:eastAsia="宋体" w:cs="Times New Roman"/>
          <w:snapToGrid w:val="0"/>
          <w:color w:val="auto"/>
          <w:kern w:val="0"/>
          <w:sz w:val="24"/>
          <w:szCs w:val="28"/>
          <w:lang w:val="en-US" w:eastAsia="zh-CN" w:bidi="ar-SA"/>
        </w:rPr>
      </w:pPr>
      <w:r>
        <w:rPr>
          <w:rFonts w:hint="default" w:ascii="Times New Roman" w:hAnsi="Times New Roman" w:eastAsia="宋体" w:cs="Times New Roman"/>
          <w:snapToGrid w:val="0"/>
          <w:color w:val="auto"/>
          <w:kern w:val="0"/>
          <w:sz w:val="24"/>
          <w:szCs w:val="28"/>
          <w:lang w:val="en-US" w:eastAsia="zh-CN" w:bidi="ar-SA"/>
        </w:rPr>
        <w:t>项目食堂内安装油烟净化器，废气经油烟净化器处理后，由风机引至专用烟道后排放。</w:t>
      </w:r>
    </w:p>
    <w:p w14:paraId="63C2C8AD">
      <w:pPr>
        <w:pStyle w:val="16"/>
        <w:keepNext w:val="0"/>
        <w:keepLines w:val="0"/>
        <w:pageBreakBefore w:val="0"/>
        <w:widowControl w:val="0"/>
        <w:kinsoku/>
        <w:wordWrap/>
        <w:overflowPunct/>
        <w:topLinePunct w:val="0"/>
        <w:autoSpaceDE w:val="0"/>
        <w:autoSpaceDN w:val="0"/>
        <w:bidi w:val="0"/>
        <w:adjustRightInd/>
        <w:snapToGrid/>
        <w:ind w:left="0" w:leftChars="0" w:right="-11" w:rightChars="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highlight w:val="none"/>
          <w:lang w:val="en-US"/>
        </w:rPr>
        <w:t>本项目食堂油烟拟采用油烟净化器进行处理，处理效率</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rPr>
        <w:t>5%，经处理后</w:t>
      </w:r>
      <w:r>
        <w:rPr>
          <w:rFonts w:hint="default" w:ascii="Times New Roman" w:hAnsi="Times New Roman" w:cs="Times New Roman"/>
          <w:color w:val="auto"/>
          <w:highlight w:val="none"/>
          <w:lang w:val="en-US" w:eastAsia="zh-CN"/>
        </w:rPr>
        <w:t>的餐饮油烟排放浓度满足</w:t>
      </w:r>
      <w:r>
        <w:rPr>
          <w:rFonts w:hint="default" w:ascii="Times New Roman" w:hAnsi="Times New Roman" w:cs="Times New Roman"/>
          <w:bCs/>
          <w:color w:val="auto"/>
          <w:highlight w:val="none"/>
          <w:lang w:val="en-US"/>
        </w:rPr>
        <w:t>《饮食业油烟排放标准（试行）》（GB18483-2001）中2.0mg/m</w:t>
      </w:r>
      <w:r>
        <w:rPr>
          <w:rFonts w:hint="default" w:ascii="Times New Roman" w:hAnsi="Times New Roman" w:cs="Times New Roman"/>
          <w:bCs/>
          <w:color w:val="auto"/>
          <w:highlight w:val="none"/>
          <w:vertAlign w:val="superscript"/>
          <w:lang w:val="en-US"/>
        </w:rPr>
        <w:t>3</w:t>
      </w:r>
      <w:r>
        <w:rPr>
          <w:rFonts w:hint="default" w:ascii="Times New Roman" w:hAnsi="Times New Roman" w:cs="Times New Roman"/>
          <w:bCs/>
          <w:color w:val="auto"/>
          <w:highlight w:val="none"/>
          <w:lang w:val="en-US"/>
        </w:rPr>
        <w:t>的标准要求</w:t>
      </w:r>
      <w:r>
        <w:rPr>
          <w:rFonts w:hint="default" w:ascii="Times New Roman" w:hAnsi="Times New Roman" w:cs="Times New Roman"/>
          <w:bCs/>
          <w:color w:val="auto"/>
          <w:highlight w:val="none"/>
          <w:lang w:val="en-US" w:eastAsia="zh-CN"/>
        </w:rPr>
        <w:t>，</w:t>
      </w:r>
      <w:r>
        <w:rPr>
          <w:rFonts w:hint="default" w:ascii="Times New Roman" w:hAnsi="Times New Roman" w:cs="Times New Roman"/>
          <w:color w:val="auto"/>
          <w:highlight w:val="none"/>
        </w:rPr>
        <w:t>故该措施可行。</w:t>
      </w:r>
    </w:p>
    <w:p w14:paraId="23AF6E49">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饲料加工废气</w:t>
      </w:r>
      <w:r>
        <w:rPr>
          <w:rFonts w:hint="default" w:ascii="Times New Roman" w:hAnsi="Times New Roman" w:cs="Times New Roman"/>
          <w:lang w:val="en-US"/>
        </w:rPr>
        <w:t>污染防治措施</w:t>
      </w:r>
    </w:p>
    <w:p w14:paraId="38B7D07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本项目建设完成后，废气主要为粉碎搅拌工序产生的颗粒物。企业拟在粉碎机和搅拌机上方安装集气罩，收集产生的废气，废气经收集由封闭管道汇入布袋除尘器装置处理，</w:t>
      </w:r>
      <w:r>
        <w:rPr>
          <w:rFonts w:hint="default" w:ascii="Times New Roman" w:hAnsi="Times New Roman" w:eastAsia="宋体" w:cs="Times New Roman"/>
          <w:sz w:val="24"/>
          <w:szCs w:val="24"/>
        </w:rPr>
        <w:t>项目饲料粉碎、</w:t>
      </w:r>
      <w:r>
        <w:rPr>
          <w:rFonts w:hint="default" w:ascii="Times New Roman" w:hAnsi="Times New Roman" w:eastAsia="宋体" w:cs="Times New Roman"/>
          <w:sz w:val="24"/>
          <w:szCs w:val="24"/>
          <w:lang w:val="en-US" w:eastAsia="zh-CN"/>
        </w:rPr>
        <w:t>搅拌</w:t>
      </w:r>
      <w:r>
        <w:rPr>
          <w:rFonts w:hint="default" w:ascii="Times New Roman" w:hAnsi="Times New Roman" w:eastAsia="宋体" w:cs="Times New Roman"/>
          <w:sz w:val="24"/>
          <w:szCs w:val="24"/>
        </w:rPr>
        <w:t>工序配套设置</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台脉冲布袋除尘器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处理后</w:t>
      </w:r>
      <w:r>
        <w:rPr>
          <w:rFonts w:hint="default" w:ascii="Times New Roman" w:hAnsi="Times New Roman" w:eastAsia="宋体" w:cs="Times New Roman"/>
          <w:color w:val="auto"/>
          <w:sz w:val="24"/>
          <w:lang w:val="en-US" w:eastAsia="zh-CN"/>
        </w:rPr>
        <w:t>由1根15m高排气筒DA001排放。根据《排污许可证申请与核发技术规范农副食品加工工业—饲料加工、植物油加工工业》表3，本项目废气处理使用布袋除尘器处理，属于规范中可行技术。</w:t>
      </w:r>
    </w:p>
    <w:p w14:paraId="5E131C2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有组织颗粒物排放满足《大气污染物综合排放标准》（GB16297-1996）表2二级要求120mg/m³；无组织颗粒物排放满足《大气污染物综合排放标准》（GB16297-1996）表2无组织排放监控浓度限值要求1mg/m³。根据核算结果，本项目大气污染物能达标排放，对周边大气环境影响较小，环境影响可接受，废气治理措施可行。</w:t>
      </w:r>
    </w:p>
    <w:p w14:paraId="440814F4">
      <w:pPr>
        <w:keepNext w:val="0"/>
        <w:keepLines w:val="0"/>
        <w:pageBreakBefore w:val="0"/>
        <w:widowControl w:val="0"/>
        <w:kinsoku/>
        <w:wordWrap/>
        <w:overflowPunct/>
        <w:topLinePunct w:val="0"/>
        <w:autoSpaceDE w:val="0"/>
        <w:autoSpaceDN w:val="0"/>
        <w:bidi w:val="0"/>
        <w:adjustRightInd/>
        <w:snapToGrid/>
        <w:spacing w:line="360" w:lineRule="auto"/>
        <w:ind w:firstLine="452"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pacing w:val="-7"/>
          <w:sz w:val="24"/>
          <w:szCs w:val="24"/>
        </w:rPr>
        <w:t>本项目</w:t>
      </w:r>
      <w:r>
        <w:rPr>
          <w:rFonts w:hint="default" w:ascii="Times New Roman" w:hAnsi="Times New Roman" w:eastAsia="宋体" w:cs="Times New Roman"/>
          <w:spacing w:val="-7"/>
          <w:sz w:val="24"/>
          <w:szCs w:val="24"/>
          <w:lang w:val="en-US" w:eastAsia="zh-CN"/>
        </w:rPr>
        <w:t>饲料加工袋式除尘器</w:t>
      </w:r>
      <w:r>
        <w:rPr>
          <w:rFonts w:hint="default" w:ascii="Times New Roman" w:hAnsi="Times New Roman" w:eastAsia="宋体" w:cs="Times New Roman"/>
          <w:spacing w:val="-7"/>
          <w:sz w:val="24"/>
          <w:szCs w:val="24"/>
        </w:rPr>
        <w:t>总投资</w:t>
      </w:r>
      <w:r>
        <w:rPr>
          <w:rFonts w:hint="default" w:ascii="Times New Roman" w:hAnsi="Times New Roman" w:eastAsia="宋体" w:cs="Times New Roman"/>
          <w:spacing w:val="-7"/>
          <w:sz w:val="24"/>
          <w:szCs w:val="24"/>
          <w:lang w:val="en-US" w:eastAsia="zh-CN"/>
        </w:rPr>
        <w:t>5</w:t>
      </w:r>
      <w:r>
        <w:rPr>
          <w:rFonts w:hint="default" w:ascii="Times New Roman" w:hAnsi="Times New Roman" w:cs="Times New Roman"/>
          <w:spacing w:val="-7"/>
          <w:sz w:val="24"/>
          <w:szCs w:val="24"/>
          <w:lang w:val="en-US" w:eastAsia="zh-CN"/>
        </w:rPr>
        <w:t>万元人民币</w:t>
      </w:r>
      <w:r>
        <w:rPr>
          <w:rFonts w:hint="default" w:ascii="Times New Roman" w:hAnsi="Times New Roman" w:eastAsia="宋体" w:cs="Times New Roman"/>
          <w:spacing w:val="-7"/>
          <w:sz w:val="24"/>
          <w:szCs w:val="24"/>
        </w:rPr>
        <w:t>。本项目效益较好，企业可以承受，</w:t>
      </w:r>
      <w:r>
        <w:rPr>
          <w:rFonts w:hint="default" w:ascii="Times New Roman" w:hAnsi="Times New Roman" w:eastAsia="宋体" w:cs="Times New Roman"/>
          <w:spacing w:val="-5"/>
          <w:sz w:val="24"/>
          <w:szCs w:val="24"/>
        </w:rPr>
        <w:t>在经济上是可行的。</w:t>
      </w:r>
    </w:p>
    <w:p w14:paraId="776D55C8">
      <w:pPr>
        <w:pStyle w:val="4"/>
        <w:bidi w:val="0"/>
        <w:rPr>
          <w:rFonts w:hint="default" w:ascii="Times New Roman" w:hAnsi="Times New Roman" w:cs="Times New Roman"/>
          <w:color w:val="auto"/>
        </w:rPr>
      </w:pPr>
      <w:r>
        <w:rPr>
          <w:rFonts w:hint="default" w:ascii="Times New Roman" w:hAnsi="Times New Roman" w:cs="Times New Roman"/>
          <w:color w:val="auto"/>
        </w:rPr>
        <w:t>污水治理措施可行性分析</w:t>
      </w:r>
    </w:p>
    <w:p w14:paraId="26B02E2D">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本项目鸡舍不进行冲洗，生产废水仅为鸡舍内粪便收集设施的残留粪便清洗废水、生活污水及少量锅炉排污水。</w:t>
      </w:r>
    </w:p>
    <w:p w14:paraId="127034C7">
      <w:pPr>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w:t>
      </w:r>
      <w:r>
        <w:rPr>
          <w:rFonts w:hint="default" w:ascii="Times New Roman" w:hAnsi="Times New Roman" w:eastAsia="宋体" w:cs="Times New Roman"/>
          <w:color w:val="auto"/>
          <w:kern w:val="2"/>
          <w:sz w:val="24"/>
          <w:szCs w:val="24"/>
          <w:lang w:val="en-US" w:bidi="ar-SA"/>
        </w:rPr>
        <w:t>生活污水</w:t>
      </w:r>
      <w:r>
        <w:rPr>
          <w:rFonts w:hint="default" w:ascii="Times New Roman" w:hAnsi="Times New Roman" w:eastAsia="宋体" w:cs="Times New Roman"/>
          <w:color w:val="auto"/>
          <w:kern w:val="2"/>
          <w:sz w:val="24"/>
          <w:szCs w:val="24"/>
          <w:lang w:val="en-US" w:eastAsia="zh-CN" w:bidi="ar-SA"/>
        </w:rPr>
        <w:t>和鸡舍粪便收集设施（</w:t>
      </w:r>
      <w:r>
        <w:rPr>
          <w:rFonts w:hint="eastAsia" w:ascii="Times New Roman" w:hAnsi="Times New Roman" w:cs="Times New Roman"/>
          <w:color w:val="auto"/>
          <w:kern w:val="2"/>
          <w:sz w:val="24"/>
          <w:szCs w:val="24"/>
          <w:lang w:val="en-US" w:eastAsia="zh-CN" w:bidi="ar-SA"/>
        </w:rPr>
        <w:t>粪便传送带</w:t>
      </w:r>
      <w:r>
        <w:rPr>
          <w:rFonts w:hint="default" w:ascii="Times New Roman" w:hAnsi="Times New Roman" w:eastAsia="宋体" w:cs="Times New Roman"/>
          <w:color w:val="auto"/>
          <w:kern w:val="2"/>
          <w:sz w:val="24"/>
          <w:szCs w:val="24"/>
          <w:lang w:val="en-US" w:eastAsia="zh-CN" w:bidi="ar-SA"/>
        </w:rPr>
        <w:t>和清粪机）冲洗废水排入项目区废水收集池发酵处理后用于农田施肥。</w:t>
      </w:r>
    </w:p>
    <w:p w14:paraId="5C217428">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eastAsia="宋体" w:cs="Times New Roman"/>
          <w:b w:val="0"/>
          <w:bCs w:val="0"/>
          <w:color w:val="auto"/>
          <w:sz w:val="24"/>
          <w:szCs w:val="24"/>
          <w:lang w:val="en-US" w:eastAsia="zh-CN"/>
        </w:rPr>
        <w:t>锅炉排污水和软化处理废水，经沉淀处理后视为清净废水，用于鸡舍</w:t>
      </w:r>
      <w:r>
        <w:rPr>
          <w:rFonts w:hint="eastAsia" w:ascii="Times New Roman" w:hAnsi="Times New Roman" w:cs="Times New Roman"/>
          <w:b w:val="0"/>
          <w:bCs w:val="0"/>
          <w:color w:val="auto"/>
          <w:sz w:val="24"/>
          <w:szCs w:val="24"/>
          <w:lang w:val="en-US" w:eastAsia="zh-CN"/>
        </w:rPr>
        <w:t>粪便传送带</w:t>
      </w:r>
      <w:r>
        <w:rPr>
          <w:rFonts w:hint="default" w:ascii="Times New Roman" w:hAnsi="Times New Roman" w:eastAsia="宋体" w:cs="Times New Roman"/>
          <w:b w:val="0"/>
          <w:bCs w:val="0"/>
          <w:color w:val="auto"/>
          <w:sz w:val="24"/>
          <w:szCs w:val="24"/>
          <w:lang w:val="en-US" w:eastAsia="zh-CN"/>
        </w:rPr>
        <w:t>清洗。</w:t>
      </w:r>
    </w:p>
    <w:p w14:paraId="580763C0">
      <w:pPr>
        <w:pStyle w:val="5"/>
        <w:bidi w:val="0"/>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lang w:val="en-US" w:eastAsia="zh-CN"/>
        </w:rPr>
        <w:t>生活</w:t>
      </w:r>
      <w:r>
        <w:rPr>
          <w:rFonts w:hint="default" w:ascii="Times New Roman" w:hAnsi="Times New Roman" w:cs="Times New Roman"/>
          <w:b/>
          <w:color w:val="auto"/>
          <w:sz w:val="24"/>
        </w:rPr>
        <w:t>污水</w:t>
      </w:r>
      <w:r>
        <w:rPr>
          <w:rFonts w:hint="default" w:ascii="Times New Roman" w:hAnsi="Times New Roman" w:cs="Times New Roman"/>
          <w:b/>
          <w:color w:val="auto"/>
          <w:sz w:val="24"/>
          <w:lang w:val="en-US" w:eastAsia="zh-CN"/>
        </w:rPr>
        <w:t>和</w:t>
      </w:r>
      <w:r>
        <w:rPr>
          <w:rFonts w:hint="default" w:ascii="Times New Roman" w:hAnsi="Times New Roman" w:cs="Times New Roman"/>
          <w:color w:val="auto"/>
          <w:sz w:val="24"/>
          <w:lang w:val="en-US" w:eastAsia="zh-CN"/>
        </w:rPr>
        <w:t>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和清粪机）清洗废水</w:t>
      </w:r>
    </w:p>
    <w:p w14:paraId="46740B66">
      <w:pPr>
        <w:spacing w:line="360" w:lineRule="auto"/>
        <w:ind w:firstLine="480" w:firstLineChars="200"/>
        <w:rPr>
          <w:rFonts w:hint="default" w:ascii="Times New Roman" w:hAnsi="Times New Roman" w:eastAsia="宋体" w:cs="Times New Roman"/>
          <w:snapToGrid/>
          <w:color w:val="0000FF"/>
          <w:kern w:val="2"/>
          <w:sz w:val="24"/>
          <w:szCs w:val="24"/>
          <w:lang w:val="en-US" w:eastAsia="zh-CN" w:bidi="ar-SA"/>
        </w:rPr>
      </w:pPr>
      <w:r>
        <w:rPr>
          <w:rFonts w:hint="default" w:ascii="Times New Roman" w:hAnsi="Times New Roman" w:cs="Times New Roman"/>
          <w:color w:val="0000FF"/>
          <w:sz w:val="24"/>
        </w:rPr>
        <w:t>本项目职工生活污水</w:t>
      </w:r>
      <w:r>
        <w:rPr>
          <w:rFonts w:hint="default" w:ascii="Times New Roman" w:hAnsi="Times New Roman" w:cs="Times New Roman"/>
          <w:color w:val="0000FF"/>
          <w:sz w:val="24"/>
          <w:lang w:val="en-US" w:eastAsia="zh-CN"/>
        </w:rPr>
        <w:t>产生量为584m</w:t>
      </w:r>
      <w:r>
        <w:rPr>
          <w:rFonts w:hint="default" w:ascii="Times New Roman" w:hAnsi="Times New Roman" w:cs="Times New Roman"/>
          <w:color w:val="0000FF"/>
          <w:sz w:val="24"/>
          <w:vertAlign w:val="superscript"/>
          <w:lang w:val="en-US" w:eastAsia="zh-CN"/>
        </w:rPr>
        <w:t>3</w:t>
      </w:r>
      <w:r>
        <w:rPr>
          <w:rFonts w:hint="default" w:ascii="Times New Roman" w:hAnsi="Times New Roman" w:cs="Times New Roman"/>
          <w:color w:val="0000FF"/>
          <w:sz w:val="24"/>
          <w:lang w:val="en-US" w:eastAsia="zh-CN"/>
        </w:rPr>
        <w:t>/a（1.6m</w:t>
      </w:r>
      <w:r>
        <w:rPr>
          <w:rFonts w:hint="default" w:ascii="Times New Roman" w:hAnsi="Times New Roman" w:cs="Times New Roman"/>
          <w:color w:val="0000FF"/>
          <w:sz w:val="24"/>
          <w:vertAlign w:val="superscript"/>
          <w:lang w:val="en-US" w:eastAsia="zh-CN"/>
        </w:rPr>
        <w:t>3</w:t>
      </w:r>
      <w:r>
        <w:rPr>
          <w:rFonts w:hint="default" w:ascii="Times New Roman" w:hAnsi="Times New Roman" w:cs="Times New Roman"/>
          <w:color w:val="0000FF"/>
          <w:sz w:val="24"/>
          <w:lang w:val="en-US" w:eastAsia="zh-CN"/>
        </w:rPr>
        <w:t>/d），项目鸡舍粪便收集设施（</w:t>
      </w:r>
      <w:r>
        <w:rPr>
          <w:rFonts w:hint="eastAsia" w:ascii="Times New Roman" w:hAnsi="Times New Roman" w:cs="Times New Roman"/>
          <w:color w:val="0000FF"/>
          <w:sz w:val="24"/>
          <w:lang w:val="en-US" w:eastAsia="zh-CN"/>
        </w:rPr>
        <w:t>粪便传送带</w:t>
      </w:r>
      <w:r>
        <w:rPr>
          <w:rFonts w:hint="default" w:ascii="Times New Roman" w:hAnsi="Times New Roman" w:cs="Times New Roman"/>
          <w:color w:val="0000FF"/>
          <w:sz w:val="24"/>
          <w:lang w:val="en-US" w:eastAsia="zh-CN"/>
        </w:rPr>
        <w:t>和清粪机）清洗废水产生量为1920m</w:t>
      </w:r>
      <w:r>
        <w:rPr>
          <w:rFonts w:hint="default" w:ascii="Times New Roman" w:hAnsi="Times New Roman" w:cs="Times New Roman"/>
          <w:color w:val="0000FF"/>
          <w:sz w:val="24"/>
          <w:vertAlign w:val="superscript"/>
          <w:lang w:val="en-US" w:eastAsia="zh-CN"/>
        </w:rPr>
        <w:t>3</w:t>
      </w:r>
      <w:r>
        <w:rPr>
          <w:rFonts w:hint="default" w:ascii="Times New Roman" w:hAnsi="Times New Roman" w:cs="Times New Roman"/>
          <w:color w:val="0000FF"/>
          <w:sz w:val="24"/>
          <w:lang w:val="en-US" w:eastAsia="zh-CN"/>
        </w:rPr>
        <w:t>/a，每年冲洗48次，每次最大废水量为40m</w:t>
      </w:r>
      <w:r>
        <w:rPr>
          <w:rFonts w:hint="default" w:ascii="Times New Roman" w:hAnsi="Times New Roman" w:cs="Times New Roman"/>
          <w:color w:val="0000FF"/>
          <w:sz w:val="24"/>
          <w:vertAlign w:val="superscript"/>
          <w:lang w:val="en-US" w:eastAsia="zh-CN"/>
        </w:rPr>
        <w:t>3</w:t>
      </w:r>
      <w:r>
        <w:rPr>
          <w:rFonts w:hint="default" w:ascii="Times New Roman" w:hAnsi="Times New Roman" w:cs="Times New Roman"/>
          <w:color w:val="0000FF"/>
          <w:sz w:val="24"/>
          <w:lang w:val="en-US" w:eastAsia="zh-CN"/>
        </w:rPr>
        <w:t>，</w:t>
      </w:r>
      <w:r>
        <w:rPr>
          <w:rFonts w:hint="default" w:ascii="Times New Roman" w:hAnsi="Times New Roman" w:eastAsia="宋体" w:cs="Times New Roman"/>
          <w:color w:val="0000FF"/>
          <w:kern w:val="2"/>
          <w:sz w:val="24"/>
          <w:szCs w:val="24"/>
          <w:lang w:val="en-US" w:eastAsia="zh-CN" w:bidi="ar-SA"/>
        </w:rPr>
        <w:t>废水收集池</w:t>
      </w:r>
      <w:r>
        <w:rPr>
          <w:rFonts w:hint="default" w:ascii="Times New Roman" w:hAnsi="Times New Roman" w:cs="Times New Roman"/>
          <w:color w:val="0000FF"/>
          <w:sz w:val="24"/>
          <w:lang w:val="en-US" w:eastAsia="zh-CN"/>
        </w:rPr>
        <w:t>可有效容纳本项目废水产生量</w:t>
      </w:r>
      <w:r>
        <w:rPr>
          <w:rFonts w:hint="default" w:ascii="Times New Roman" w:hAnsi="Times New Roman" w:eastAsia="宋体" w:cs="Times New Roman"/>
          <w:snapToGrid/>
          <w:color w:val="0000FF"/>
          <w:kern w:val="2"/>
          <w:sz w:val="24"/>
          <w:szCs w:val="24"/>
          <w:lang w:val="en-US" w:eastAsia="zh-CN" w:bidi="ar-SA"/>
        </w:rPr>
        <w:t>。</w:t>
      </w:r>
      <w:r>
        <w:rPr>
          <w:rFonts w:hint="default" w:ascii="Times New Roman" w:hAnsi="Times New Roman" w:eastAsia="宋体" w:cs="Times New Roman"/>
          <w:color w:val="0000FF"/>
          <w:sz w:val="24"/>
        </w:rPr>
        <w:t>生活污水</w:t>
      </w:r>
      <w:r>
        <w:rPr>
          <w:rFonts w:hint="default" w:ascii="Times New Roman" w:hAnsi="Times New Roman" w:eastAsia="宋体" w:cs="Times New Roman"/>
          <w:color w:val="0000FF"/>
          <w:sz w:val="24"/>
          <w:lang w:val="en-US" w:eastAsia="zh-CN"/>
        </w:rPr>
        <w:t>和</w:t>
      </w:r>
      <w:r>
        <w:rPr>
          <w:rFonts w:hint="default" w:ascii="Times New Roman" w:hAnsi="Times New Roman" w:cs="Times New Roman"/>
          <w:color w:val="0000FF"/>
          <w:sz w:val="24"/>
          <w:lang w:val="en-US" w:eastAsia="zh-CN"/>
        </w:rPr>
        <w:t>鸡舍粪便收集设施（</w:t>
      </w:r>
      <w:r>
        <w:rPr>
          <w:rFonts w:hint="eastAsia" w:ascii="Times New Roman" w:hAnsi="Times New Roman" w:cs="Times New Roman"/>
          <w:color w:val="0000FF"/>
          <w:sz w:val="24"/>
          <w:lang w:val="en-US" w:eastAsia="zh-CN"/>
        </w:rPr>
        <w:t>粪便传送带</w:t>
      </w:r>
      <w:r>
        <w:rPr>
          <w:rFonts w:hint="default" w:ascii="Times New Roman" w:hAnsi="Times New Roman" w:cs="Times New Roman"/>
          <w:color w:val="0000FF"/>
          <w:sz w:val="24"/>
          <w:lang w:val="en-US" w:eastAsia="zh-CN"/>
        </w:rPr>
        <w:t>和清粪机）清洗废水</w:t>
      </w:r>
      <w:r>
        <w:rPr>
          <w:rFonts w:hint="default" w:ascii="Times New Roman" w:hAnsi="Times New Roman" w:cs="Times New Roman"/>
          <w:color w:val="0000FF"/>
          <w:sz w:val="24"/>
        </w:rPr>
        <w:t>经</w:t>
      </w:r>
      <w:r>
        <w:rPr>
          <w:rFonts w:hint="default" w:ascii="Times New Roman" w:hAnsi="Times New Roman" w:cs="Times New Roman"/>
          <w:color w:val="0000FF"/>
          <w:sz w:val="24"/>
          <w:lang w:val="en-US" w:eastAsia="zh-CN"/>
        </w:rPr>
        <w:t>暗沟进入废水收集池处理设施（废水收集池容积为100m</w:t>
      </w:r>
      <w:r>
        <w:rPr>
          <w:rFonts w:hint="default" w:ascii="Times New Roman" w:hAnsi="Times New Roman" w:cs="Times New Roman"/>
          <w:color w:val="0000FF"/>
          <w:sz w:val="24"/>
          <w:vertAlign w:val="superscript"/>
          <w:lang w:val="en-US" w:eastAsia="zh-CN"/>
        </w:rPr>
        <w:t>3</w:t>
      </w:r>
      <w:r>
        <w:rPr>
          <w:rFonts w:hint="default" w:ascii="Times New Roman" w:hAnsi="Times New Roman" w:cs="Times New Roman"/>
          <w:color w:val="0000FF"/>
          <w:sz w:val="24"/>
          <w:lang w:val="en-US" w:eastAsia="zh-CN"/>
        </w:rPr>
        <w:t>）发酵处理后用于农田施肥</w:t>
      </w:r>
      <w:r>
        <w:rPr>
          <w:rFonts w:hint="default" w:ascii="Times New Roman" w:hAnsi="Times New Roman" w:cs="Times New Roman"/>
          <w:color w:val="0000FF"/>
          <w:sz w:val="24"/>
        </w:rPr>
        <w:t>。</w:t>
      </w:r>
    </w:p>
    <w:p w14:paraId="38C6A624">
      <w:pPr>
        <w:numPr>
          <w:ilvl w:val="0"/>
          <w:numId w:val="0"/>
        </w:numPr>
        <w:spacing w:line="360" w:lineRule="auto"/>
        <w:ind w:firstLine="480" w:firstLineChars="200"/>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本项目鸡粪收集系统清洗废水一年产生一次其他时间不产生生产废水，且清洗废水可全部回用于有机肥发酵，鸡场不设置应急事故池，本次环评对废水防治作出以下要求：</w:t>
      </w:r>
    </w:p>
    <w:p w14:paraId="5D58C969">
      <w:pPr>
        <w:numPr>
          <w:ilvl w:val="0"/>
          <w:numId w:val="0"/>
        </w:numPr>
        <w:spacing w:line="360" w:lineRule="auto"/>
        <w:ind w:firstLine="480" w:firstLineChars="200"/>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（1）每年进行鸡舍清洗启用贮污池前应全面检查，不可在贮污池有明显破损或有渗漏风险情况下储存污水，在确保贮污池防渗正常情况下进行鸡舍清洗，避免污水外泄。</w:t>
      </w:r>
    </w:p>
    <w:p w14:paraId="54640A83">
      <w:pPr>
        <w:pStyle w:val="5"/>
        <w:bidi w:val="0"/>
        <w:rPr>
          <w:rFonts w:hint="default" w:ascii="Times New Roman" w:hAnsi="Times New Roman" w:cs="Times New Roman"/>
          <w:color w:val="auto"/>
        </w:rPr>
      </w:pPr>
      <w:r>
        <w:rPr>
          <w:rFonts w:hint="default" w:ascii="Times New Roman" w:hAnsi="Times New Roman" w:cs="Times New Roman"/>
          <w:color w:val="auto"/>
        </w:rPr>
        <w:t>地下水分区防控措施</w:t>
      </w:r>
    </w:p>
    <w:p w14:paraId="2753C19E">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本项目建成后全场分为重点防渗区、一般防渗区</w:t>
      </w:r>
      <w:r>
        <w:rPr>
          <w:rFonts w:hint="default" w:ascii="Times New Roman" w:hAnsi="Times New Roman" w:cs="Times New Roman"/>
          <w:color w:val="auto"/>
          <w:kern w:val="0"/>
          <w:sz w:val="24"/>
          <w:lang w:val="en-US" w:eastAsia="zh-CN"/>
        </w:rPr>
        <w:t>和简单防渗区</w:t>
      </w:r>
      <w:r>
        <w:rPr>
          <w:rFonts w:hint="default" w:ascii="Times New Roman" w:hAnsi="Times New Roman" w:cs="Times New Roman"/>
          <w:color w:val="auto"/>
          <w:kern w:val="0"/>
          <w:sz w:val="24"/>
        </w:rPr>
        <w:t>。重点防渗区主要包括：</w:t>
      </w:r>
      <w:r>
        <w:rPr>
          <w:rFonts w:hint="default" w:ascii="Times New Roman" w:hAnsi="Times New Roman" w:cs="Times New Roman"/>
          <w:color w:val="auto"/>
          <w:kern w:val="0"/>
          <w:sz w:val="24"/>
          <w:lang w:eastAsia="zh-CN"/>
        </w:rPr>
        <w:t>废水收集池</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安全填埋井</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鸡粪发酵</w:t>
      </w:r>
      <w:r>
        <w:rPr>
          <w:rFonts w:hint="eastAsia" w:ascii="Times New Roman" w:hAnsi="Times New Roman" w:cs="Times New Roman"/>
          <w:color w:val="auto"/>
          <w:kern w:val="0"/>
          <w:sz w:val="24"/>
          <w:lang w:val="en-US" w:eastAsia="zh-CN"/>
        </w:rPr>
        <w:t>处理厂</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rPr>
        <w:t>医</w:t>
      </w:r>
      <w:r>
        <w:rPr>
          <w:rFonts w:hint="default" w:ascii="Times New Roman" w:hAnsi="Times New Roman" w:cs="Times New Roman"/>
          <w:color w:val="auto"/>
          <w:kern w:val="0"/>
          <w:sz w:val="24"/>
          <w:highlight w:val="none"/>
        </w:rPr>
        <w:t>疗废物暂</w:t>
      </w:r>
      <w:r>
        <w:rPr>
          <w:rFonts w:hint="default" w:ascii="Times New Roman" w:hAnsi="Times New Roman" w:cs="Times New Roman"/>
          <w:color w:val="auto"/>
          <w:kern w:val="0"/>
          <w:sz w:val="24"/>
        </w:rPr>
        <w:t>存间等；一般防渗区主要包括：</w:t>
      </w:r>
      <w:r>
        <w:rPr>
          <w:rFonts w:hint="default" w:ascii="Times New Roman" w:hAnsi="Times New Roman" w:eastAsia="宋体" w:cs="Times New Roman"/>
          <w:color w:val="auto"/>
          <w:sz w:val="24"/>
          <w:szCs w:val="24"/>
          <w:highlight w:val="none"/>
          <w:lang w:val="zh-CN" w:eastAsia="zh-CN" w:bidi="zh-CN"/>
        </w:rPr>
        <w:t>各类鸡舍、消毒更衣室、</w:t>
      </w:r>
      <w:r>
        <w:rPr>
          <w:rFonts w:hint="default" w:ascii="Times New Roman" w:hAnsi="Times New Roman" w:eastAsia="宋体" w:cs="Times New Roman"/>
          <w:color w:val="auto"/>
          <w:sz w:val="24"/>
          <w:szCs w:val="24"/>
          <w:highlight w:val="none"/>
          <w:lang w:val="en-US" w:eastAsia="zh-CN" w:bidi="zh-CN"/>
        </w:rPr>
        <w:t>鸡蛋分级库</w:t>
      </w:r>
      <w:r>
        <w:rPr>
          <w:rFonts w:hint="default" w:ascii="Times New Roman" w:hAnsi="Times New Roman" w:eastAsia="宋体" w:cs="Times New Roman"/>
          <w:color w:val="auto"/>
          <w:sz w:val="24"/>
          <w:szCs w:val="24"/>
          <w:highlight w:val="none"/>
          <w:lang w:val="zh-CN" w:eastAsia="zh-CN" w:bidi="zh-CN"/>
        </w:rPr>
        <w:t>等；</w:t>
      </w:r>
      <w:r>
        <w:rPr>
          <w:rFonts w:hint="default" w:ascii="Times New Roman" w:hAnsi="Times New Roman" w:eastAsia="宋体" w:cs="Times New Roman"/>
          <w:color w:val="auto"/>
          <w:sz w:val="24"/>
          <w:szCs w:val="24"/>
          <w:highlight w:val="none"/>
          <w:lang w:val="en-US" w:eastAsia="zh-CN" w:bidi="zh-CN"/>
        </w:rPr>
        <w:t>简单防渗区包括：</w:t>
      </w:r>
      <w:r>
        <w:rPr>
          <w:rFonts w:hint="default" w:ascii="Times New Roman" w:hAnsi="Times New Roman" w:eastAsia="宋体" w:cs="Times New Roman"/>
          <w:color w:val="auto"/>
          <w:sz w:val="24"/>
          <w:szCs w:val="24"/>
          <w:highlight w:val="none"/>
          <w:lang w:val="zh-CN" w:eastAsia="zh-CN" w:bidi="zh-CN"/>
        </w:rPr>
        <w:t>办公</w:t>
      </w:r>
      <w:r>
        <w:rPr>
          <w:rFonts w:hint="default" w:ascii="Times New Roman" w:hAnsi="Times New Roman" w:eastAsia="宋体" w:cs="Times New Roman"/>
          <w:color w:val="auto"/>
          <w:sz w:val="24"/>
          <w:szCs w:val="24"/>
          <w:highlight w:val="none"/>
          <w:lang w:val="en-US" w:eastAsia="zh-CN" w:bidi="zh-CN"/>
        </w:rPr>
        <w:t>区</w:t>
      </w:r>
      <w:r>
        <w:rPr>
          <w:rFonts w:hint="default" w:ascii="Times New Roman" w:hAnsi="Times New Roman" w:eastAsia="宋体" w:cs="Times New Roman"/>
          <w:color w:val="auto"/>
          <w:sz w:val="24"/>
          <w:szCs w:val="24"/>
          <w:highlight w:val="none"/>
          <w:lang w:val="zh-CN" w:eastAsia="zh-CN" w:bidi="zh-CN"/>
        </w:rPr>
        <w:t>、场区道路等</w:t>
      </w:r>
      <w:r>
        <w:rPr>
          <w:rFonts w:hint="default" w:ascii="Times New Roman" w:hAnsi="Times New Roman" w:cs="Times New Roman"/>
          <w:color w:val="auto"/>
          <w:kern w:val="0"/>
          <w:sz w:val="24"/>
        </w:rPr>
        <w:t>。</w:t>
      </w:r>
    </w:p>
    <w:p w14:paraId="56548F72">
      <w:pPr>
        <w:widowControl/>
        <w:shd w:val="clear" w:color="auto" w:fill="auto"/>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重点防渗区：重点防渗区在原土夯实的基础上采用铺设HDPE膜进行防渗，养殖区圈舍、堆肥场等用HDPE膜+混凝土进行防渗；HDPE膜抗渗能力比较强，渗透系数能够达到10</w:t>
      </w:r>
      <w:r>
        <w:rPr>
          <w:rFonts w:hint="default" w:ascii="Times New Roman" w:hAnsi="Times New Roman" w:cs="Times New Roman"/>
          <w:color w:val="auto"/>
          <w:kern w:val="0"/>
          <w:sz w:val="24"/>
          <w:vertAlign w:val="superscript"/>
          <w:lang w:val="en-US" w:eastAsia="zh-CN"/>
        </w:rPr>
        <w:t>-10</w:t>
      </w:r>
      <w:r>
        <w:rPr>
          <w:rFonts w:hint="default" w:ascii="Times New Roman" w:hAnsi="Times New Roman" w:cs="Times New Roman"/>
          <w:color w:val="auto"/>
          <w:kern w:val="0"/>
          <w:sz w:val="24"/>
        </w:rPr>
        <w:t>cm/s。以防止污染地下水。</w:t>
      </w:r>
    </w:p>
    <w:p w14:paraId="72472CF1">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一般防渗区：评价建议对该区域采取</w:t>
      </w:r>
      <w:r>
        <w:rPr>
          <w:rFonts w:hint="default" w:ascii="Times New Roman" w:hAnsi="Times New Roman" w:cs="Times New Roman"/>
          <w:color w:val="auto"/>
          <w:kern w:val="0"/>
          <w:sz w:val="24"/>
          <w:lang w:eastAsia="zh-CN"/>
        </w:rPr>
        <w:t>黏土</w:t>
      </w:r>
      <w:r>
        <w:rPr>
          <w:rFonts w:hint="default" w:ascii="Times New Roman" w:hAnsi="Times New Roman" w:cs="Times New Roman"/>
          <w:color w:val="auto"/>
          <w:kern w:val="0"/>
          <w:sz w:val="24"/>
        </w:rPr>
        <w:t>铺底，再在上层铺1</w:t>
      </w:r>
      <w:r>
        <w:rPr>
          <w:rFonts w:hint="default" w:ascii="Times New Roman" w:hAnsi="Times New Roman" w:eastAsia="宋体" w:cs="Times New Roman"/>
          <w:color w:val="auto"/>
          <w:kern w:val="0"/>
          <w:sz w:val="24"/>
        </w:rPr>
        <w:t>0</w:t>
      </w:r>
      <w:r>
        <w:rPr>
          <w:rFonts w:hint="default" w:ascii="Times New Roman" w:hAnsi="Times New Roman" w:eastAsia="宋体" w:cs="Times New Roman"/>
          <w:color w:val="auto"/>
          <w:kern w:val="0"/>
          <w:sz w:val="24"/>
          <w:lang w:val="en-US" w:eastAsia="zh-CN"/>
        </w:rPr>
        <w:t>-15</w:t>
      </w:r>
      <w:r>
        <w:rPr>
          <w:rFonts w:hint="default" w:ascii="Times New Roman" w:hAnsi="Times New Roman" w:eastAsia="宋体" w:cs="Times New Roman"/>
          <w:color w:val="auto"/>
          <w:kern w:val="0"/>
          <w:sz w:val="24"/>
        </w:rPr>
        <w:t>cm的</w:t>
      </w:r>
      <w:r>
        <w:rPr>
          <w:rFonts w:hint="default" w:ascii="Times New Roman" w:hAnsi="Times New Roman" w:cs="Times New Roman"/>
          <w:color w:val="auto"/>
          <w:kern w:val="0"/>
          <w:sz w:val="24"/>
        </w:rPr>
        <w:t>水泥进行硬化。通过以上措施可使一般防渗区各单元防渗层渗透系数≤10</w:t>
      </w:r>
      <w:r>
        <w:rPr>
          <w:rFonts w:hint="default" w:ascii="Times New Roman" w:hAnsi="Times New Roman" w:cs="Times New Roman"/>
          <w:color w:val="auto"/>
          <w:kern w:val="0"/>
          <w:sz w:val="24"/>
          <w:vertAlign w:val="superscript"/>
          <w:lang w:val="en-US" w:eastAsia="zh-CN"/>
        </w:rPr>
        <w:t>-7</w:t>
      </w:r>
      <w:r>
        <w:rPr>
          <w:rFonts w:hint="default" w:ascii="Times New Roman" w:hAnsi="Times New Roman" w:cs="Times New Roman"/>
          <w:color w:val="auto"/>
          <w:kern w:val="0"/>
          <w:sz w:val="24"/>
        </w:rPr>
        <w:t>cm/s。</w:t>
      </w:r>
    </w:p>
    <w:p w14:paraId="20FD5DB8">
      <w:pPr>
        <w:pStyle w:val="12"/>
        <w:ind w:left="0" w:leftChars="0" w:firstLine="480" w:firstLineChars="200"/>
        <w:rPr>
          <w:rFonts w:hint="default" w:ascii="Times New Roman" w:hAnsi="Times New Roman" w:eastAsia="宋体" w:cs="Times New Roman"/>
          <w:lang w:val="en-US" w:eastAsia="zh-CN"/>
        </w:rPr>
      </w:pPr>
      <w:r>
        <w:rPr>
          <w:rFonts w:hint="default" w:ascii="Times New Roman" w:hAnsi="Times New Roman" w:cs="Times New Roman"/>
          <w:color w:val="auto"/>
          <w:kern w:val="0"/>
          <w:sz w:val="24"/>
          <w:lang w:val="en-US" w:eastAsia="zh-CN"/>
        </w:rPr>
        <w:t>简单防渗区：</w:t>
      </w:r>
      <w:r>
        <w:rPr>
          <w:rFonts w:hint="default" w:ascii="Times New Roman" w:hAnsi="Times New Roman" w:eastAsia="宋体" w:cs="Times New Roman"/>
          <w:color w:val="auto"/>
          <w:sz w:val="24"/>
          <w:szCs w:val="24"/>
          <w:highlight w:val="none"/>
          <w:lang w:val="en-US" w:eastAsia="zh-CN" w:bidi="zh-CN"/>
        </w:rPr>
        <w:t>采用</w:t>
      </w:r>
      <w:r>
        <w:rPr>
          <w:rFonts w:hint="default" w:ascii="Times New Roman" w:hAnsi="Times New Roman" w:eastAsia="宋体" w:cs="Times New Roman"/>
          <w:color w:val="auto"/>
          <w:sz w:val="24"/>
          <w:szCs w:val="24"/>
          <w:highlight w:val="none"/>
          <w:lang w:val="zh-CN" w:eastAsia="zh-CN" w:bidi="zh-CN"/>
        </w:rPr>
        <w:t>混凝土硬化措施，满足防渗技术要求。</w:t>
      </w:r>
    </w:p>
    <w:p w14:paraId="774B6891">
      <w:pPr>
        <w:widowControl/>
        <w:shd w:val="clear" w:color="auto" w:fill="auto"/>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防治地下水污染的措施有：</w:t>
      </w:r>
    </w:p>
    <w:p w14:paraId="10D052B7">
      <w:pPr>
        <w:widowControl/>
        <w:shd w:val="clear" w:color="auto" w:fill="auto"/>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（1）主动措施</w:t>
      </w:r>
    </w:p>
    <w:p w14:paraId="6016DB0C">
      <w:pPr>
        <w:widowControl/>
        <w:shd w:val="clear" w:color="auto" w:fill="auto"/>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1 \* GB3 \* MERGEFORMAT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本工</w:t>
      </w:r>
      <w:r>
        <w:rPr>
          <w:rFonts w:hint="default" w:ascii="Times New Roman" w:hAnsi="Times New Roman" w:cs="Times New Roman"/>
          <w:color w:val="auto"/>
          <w:kern w:val="0"/>
          <w:sz w:val="24"/>
        </w:rPr>
        <w:t>程在生产工艺、设备、建筑结构、总图等方面应考虑相应的控制措施，具体措施如下：</w:t>
      </w:r>
    </w:p>
    <w:p w14:paraId="2E837417">
      <w:pPr>
        <w:widowControl/>
        <w:shd w:val="clear" w:color="auto" w:fill="auto"/>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废水收集池、</w:t>
      </w:r>
      <w:r>
        <w:rPr>
          <w:rFonts w:hint="eastAsia" w:ascii="Times New Roman" w:hAnsi="Times New Roman" w:cs="Times New Roman"/>
          <w:color w:val="auto"/>
          <w:kern w:val="0"/>
          <w:sz w:val="24"/>
          <w:lang w:eastAsia="zh-CN"/>
        </w:rPr>
        <w:t>安全填埋场</w:t>
      </w:r>
      <w:r>
        <w:rPr>
          <w:rFonts w:hint="default" w:ascii="Times New Roman" w:hAnsi="Times New Roman" w:cs="Times New Roman"/>
          <w:color w:val="auto"/>
          <w:kern w:val="0"/>
          <w:sz w:val="24"/>
          <w:lang w:eastAsia="zh-CN"/>
        </w:rPr>
        <w:t>、鸡粪发酵</w:t>
      </w:r>
      <w:r>
        <w:rPr>
          <w:rFonts w:hint="eastAsia" w:ascii="Times New Roman" w:hAnsi="Times New Roman" w:cs="Times New Roman"/>
          <w:color w:val="auto"/>
          <w:kern w:val="0"/>
          <w:sz w:val="24"/>
          <w:lang w:eastAsia="zh-CN"/>
        </w:rPr>
        <w:t>处理厂</w:t>
      </w:r>
      <w:r>
        <w:rPr>
          <w:rFonts w:hint="default" w:ascii="Times New Roman" w:hAnsi="Times New Roman" w:cs="Times New Roman"/>
          <w:color w:val="auto"/>
          <w:kern w:val="0"/>
          <w:sz w:val="24"/>
          <w:lang w:eastAsia="zh-CN"/>
        </w:rPr>
        <w:t>、医疗废物暂存间</w:t>
      </w:r>
      <w:r>
        <w:rPr>
          <w:rFonts w:hint="default" w:ascii="Times New Roman" w:hAnsi="Times New Roman" w:cs="Times New Roman"/>
          <w:color w:val="auto"/>
          <w:kern w:val="0"/>
          <w:sz w:val="24"/>
        </w:rPr>
        <w:t>易产生泄漏的重点区域、设备尽可能按其物料性质分类处置。</w:t>
      </w:r>
    </w:p>
    <w:p w14:paraId="78E97BE7">
      <w:pPr>
        <w:widowControl/>
        <w:shd w:val="clear" w:color="auto" w:fill="auto"/>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②设备装置系统内除输送消防水、生产用水和生活用水等非污染介质的管道外，管道上所有安装后不需拆卸的螺纹连接部位均应密封焊，</w:t>
      </w:r>
      <w:r>
        <w:rPr>
          <w:rFonts w:hint="default" w:ascii="Times New Roman" w:hAnsi="Times New Roman" w:cs="Times New Roman"/>
          <w:color w:val="auto"/>
          <w:kern w:val="0"/>
          <w:sz w:val="24"/>
          <w:lang w:eastAsia="zh-CN"/>
        </w:rPr>
        <w:t>其他需要</w:t>
      </w:r>
      <w:r>
        <w:rPr>
          <w:rFonts w:hint="default" w:ascii="Times New Roman" w:hAnsi="Times New Roman" w:cs="Times New Roman"/>
          <w:color w:val="auto"/>
          <w:kern w:val="0"/>
          <w:sz w:val="24"/>
        </w:rPr>
        <w:t>经常进行拆装或不允许密封焊的螺纹连接部位应有可靠的密封措施。对于含污染物的管道，除与阀门、仪表和设备等连接可采用法兰连接外，应优先采用焊接，管道应做明显的标志，按规范要求进行气密性试验。如确实需要地下敷设时，应采取必要的防渗措施。输送生产废水的压力管道宜采用地上敷设，输送含污染物的地下重力污水管道及附属构筑物，必须进行闭水试验，试验段不得有渗漏。对于所有含污染物的管道和设备日常使用的</w:t>
      </w:r>
      <w:r>
        <w:rPr>
          <w:rFonts w:hint="default" w:ascii="Times New Roman" w:hAnsi="Times New Roman" w:cs="Times New Roman"/>
          <w:color w:val="auto"/>
          <w:kern w:val="0"/>
          <w:sz w:val="24"/>
          <w:lang w:eastAsia="zh-CN"/>
        </w:rPr>
        <w:t>排污</w:t>
      </w:r>
      <w:r>
        <w:rPr>
          <w:rFonts w:hint="default" w:ascii="Times New Roman" w:hAnsi="Times New Roman" w:cs="Times New Roman"/>
          <w:color w:val="auto"/>
          <w:kern w:val="0"/>
          <w:sz w:val="24"/>
        </w:rPr>
        <w:t>口应配备法兰盖。</w:t>
      </w:r>
    </w:p>
    <w:p w14:paraId="2B5AF8B1">
      <w:pPr>
        <w:widowControl/>
        <w:shd w:val="clear" w:color="auto" w:fill="auto"/>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（2）被动措施</w:t>
      </w:r>
    </w:p>
    <w:p w14:paraId="50C315C6">
      <w:pPr>
        <w:widowControl/>
        <w:shd w:val="clear" w:color="auto" w:fill="auto"/>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防止地下水污染的被动控制措施即为地面防渗工程，全厂污染区参照相应标准要求铺设防渗层。</w:t>
      </w:r>
    </w:p>
    <w:p w14:paraId="577A4427">
      <w:pPr>
        <w:widowControl/>
        <w:shd w:val="clear" w:color="auto" w:fill="auto"/>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一般防渗层设计方案包括：项目按</w:t>
      </w:r>
      <w:r>
        <w:rPr>
          <w:rFonts w:hint="default" w:ascii="Times New Roman" w:hAnsi="Times New Roman" w:cs="Times New Roman"/>
          <w:color w:val="auto"/>
          <w:kern w:val="0"/>
          <w:sz w:val="24"/>
          <w:lang w:val="en-US" w:eastAsia="zh-CN"/>
        </w:rPr>
        <w:t>简单防渗</w:t>
      </w:r>
      <w:r>
        <w:rPr>
          <w:rFonts w:hint="default" w:ascii="Times New Roman" w:hAnsi="Times New Roman" w:cs="Times New Roman"/>
          <w:color w:val="auto"/>
          <w:kern w:val="0"/>
          <w:sz w:val="24"/>
        </w:rPr>
        <w:t>区、一般</w:t>
      </w:r>
      <w:r>
        <w:rPr>
          <w:rFonts w:hint="default" w:ascii="Times New Roman" w:hAnsi="Times New Roman" w:cs="Times New Roman"/>
          <w:color w:val="auto"/>
          <w:kern w:val="0"/>
          <w:sz w:val="24"/>
          <w:lang w:val="en-US" w:eastAsia="zh-CN"/>
        </w:rPr>
        <w:t>防渗</w:t>
      </w:r>
      <w:r>
        <w:rPr>
          <w:rFonts w:hint="default" w:ascii="Times New Roman" w:hAnsi="Times New Roman" w:cs="Times New Roman"/>
          <w:color w:val="auto"/>
          <w:kern w:val="0"/>
          <w:sz w:val="24"/>
        </w:rPr>
        <w:t>区、重点</w:t>
      </w:r>
      <w:r>
        <w:rPr>
          <w:rFonts w:hint="default" w:ascii="Times New Roman" w:hAnsi="Times New Roman" w:cs="Times New Roman"/>
          <w:color w:val="auto"/>
          <w:kern w:val="0"/>
          <w:sz w:val="24"/>
          <w:lang w:val="en-US" w:eastAsia="zh-CN"/>
        </w:rPr>
        <w:t>防渗</w:t>
      </w:r>
      <w:r>
        <w:rPr>
          <w:rFonts w:hint="default" w:ascii="Times New Roman" w:hAnsi="Times New Roman" w:cs="Times New Roman"/>
          <w:color w:val="auto"/>
          <w:kern w:val="0"/>
          <w:sz w:val="24"/>
        </w:rPr>
        <w:t>区分别采取不同等级的防渗措施。</w:t>
      </w:r>
      <w:r>
        <w:rPr>
          <w:rFonts w:hint="default" w:ascii="Times New Roman" w:hAnsi="Times New Roman" w:cs="Times New Roman"/>
          <w:color w:val="auto"/>
          <w:kern w:val="0"/>
          <w:sz w:val="24"/>
          <w:lang w:val="en-US" w:eastAsia="zh-CN"/>
        </w:rPr>
        <w:t>简单防渗</w:t>
      </w:r>
      <w:r>
        <w:rPr>
          <w:rFonts w:hint="default" w:ascii="Times New Roman" w:hAnsi="Times New Roman" w:cs="Times New Roman"/>
          <w:color w:val="auto"/>
          <w:kern w:val="0"/>
          <w:sz w:val="24"/>
        </w:rPr>
        <w:t>区包括办公楼、</w:t>
      </w:r>
      <w:r>
        <w:rPr>
          <w:rFonts w:hint="default" w:ascii="Times New Roman" w:hAnsi="Times New Roman" w:cs="Times New Roman"/>
          <w:color w:val="auto"/>
          <w:kern w:val="0"/>
          <w:sz w:val="24"/>
          <w:lang w:val="en-US" w:eastAsia="zh-CN"/>
        </w:rPr>
        <w:t>道路</w:t>
      </w:r>
      <w:r>
        <w:rPr>
          <w:rFonts w:hint="default" w:ascii="Times New Roman" w:hAnsi="Times New Roman" w:cs="Times New Roman"/>
          <w:color w:val="auto"/>
          <w:kern w:val="0"/>
          <w:sz w:val="24"/>
        </w:rPr>
        <w:t>区域，采取非铺砌地坪或普通混凝土地坪。</w:t>
      </w:r>
      <w:r>
        <w:rPr>
          <w:rFonts w:hint="default" w:ascii="Times New Roman" w:hAnsi="Times New Roman" w:cs="Times New Roman"/>
          <w:color w:val="auto"/>
          <w:kern w:val="0"/>
          <w:sz w:val="24"/>
          <w:lang w:val="en-US" w:eastAsia="zh-CN"/>
        </w:rPr>
        <w:t>一般防渗</w:t>
      </w:r>
      <w:r>
        <w:rPr>
          <w:rFonts w:hint="default" w:ascii="Times New Roman" w:hAnsi="Times New Roman" w:cs="Times New Roman"/>
          <w:color w:val="auto"/>
          <w:kern w:val="0"/>
          <w:sz w:val="24"/>
        </w:rPr>
        <w:t>区首先采取措施，切断泄漏粪污水流入非污染区的途径</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重点防治区在清场夯压的基础上铺设HDPE膜+混凝土进行防渗，污染防治区的地面坡向排水口，最小排水坡度不得小于5‰。防渗结构</w:t>
      </w:r>
      <w:r>
        <w:rPr>
          <w:rFonts w:hint="default" w:ascii="Times New Roman" w:hAnsi="Times New Roman" w:cs="Times New Roman"/>
          <w:color w:val="auto"/>
          <w:kern w:val="0"/>
          <w:sz w:val="24"/>
          <w:lang w:eastAsia="zh-CN"/>
        </w:rPr>
        <w:t>形式</w:t>
      </w:r>
      <w:r>
        <w:rPr>
          <w:rFonts w:hint="default" w:ascii="Times New Roman" w:hAnsi="Times New Roman" w:cs="Times New Roman"/>
          <w:color w:val="auto"/>
          <w:kern w:val="0"/>
          <w:sz w:val="24"/>
        </w:rPr>
        <w:t>通常有天然防渗结构、刚性防渗结构、柔性防渗结构和复合防渗结构等。</w:t>
      </w:r>
    </w:p>
    <w:p w14:paraId="59756479">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（3）地下水污染监控</w:t>
      </w:r>
    </w:p>
    <w:p w14:paraId="73F046A7">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根据《地下水环境监测技术规范》HJ164-20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以及《环境影响评价技术导则地下水》（HJ610-2016）的要求，三级评价的建设项目，地下水跟踪监测点一般不少于1个</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地下水流向为东南向西北</w:t>
      </w:r>
      <w:r>
        <w:rPr>
          <w:rFonts w:hint="default" w:ascii="Times New Roman" w:hAnsi="Times New Roman" w:cs="Times New Roman"/>
          <w:color w:val="auto"/>
          <w:sz w:val="24"/>
        </w:rPr>
        <w:t>。</w:t>
      </w:r>
    </w:p>
    <w:p w14:paraId="06A82795">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本项目建立地下水监控制度和环境管理体系、制定监测计划、配备必要的检测仪器和设备，以便及时发现问题，及时采取措施。每年监测一次，监测因子为：K</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、Na</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、Ca</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、Mg</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、CO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、HCO</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、Cl</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4</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；pH、氨氮、耗氧量（COD</w:t>
      </w:r>
      <w:r>
        <w:rPr>
          <w:rFonts w:hint="default" w:ascii="Times New Roman" w:hAnsi="Times New Roman" w:cs="Times New Roman"/>
          <w:color w:val="auto"/>
          <w:sz w:val="24"/>
          <w:vertAlign w:val="subscript"/>
        </w:rPr>
        <w:t>Mn</w:t>
      </w:r>
      <w:r>
        <w:rPr>
          <w:rFonts w:hint="default" w:ascii="Times New Roman" w:hAnsi="Times New Roman" w:cs="Times New Roman"/>
          <w:color w:val="auto"/>
          <w:sz w:val="24"/>
        </w:rPr>
        <w:t>法，以O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计）、氯化物、硝酸盐、亚硝酸盐、总大肠菌群、溶解性总固体、挥发性酚类、总硬度、砷、铬（六价）、铅、硫酸盐</w:t>
      </w:r>
      <w:r>
        <w:rPr>
          <w:rFonts w:hint="default" w:ascii="Times New Roman" w:hAnsi="Times New Roman" w:cs="Times New Roman"/>
          <w:color w:val="auto"/>
          <w:sz w:val="24"/>
          <w:lang w:val="en-US" w:eastAsia="zh-CN"/>
        </w:rPr>
        <w:t>等</w:t>
      </w:r>
      <w:r>
        <w:rPr>
          <w:rFonts w:hint="default" w:ascii="Times New Roman" w:hAnsi="Times New Roman" w:cs="Times New Roman"/>
          <w:color w:val="auto"/>
          <w:sz w:val="24"/>
        </w:rPr>
        <w:t>。</w:t>
      </w:r>
    </w:p>
    <w:p w14:paraId="347A2E25">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highlight w:val="none"/>
        </w:rPr>
        <w:t>本项目建立地下水环境监测管理体系，在</w:t>
      </w:r>
      <w:r>
        <w:rPr>
          <w:rFonts w:hint="default" w:ascii="Times New Roman" w:hAnsi="Times New Roman" w:cs="Times New Roman"/>
          <w:color w:val="auto"/>
          <w:sz w:val="24"/>
          <w:highlight w:val="none"/>
          <w:lang w:eastAsia="zh-CN"/>
        </w:rPr>
        <w:t>项目</w:t>
      </w:r>
      <w:r>
        <w:rPr>
          <w:rFonts w:hint="default" w:ascii="Times New Roman" w:hAnsi="Times New Roman" w:cs="Times New Roman"/>
          <w:color w:val="auto"/>
          <w:sz w:val="24"/>
          <w:highlight w:val="none"/>
        </w:rPr>
        <w:t>区布设1个监测点位，</w:t>
      </w:r>
      <w:r>
        <w:rPr>
          <w:rFonts w:hint="default" w:ascii="Times New Roman" w:hAnsi="Times New Roman" w:cs="Times New Roman"/>
          <w:color w:val="auto"/>
          <w:sz w:val="24"/>
          <w:lang w:val="en-US" w:eastAsia="zh-CN"/>
        </w:rPr>
        <w:t>跟踪监测点位于场址下游，</w:t>
      </w:r>
      <w:r>
        <w:rPr>
          <w:rFonts w:hint="default" w:ascii="Times New Roman" w:hAnsi="Times New Roman" w:eastAsia="宋体" w:cs="Times New Roman"/>
          <w:color w:val="auto"/>
          <w:sz w:val="24"/>
          <w:szCs w:val="24"/>
          <w:lang w:val="en-US" w:eastAsia="zh-CN"/>
        </w:rPr>
        <w:t>地下水稳定水位为20～200m，井深至潜水层，监测层为表层潜水，井结构为圆形竖直井，可根据实际情况适当调整</w:t>
      </w:r>
      <w:r>
        <w:rPr>
          <w:rFonts w:hint="default" w:ascii="Times New Roman" w:hAnsi="Times New Roman" w:eastAsia="宋体" w:cs="Times New Roman"/>
          <w:color w:val="auto"/>
          <w:sz w:val="24"/>
        </w:rPr>
        <w:t>。</w:t>
      </w:r>
      <w:r>
        <w:rPr>
          <w:rFonts w:hint="default" w:ascii="Times New Roman" w:hAnsi="Times New Roman" w:cs="Times New Roman"/>
          <w:color w:val="auto"/>
          <w:sz w:val="24"/>
        </w:rPr>
        <w:t>日常做好监测井的管理和维护工作。</w:t>
      </w:r>
    </w:p>
    <w:p w14:paraId="75AC4E1F">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（4）应急处置</w:t>
      </w:r>
    </w:p>
    <w:p w14:paraId="0974A579">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①当发生异常情况，需要马上采取紧急措施。</w:t>
      </w:r>
    </w:p>
    <w:p w14:paraId="322F1FB0">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②当发生异常情况时，按照制定的环境事故应急预案，启动应急预案。在第一时间内尽快上报主管领导，启动周围社会预案，密切关注地下水水质变化情况。</w:t>
      </w:r>
    </w:p>
    <w:p w14:paraId="36A9FCDE">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③组织专业队伍负责查找环境事故发生地点，分析事故原因，尽量将紧急事故局部化，如可能应予以消除，尽量缩小环境事故对人和财产的影响。减低事故后果的手段，包括切断生产装置或设施。</w:t>
      </w:r>
    </w:p>
    <w:p w14:paraId="4489B367">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④对事故现场进行调查、监测、处理。对事故后果进行评估，采取紧急措施制止事故的扩散，扩大，并制定防止类似事件发生的措施。</w:t>
      </w:r>
    </w:p>
    <w:p w14:paraId="25CBA7E6">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⑤如果本公司力量不足，需要请求社会应急力量协助。</w:t>
      </w:r>
    </w:p>
    <w:p w14:paraId="6A484442">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（5）应急预案</w:t>
      </w:r>
    </w:p>
    <w:p w14:paraId="3E1F9B3F">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①土壤地下水污染事故的应急措施应在制定的安全管理体制的基础上，</w:t>
      </w:r>
      <w:r>
        <w:rPr>
          <w:rFonts w:hint="default" w:ascii="Times New Roman" w:hAnsi="Times New Roman" w:cs="Times New Roman"/>
          <w:color w:val="auto"/>
          <w:sz w:val="24"/>
          <w:lang w:eastAsia="zh-CN"/>
        </w:rPr>
        <w:t>与其他</w:t>
      </w:r>
      <w:r>
        <w:rPr>
          <w:rFonts w:hint="default" w:ascii="Times New Roman" w:hAnsi="Times New Roman" w:cs="Times New Roman"/>
          <w:color w:val="auto"/>
          <w:sz w:val="24"/>
        </w:rPr>
        <w:t>应急预案相协调。</w:t>
      </w:r>
    </w:p>
    <w:p w14:paraId="255FDDFB">
      <w:pPr>
        <w:pStyle w:val="10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②应急预案应包括以下内容：应急预案的制定机构；应急预案的日常协调和指挥机构；相关部门在应急预案中的职责和分工；地下水环境保护目标的确定和潜在污染可能性评估；应急救援组织状况和人员，装备情况。应急救援组织的训练和演习；特大环境事故的紧急处置措施，工程抢险措施，现场医疗急救措施。特大环境事故的社会支持和援助；特大环境事故应急救援的经费保障。</w:t>
      </w:r>
    </w:p>
    <w:p w14:paraId="04745329">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32"/>
        </w:rPr>
        <w:t>通过采取以上措施，本项目对可能产生地下水影响的各项途径均</w:t>
      </w:r>
      <w:r>
        <w:rPr>
          <w:rFonts w:hint="default" w:ascii="Times New Roman" w:hAnsi="Times New Roman" w:cs="Times New Roman"/>
          <w:color w:val="auto"/>
          <w:sz w:val="24"/>
          <w:szCs w:val="32"/>
          <w:lang w:eastAsia="zh-CN"/>
        </w:rPr>
        <w:t>进行有效地</w:t>
      </w:r>
      <w:r>
        <w:rPr>
          <w:rFonts w:hint="default" w:ascii="Times New Roman" w:hAnsi="Times New Roman" w:cs="Times New Roman"/>
          <w:color w:val="auto"/>
          <w:sz w:val="24"/>
          <w:szCs w:val="32"/>
        </w:rPr>
        <w:t>预防</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rPr>
        <w:t>确保各项防渗措施得以落实。并加强维护，在厂区环境管理的前提下，可以有效地控制厂区内污染物的下渗现象，避免污染地下水。因此，该项目不会对区域地下水环境产生明显影响。</w:t>
      </w:r>
    </w:p>
    <w:p w14:paraId="1F88D54F">
      <w:pPr>
        <w:pStyle w:val="5"/>
        <w:bidi w:val="0"/>
        <w:rPr>
          <w:rFonts w:hint="default" w:ascii="Times New Roman" w:hAnsi="Times New Roman" w:cs="Times New Roman"/>
          <w:color w:val="auto"/>
        </w:rPr>
      </w:pPr>
      <w:r>
        <w:rPr>
          <w:rFonts w:hint="default" w:ascii="Times New Roman" w:hAnsi="Times New Roman" w:cs="Times New Roman"/>
          <w:color w:val="auto"/>
        </w:rPr>
        <w:t>运行管理要求</w:t>
      </w:r>
    </w:p>
    <w:p w14:paraId="65C0838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畜禽养殖行业排污单位应根据养殖品种、养殖量、养殖方式等合理确定废水处理工艺及设施参数，应当按照相关法律法规、标准和技术规范等要求运行废水处理设施，并进行维护和管理，保证设施正常运行。</w:t>
      </w:r>
    </w:p>
    <w:p w14:paraId="769B359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（2）畜禽养殖行业排污单位必须实行严格的雨污分流措施。</w:t>
      </w:r>
    </w:p>
    <w:p w14:paraId="1F32288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（3）畜禽养殖行业排污单位应加强生产节水管理，提高废水的循环利用率，减少污水排放量。</w:t>
      </w:r>
    </w:p>
    <w:p w14:paraId="4BD8C106">
      <w:pPr>
        <w:pStyle w:val="5"/>
        <w:bidi w:val="0"/>
        <w:rPr>
          <w:rFonts w:hint="default" w:ascii="Times New Roman" w:hAnsi="Times New Roman" w:cs="Times New Roman"/>
        </w:rPr>
      </w:pPr>
      <w:r>
        <w:rPr>
          <w:rFonts w:hint="default" w:ascii="Times New Roman" w:hAnsi="Times New Roman" w:cs="Times New Roman"/>
        </w:rPr>
        <w:t>经济可行性分析</w:t>
      </w:r>
    </w:p>
    <w:p w14:paraId="2311321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本项目废水污染治理措施投资约</w:t>
      </w:r>
      <w:r>
        <w:rPr>
          <w:rFonts w:hint="default"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rPr>
        <w:t>万元，项目环保投资在建设单位可承受 范围内。项目采用上述治理措施后可有效减少废水中的污染物，减轻对附近水体的影响，产生较好的经济和环境效益。综上所述，本项目废水治理措施在经济上是可行的。</w:t>
      </w:r>
    </w:p>
    <w:p w14:paraId="3BD34B8A">
      <w:pPr>
        <w:pStyle w:val="4"/>
        <w:bidi w:val="0"/>
        <w:rPr>
          <w:rFonts w:hint="default" w:ascii="Times New Roman" w:hAnsi="Times New Roman" w:cs="Times New Roman"/>
          <w:color w:val="auto"/>
        </w:rPr>
      </w:pPr>
      <w:r>
        <w:rPr>
          <w:rFonts w:hint="default" w:ascii="Times New Roman" w:hAnsi="Times New Roman" w:cs="Times New Roman"/>
          <w:color w:val="auto"/>
        </w:rPr>
        <w:t>噪声防治措施可行性分析</w:t>
      </w:r>
    </w:p>
    <w:p w14:paraId="2BA9D692">
      <w:pPr>
        <w:autoSpaceDE w:val="0"/>
        <w:autoSpaceDN w:val="0"/>
        <w:spacing w:line="360" w:lineRule="auto"/>
        <w:ind w:firstLine="573"/>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本项目噪声源主要为生产设备运行时产生的噪声，噪声源强为70~85dB（A)。噪声防治应首先考虑选用低噪声设备，其次是采用减振、消声等降噪措施，降低其噪声对周围环境的影响。本项目拟采用的降噪措施如下：</w:t>
      </w:r>
    </w:p>
    <w:p w14:paraId="7DC2BA48">
      <w:pPr>
        <w:autoSpaceDE w:val="0"/>
        <w:autoSpaceDN w:val="0"/>
        <w:spacing w:line="360" w:lineRule="auto"/>
        <w:ind w:firstLine="573"/>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（1）在设备选型上，优先选用低噪声设备。</w:t>
      </w:r>
    </w:p>
    <w:p w14:paraId="75BEE1FA">
      <w:pPr>
        <w:autoSpaceDE w:val="0"/>
        <w:autoSpaceDN w:val="0"/>
        <w:spacing w:line="360" w:lineRule="auto"/>
        <w:ind w:firstLine="573"/>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（2）设备定期维护，确保设备运行状态良好，避免设备不正常运转产生的高噪声现象。</w:t>
      </w:r>
    </w:p>
    <w:p w14:paraId="13DBE7BB">
      <w:pPr>
        <w:autoSpaceDE w:val="0"/>
        <w:autoSpaceDN w:val="0"/>
        <w:spacing w:line="360" w:lineRule="auto"/>
        <w:ind w:firstLine="573"/>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（3）运输车辆应配备低音喇叭，在场区内做到不鸣或少鸣笛，以减轻交通噪声对场区周围区域的影响。</w:t>
      </w:r>
    </w:p>
    <w:p w14:paraId="23A6DDD2">
      <w:pPr>
        <w:autoSpaceDE w:val="0"/>
        <w:autoSpaceDN w:val="0"/>
        <w:spacing w:line="360" w:lineRule="auto"/>
        <w:ind w:firstLine="573"/>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本项目噪声评价范围内无居民、医院、学校等声环境敏感点，不会对周围环境造成影响。</w:t>
      </w:r>
    </w:p>
    <w:p w14:paraId="2C56A9BA">
      <w:pPr>
        <w:autoSpaceDE w:val="0"/>
        <w:autoSpaceDN w:val="0"/>
        <w:spacing w:line="360" w:lineRule="auto"/>
        <w:ind w:firstLine="573"/>
        <w:rPr>
          <w:rFonts w:hint="default" w:ascii="Times New Roman" w:hAnsi="Times New Roman" w:cs="Times New Roman"/>
          <w:color w:val="auto"/>
          <w:sz w:val="24"/>
          <w:highlight w:val="none"/>
        </w:rPr>
      </w:pPr>
      <w:r>
        <w:rPr>
          <w:rFonts w:hint="default" w:ascii="Times New Roman" w:hAnsi="Times New Roman" w:cs="Times New Roman"/>
          <w:color w:val="auto"/>
          <w:sz w:val="24"/>
          <w:lang w:val="en-US" w:eastAsia="zh-CN"/>
        </w:rPr>
        <w:t>上述噪声控制技术都已经较为成熟，通过采取各项减振、隔声等综合治理措施，从技术角度上讲，完全可以满足噪声防治的需要，使</w:t>
      </w:r>
      <w:r>
        <w:rPr>
          <w:rFonts w:hint="eastAsia" w:ascii="Times New Roman" w:hAnsi="Times New Roman" w:cs="Times New Roman"/>
          <w:color w:val="auto"/>
          <w:sz w:val="24"/>
          <w:lang w:val="en-US" w:eastAsia="zh-CN"/>
        </w:rPr>
        <w:t>厂</w:t>
      </w:r>
      <w:r>
        <w:rPr>
          <w:rFonts w:hint="default" w:ascii="Times New Roman" w:hAnsi="Times New Roman" w:cs="Times New Roman"/>
          <w:color w:val="auto"/>
          <w:sz w:val="24"/>
          <w:lang w:val="en-US" w:eastAsia="zh-CN"/>
        </w:rPr>
        <w:t>界噪声满足《工业企业厂界环境噪声排放标准》（GB12348-2008）中的2类区标准。因此，本项</w:t>
      </w:r>
      <w:r>
        <w:rPr>
          <w:rFonts w:hint="default" w:ascii="Times New Roman" w:hAnsi="Times New Roman" w:cs="Times New Roman"/>
          <w:color w:val="auto"/>
          <w:sz w:val="24"/>
          <w:highlight w:val="none"/>
          <w:lang w:val="en-US" w:eastAsia="zh-CN"/>
        </w:rPr>
        <w:t>目拟采取的噪声防治措施可行。</w:t>
      </w:r>
    </w:p>
    <w:p w14:paraId="71AB6EB2">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固废防治措施可行性分析</w:t>
      </w:r>
    </w:p>
    <w:p w14:paraId="3DB71A27">
      <w:pPr>
        <w:pStyle w:val="5"/>
        <w:bidi w:val="0"/>
        <w:rPr>
          <w:rFonts w:hint="default" w:ascii="Times New Roman" w:hAnsi="Times New Roman" w:cs="Times New Roman"/>
        </w:rPr>
      </w:pPr>
      <w:r>
        <w:rPr>
          <w:rFonts w:hint="default" w:ascii="Times New Roman" w:hAnsi="Times New Roman" w:cs="Times New Roman"/>
          <w:lang w:eastAsia="zh-CN"/>
        </w:rPr>
        <w:t>鸡</w:t>
      </w:r>
      <w:r>
        <w:rPr>
          <w:rFonts w:hint="default" w:ascii="Times New Roman" w:hAnsi="Times New Roman" w:cs="Times New Roman"/>
        </w:rPr>
        <w:t>粪</w:t>
      </w:r>
    </w:p>
    <w:p w14:paraId="77F0C76E">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lang w:val="en-US" w:eastAsia="zh-CN"/>
        </w:rPr>
      </w:pPr>
      <w:r>
        <w:rPr>
          <w:rFonts w:hint="default" w:ascii="Times New Roman" w:hAnsi="Times New Roman" w:cs="Times New Roman"/>
          <w:color w:val="FF0000"/>
          <w:sz w:val="24"/>
          <w:szCs w:val="24"/>
          <w:lang w:val="en-US" w:eastAsia="zh-CN"/>
        </w:rPr>
        <w:t>根据《排污许可证申请与核发技术规范畜禽养殖行业》（HJ1029-2019）中表9，蛋鸡粪便产生量为0.13kg/d·只。</w:t>
      </w:r>
    </w:p>
    <w:p w14:paraId="5B4BC024">
      <w:pPr>
        <w:spacing w:line="360" w:lineRule="auto"/>
        <w:ind w:firstLine="480"/>
        <w:jc w:val="both"/>
        <w:rPr>
          <w:rFonts w:hint="default" w:ascii="Times New Roman" w:hAnsi="Times New Roman" w:cs="Times New Roman"/>
          <w:color w:val="FF0000"/>
          <w:sz w:val="24"/>
          <w:lang w:val="en-US" w:eastAsia="zh-CN"/>
        </w:rPr>
      </w:pPr>
      <w:r>
        <w:rPr>
          <w:rFonts w:hint="default" w:ascii="Times New Roman" w:hAnsi="Times New Roman" w:eastAsia="宋体" w:cs="Times New Roman"/>
          <w:color w:val="FF0000"/>
          <w:sz w:val="24"/>
          <w:szCs w:val="24"/>
        </w:rPr>
        <w:t>本项目育雏鸡、育成鸡的鸡粪产生系数、鸡粪中总氮含量按其饲养周期和体重参考产蛋鸡的系数进行折算（根据建设单位提供的饲养数据，项目所饲养的鸡种，雏鸡饲养周期的平均体重约380g，育成鸡饲养周期的平均体重为860g，产蛋鸡平均体重为1250g），则育雏鸡的鸡粪产生系数为0.04kg/d·只。</w:t>
      </w:r>
    </w:p>
    <w:p w14:paraId="17B98895">
      <w:pPr>
        <w:spacing w:line="360" w:lineRule="auto"/>
        <w:ind w:firstLine="48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养殖场全年蛋鸡和</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存栏量分别为30万羽，则项目</w:t>
      </w:r>
      <w:r>
        <w:rPr>
          <w:rFonts w:hint="default" w:ascii="Times New Roman" w:hAnsi="Times New Roman" w:eastAsia="宋体" w:cs="Times New Roman"/>
          <w:color w:val="FF0000"/>
          <w:sz w:val="24"/>
          <w:szCs w:val="24"/>
          <w:lang w:val="en-US" w:eastAsia="zh-CN"/>
        </w:rPr>
        <w:t>育雏鸡</w:t>
      </w:r>
      <w:r>
        <w:rPr>
          <w:rFonts w:hint="default" w:ascii="Times New Roman" w:hAnsi="Times New Roman" w:cs="Times New Roman"/>
          <w:color w:val="FF0000"/>
          <w:sz w:val="24"/>
          <w:lang w:val="en-US" w:eastAsia="zh-CN"/>
        </w:rPr>
        <w:t>鸡粪产生量为4380t/a，蛋鸡鸡粪产生量为14235t/a，鸡粪总量为18615t/a。</w:t>
      </w:r>
    </w:p>
    <w:p w14:paraId="26F916A6">
      <w:pPr>
        <w:pStyle w:val="16"/>
        <w:bidi w:val="0"/>
        <w:rPr>
          <w:rFonts w:hint="default" w:ascii="Times New Roman" w:hAnsi="Times New Roman" w:cs="Times New Roman"/>
          <w:color w:val="FF0000"/>
          <w:sz w:val="24"/>
          <w:szCs w:val="24"/>
          <w:lang w:val="en-US" w:eastAsia="zh-CN"/>
        </w:rPr>
      </w:pPr>
      <w:r>
        <w:rPr>
          <w:rFonts w:hint="default" w:ascii="Times New Roman" w:hAnsi="Times New Roman" w:cs="Times New Roman"/>
          <w:color w:val="FF0000"/>
          <w:sz w:val="24"/>
          <w:szCs w:val="24"/>
          <w:lang w:eastAsia="zh-CN"/>
        </w:rPr>
        <w:t>本项目采取干清粪工艺，每栋鸡舍均设自动清粪系统，鸡舍内设横斜向</w:t>
      </w:r>
      <w:r>
        <w:rPr>
          <w:rFonts w:hint="eastAsia" w:ascii="Times New Roman" w:hAnsi="Times New Roman" w:cs="Times New Roman"/>
          <w:color w:val="FF0000"/>
          <w:sz w:val="24"/>
          <w:szCs w:val="24"/>
          <w:lang w:eastAsia="zh-CN"/>
        </w:rPr>
        <w:t>粪便传送带</w:t>
      </w:r>
      <w:r>
        <w:rPr>
          <w:rFonts w:hint="default" w:ascii="Times New Roman" w:hAnsi="Times New Roman" w:cs="Times New Roman"/>
          <w:color w:val="FF0000"/>
          <w:sz w:val="24"/>
          <w:szCs w:val="24"/>
          <w:lang w:eastAsia="zh-CN"/>
        </w:rPr>
        <w:t>，鸡排出的粪便主要通过清粪机进入横向</w:t>
      </w:r>
      <w:r>
        <w:rPr>
          <w:rFonts w:hint="eastAsia" w:ascii="Times New Roman" w:hAnsi="Times New Roman" w:cs="Times New Roman"/>
          <w:color w:val="FF0000"/>
          <w:sz w:val="24"/>
          <w:szCs w:val="24"/>
          <w:lang w:eastAsia="zh-CN"/>
        </w:rPr>
        <w:t>粪便传送带</w:t>
      </w:r>
      <w:r>
        <w:rPr>
          <w:rFonts w:hint="default" w:ascii="Times New Roman" w:hAnsi="Times New Roman" w:cs="Times New Roman"/>
          <w:color w:val="FF0000"/>
          <w:sz w:val="24"/>
          <w:szCs w:val="24"/>
          <w:lang w:eastAsia="zh-CN"/>
        </w:rPr>
        <w:t>内，传输至清粪房再通过斜向</w:t>
      </w:r>
      <w:r>
        <w:rPr>
          <w:rFonts w:hint="eastAsia" w:ascii="Times New Roman" w:hAnsi="Times New Roman" w:cs="Times New Roman"/>
          <w:color w:val="FF0000"/>
          <w:sz w:val="24"/>
          <w:szCs w:val="24"/>
          <w:lang w:eastAsia="zh-CN"/>
        </w:rPr>
        <w:t>粪便传送带</w:t>
      </w:r>
      <w:r>
        <w:rPr>
          <w:rFonts w:hint="default" w:ascii="Times New Roman" w:hAnsi="Times New Roman" w:cs="Times New Roman"/>
          <w:color w:val="FF0000"/>
          <w:sz w:val="24"/>
          <w:szCs w:val="24"/>
          <w:lang w:eastAsia="zh-CN"/>
        </w:rPr>
        <w:t>进入鸡粪发酵</w:t>
      </w:r>
      <w:r>
        <w:rPr>
          <w:rFonts w:hint="eastAsia" w:ascii="Times New Roman" w:hAnsi="Times New Roman" w:cs="Times New Roman"/>
          <w:color w:val="FF0000"/>
          <w:sz w:val="24"/>
          <w:szCs w:val="24"/>
          <w:lang w:eastAsia="zh-CN"/>
        </w:rPr>
        <w:t>处理厂</w:t>
      </w:r>
      <w:r>
        <w:rPr>
          <w:rFonts w:hint="default" w:ascii="Times New Roman" w:hAnsi="Times New Roman" w:cs="Times New Roman"/>
          <w:color w:val="FF0000"/>
          <w:sz w:val="24"/>
          <w:szCs w:val="24"/>
          <w:lang w:eastAsia="zh-CN"/>
        </w:rPr>
        <w:t>，发酵处理后，鸡粪的转化率为80%，则有机肥的产量为</w:t>
      </w:r>
      <w:r>
        <w:rPr>
          <w:rFonts w:hint="default" w:ascii="Times New Roman" w:hAnsi="Times New Roman" w:cs="Times New Roman"/>
          <w:color w:val="FF0000"/>
          <w:sz w:val="24"/>
          <w:szCs w:val="24"/>
          <w:lang w:val="en-US" w:eastAsia="zh-CN"/>
        </w:rPr>
        <w:t>14892t/a</w:t>
      </w:r>
      <w:r>
        <w:rPr>
          <w:rFonts w:hint="default" w:ascii="Times New Roman" w:hAnsi="Times New Roman" w:cs="Times New Roman"/>
          <w:color w:val="FF0000"/>
          <w:sz w:val="24"/>
          <w:szCs w:val="24"/>
          <w:lang w:eastAsia="zh-CN"/>
        </w:rPr>
        <w:t>，外售农户综合利用</w:t>
      </w:r>
      <w:r>
        <w:rPr>
          <w:rFonts w:hint="default" w:ascii="Times New Roman" w:hAnsi="Times New Roman" w:cs="Times New Roman"/>
          <w:color w:val="FF0000"/>
          <w:sz w:val="24"/>
          <w:szCs w:val="24"/>
          <w:lang w:val="en-US" w:eastAsia="zh-CN"/>
        </w:rPr>
        <w:t>。</w:t>
      </w:r>
    </w:p>
    <w:p w14:paraId="6CAB8660">
      <w:pPr>
        <w:pStyle w:val="16"/>
        <w:bidi w:val="0"/>
        <w:rPr>
          <w:rFonts w:hint="default" w:ascii="Times New Roman" w:hAnsi="Times New Roman" w:cs="Times New Roman"/>
          <w:color w:val="FF0000"/>
          <w:sz w:val="24"/>
          <w:szCs w:val="24"/>
        </w:rPr>
      </w:pPr>
      <w:r>
        <w:rPr>
          <w:rFonts w:hint="default" w:ascii="Times New Roman" w:hAnsi="Times New Roman" w:cs="Times New Roman"/>
          <w:color w:val="FF0000"/>
          <w:lang w:val="en-US" w:eastAsia="zh-CN"/>
        </w:rPr>
        <w:t>根据《畜禽粪污土地承载力测算技术指南》本项目规模养殖场氮养分配套土地面积649.52hm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，磷养分配套土地面积457.2hm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，北屯市有10万亩玉米（66670000hm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），项目周边拥有的土地面积大于需要的面积，因此本项目产生的粪污可以被周边农作物充分消纳。</w:t>
      </w:r>
    </w:p>
    <w:p w14:paraId="0CA84934">
      <w:pPr>
        <w:pStyle w:val="5"/>
        <w:bidi w:val="0"/>
        <w:rPr>
          <w:rFonts w:hint="default" w:ascii="Times New Roman" w:hAnsi="Times New Roman" w:cs="Times New Roman"/>
          <w:lang w:eastAsia="zh-CN"/>
        </w:rPr>
      </w:pPr>
      <w:r>
        <w:rPr>
          <w:rFonts w:hint="default" w:ascii="Times New Roman" w:hAnsi="Times New Roman" w:cs="Times New Roman"/>
        </w:rPr>
        <w:t>病死</w:t>
      </w:r>
      <w:r>
        <w:rPr>
          <w:rFonts w:hint="default" w:ascii="Times New Roman" w:hAnsi="Times New Roman" w:cs="Times New Roman"/>
          <w:lang w:eastAsia="zh-CN"/>
        </w:rPr>
        <w:t>鸡</w:t>
      </w:r>
    </w:p>
    <w:p w14:paraId="16F10A31">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cs="Times New Roman"/>
          <w:color w:val="FF0000"/>
          <w:sz w:val="24"/>
          <w:szCs w:val="24"/>
          <w:lang w:val="en-US" w:eastAsia="zh-CN"/>
        </w:rPr>
        <w:t>根据《规模化畜禽养殖场环境影响评价与实例研究》（农业环境科学学报）文献中，一般情况下规模化养鸡场病死鸡控制在0.1%~0.2%，本项目鸡舍采用国内先进养殖设备，专业化养殖团队，鸡只死亡率可控制在0.1%，则本项目年病死鸡为600只，以鸡只平均重量1.5kg/只计，约为0.9t/a。</w:t>
      </w:r>
    </w:p>
    <w:p w14:paraId="269CFFED">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highlight w:val="yellow"/>
        </w:rPr>
      </w:pPr>
      <w:r>
        <w:rPr>
          <w:rFonts w:hint="default" w:ascii="Times New Roman" w:hAnsi="Times New Roman" w:cs="Times New Roman"/>
          <w:color w:val="FF0000"/>
          <w:sz w:val="24"/>
          <w:szCs w:val="24"/>
          <w:lang w:val="en-US" w:eastAsia="zh-CN"/>
        </w:rPr>
        <w:t>根据《畜禽养殖业污染防治技术规范》（HJ/T81-2001）、《畜禽养殖业污染治理工程技术规范》（HJ497-2009）及《病死及病害动物无害化处理技术规范》（农医发〔2017〕25号）中的相关规定和要求，病死鸡尸体应及时进行无害化处理，本项目采用</w:t>
      </w:r>
      <w:r>
        <w:rPr>
          <w:rFonts w:hint="eastAsia" w:ascii="Times New Roman" w:hAnsi="Times New Roman" w:cs="Times New Roman"/>
          <w:color w:val="FF0000"/>
          <w:sz w:val="24"/>
          <w:szCs w:val="24"/>
          <w:lang w:val="en-US" w:eastAsia="zh-CN"/>
        </w:rPr>
        <w:t>安全填埋场</w:t>
      </w:r>
      <w:r>
        <w:rPr>
          <w:rFonts w:hint="default" w:ascii="Times New Roman" w:hAnsi="Times New Roman" w:cs="Times New Roman"/>
          <w:color w:val="FF0000"/>
          <w:sz w:val="24"/>
          <w:szCs w:val="24"/>
          <w:lang w:val="en-US" w:eastAsia="zh-CN"/>
        </w:rPr>
        <w:t>处置方式，在项目区东南侧设置安全填埋井1座，采用混凝土结构，井底及四周做重点防渗层，防渗要求：等效黏土防渗层Mb≥6.0m，k≤1.0×10</w:t>
      </w:r>
      <w:r>
        <w:rPr>
          <w:rFonts w:hint="default" w:ascii="Times New Roman" w:hAnsi="Times New Roman" w:cs="Times New Roman"/>
          <w:color w:val="FF0000"/>
          <w:sz w:val="24"/>
          <w:szCs w:val="24"/>
          <w:vertAlign w:val="superscript"/>
          <w:lang w:val="en-US" w:eastAsia="zh-CN"/>
        </w:rPr>
        <w:t>-7</w:t>
      </w:r>
      <w:r>
        <w:rPr>
          <w:rFonts w:hint="default" w:ascii="Times New Roman" w:hAnsi="Times New Roman" w:cs="Times New Roman"/>
          <w:color w:val="FF0000"/>
          <w:sz w:val="24"/>
          <w:szCs w:val="24"/>
          <w:lang w:val="en-US" w:eastAsia="zh-CN"/>
        </w:rPr>
        <w:t>cm/s；或参照GB18598执行。</w:t>
      </w:r>
      <w:r>
        <w:rPr>
          <w:rFonts w:hint="eastAsia" w:ascii="Times New Roman" w:hAnsi="Times New Roman" w:cs="Times New Roman"/>
          <w:color w:val="FF0000"/>
          <w:sz w:val="24"/>
          <w:szCs w:val="24"/>
          <w:lang w:val="en-US" w:eastAsia="zh-CN"/>
        </w:rPr>
        <w:t>安全填埋场</w:t>
      </w:r>
      <w:r>
        <w:rPr>
          <w:rFonts w:hint="default" w:ascii="Times New Roman" w:hAnsi="Times New Roman" w:cs="Times New Roman"/>
          <w:color w:val="FF0000"/>
          <w:sz w:val="24"/>
          <w:szCs w:val="24"/>
          <w:lang w:val="en-US" w:eastAsia="zh-CN"/>
        </w:rPr>
        <w:t>尺寸为</w:t>
      </w:r>
      <w:r>
        <w:rPr>
          <w:rFonts w:hint="default" w:ascii="Times New Roman" w:hAnsi="Times New Roman" w:cs="Times New Roman"/>
          <w:color w:val="FF0000"/>
          <w:sz w:val="24"/>
          <w:szCs w:val="24"/>
          <w:highlight w:val="none"/>
          <w:lang w:val="en-US" w:eastAsia="zh-CN"/>
        </w:rPr>
        <w:t>：长3m×宽3m×深2m（18m</w:t>
      </w:r>
      <w:r>
        <w:rPr>
          <w:rFonts w:hint="default" w:ascii="Times New Roman" w:hAnsi="Times New Roman" w:cs="Times New Roman"/>
          <w:color w:val="FF0000"/>
          <w:sz w:val="24"/>
          <w:szCs w:val="24"/>
          <w:highlight w:val="none"/>
          <w:vertAlign w:val="superscript"/>
          <w:lang w:val="en-US" w:eastAsia="zh-CN"/>
        </w:rPr>
        <w:t>3</w:t>
      </w:r>
      <w:r>
        <w:rPr>
          <w:rFonts w:hint="default" w:ascii="Times New Roman" w:hAnsi="Times New Roman" w:cs="Times New Roman"/>
          <w:color w:val="FF0000"/>
          <w:sz w:val="24"/>
          <w:szCs w:val="24"/>
          <w:highlight w:val="none"/>
          <w:lang w:val="en-US" w:eastAsia="zh-CN"/>
        </w:rPr>
        <w:t>），井口加盖密封，病死鸡的密度约为1t/m</w:t>
      </w:r>
      <w:r>
        <w:rPr>
          <w:rFonts w:hint="default" w:ascii="Times New Roman" w:hAnsi="Times New Roman" w:cs="Times New Roman"/>
          <w:color w:val="FF0000"/>
          <w:sz w:val="24"/>
          <w:szCs w:val="24"/>
          <w:highlight w:val="none"/>
          <w:vertAlign w:val="superscript"/>
          <w:lang w:val="en-US" w:eastAsia="zh-CN"/>
        </w:rPr>
        <w:t>3</w:t>
      </w:r>
      <w:r>
        <w:rPr>
          <w:rFonts w:hint="default" w:ascii="Times New Roman" w:hAnsi="Times New Roman" w:cs="Times New Roman"/>
          <w:color w:val="FF0000"/>
          <w:sz w:val="24"/>
          <w:szCs w:val="24"/>
          <w:highlight w:val="none"/>
          <w:vertAlign w:val="baseline"/>
          <w:lang w:val="en-US" w:eastAsia="zh-CN"/>
        </w:rPr>
        <w:t>，</w:t>
      </w:r>
      <w:r>
        <w:rPr>
          <w:rFonts w:hint="default" w:ascii="Times New Roman" w:hAnsi="Times New Roman" w:eastAsia="Segoe UI" w:cs="Times New Roman"/>
          <w:i w:val="0"/>
          <w:iCs w:val="0"/>
          <w:caps w:val="0"/>
          <w:color w:val="FF0000"/>
          <w:spacing w:val="0"/>
          <w:sz w:val="24"/>
          <w:szCs w:val="24"/>
          <w:shd w:val="clear" w:fill="FFFFFF"/>
        </w:rPr>
        <w:t>按照每年产生</w:t>
      </w:r>
      <w:r>
        <w:rPr>
          <w:rFonts w:hint="default" w:ascii="Times New Roman" w:hAnsi="Times New Roman" w:eastAsia="宋体" w:cs="Times New Roman"/>
          <w:i w:val="0"/>
          <w:iCs w:val="0"/>
          <w:caps w:val="0"/>
          <w:color w:val="FF0000"/>
          <w:spacing w:val="0"/>
          <w:sz w:val="24"/>
          <w:szCs w:val="24"/>
          <w:shd w:val="clear" w:fill="FFFFFF"/>
          <w:lang w:val="en-US" w:eastAsia="zh-CN"/>
        </w:rPr>
        <w:t>0.9t/a</w:t>
      </w:r>
      <w:r>
        <w:rPr>
          <w:rFonts w:hint="default" w:ascii="Times New Roman" w:hAnsi="Times New Roman" w:eastAsia="Segoe UI" w:cs="Times New Roman"/>
          <w:i w:val="0"/>
          <w:iCs w:val="0"/>
          <w:caps w:val="0"/>
          <w:color w:val="FF0000"/>
          <w:spacing w:val="0"/>
          <w:sz w:val="24"/>
          <w:szCs w:val="24"/>
          <w:shd w:val="clear" w:fill="FFFFFF"/>
        </w:rPr>
        <w:t>病死鸡的量计算，可满足约</w:t>
      </w:r>
      <w:r>
        <w:rPr>
          <w:rFonts w:hint="default" w:ascii="Times New Roman" w:hAnsi="Times New Roman" w:eastAsia="宋体" w:cs="Times New Roman"/>
          <w:i w:val="0"/>
          <w:iCs w:val="0"/>
          <w:caps w:val="0"/>
          <w:color w:val="FF0000"/>
          <w:spacing w:val="0"/>
          <w:sz w:val="24"/>
          <w:szCs w:val="24"/>
          <w:shd w:val="clear" w:fill="FFFFFF"/>
          <w:lang w:val="en-US" w:eastAsia="zh-CN"/>
        </w:rPr>
        <w:t>20</w:t>
      </w:r>
      <w:r>
        <w:rPr>
          <w:rFonts w:hint="default" w:ascii="Times New Roman" w:hAnsi="Times New Roman" w:eastAsia="Segoe UI" w:cs="Times New Roman"/>
          <w:i w:val="0"/>
          <w:iCs w:val="0"/>
          <w:caps w:val="0"/>
          <w:color w:val="FF0000"/>
          <w:spacing w:val="0"/>
          <w:sz w:val="24"/>
          <w:szCs w:val="24"/>
          <w:shd w:val="clear" w:fill="FFFFFF"/>
        </w:rPr>
        <w:t>年的病死鸡填埋需求</w:t>
      </w:r>
      <w:r>
        <w:rPr>
          <w:rFonts w:hint="default" w:ascii="Times New Roman" w:hAnsi="Times New Roman" w:cs="Times New Roman"/>
          <w:color w:val="FF0000"/>
          <w:sz w:val="24"/>
          <w:szCs w:val="24"/>
          <w:highlight w:val="none"/>
          <w:lang w:val="en-US" w:eastAsia="zh-CN"/>
        </w:rPr>
        <w:t>。</w:t>
      </w:r>
    </w:p>
    <w:p w14:paraId="365FB763">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具体做法：进行填埋时，在每次投入病死鸡后，应覆盖一层厚度大于10cm的熟石灰，井填满后，需用黏土填埋压实并封口。</w:t>
      </w:r>
    </w:p>
    <w:p w14:paraId="18BDE2AE">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由以上分析可知，本项目采用</w:t>
      </w:r>
      <w:r>
        <w:rPr>
          <w:rFonts w:hint="eastAsia" w:ascii="Times New Roman" w:hAnsi="Times New Roman" w:cs="Times New Roman"/>
          <w:color w:val="auto"/>
          <w:sz w:val="24"/>
          <w:lang w:val="en-US" w:eastAsia="zh-CN"/>
        </w:rPr>
        <w:t>安全填埋场</w:t>
      </w:r>
      <w:r>
        <w:rPr>
          <w:rFonts w:hint="default" w:ascii="Times New Roman" w:hAnsi="Times New Roman" w:cs="Times New Roman"/>
          <w:color w:val="auto"/>
          <w:sz w:val="24"/>
          <w:lang w:val="en-US" w:eastAsia="zh-CN"/>
        </w:rPr>
        <w:t>填埋处理病死鸡尸符合《病死及病害动物无害化处理技术规范》（农医发〔2017〕25号）中规定的病死及病害动物和相关动物产品无害化处理的技术工艺。</w:t>
      </w:r>
    </w:p>
    <w:p w14:paraId="1F1FC895">
      <w:pPr>
        <w:spacing w:line="360" w:lineRule="auto"/>
        <w:ind w:firstLine="482" w:firstLineChars="200"/>
        <w:rPr>
          <w:rFonts w:hint="default" w:ascii="Times New Roman" w:hAnsi="Times New Roman" w:eastAsia="宋体" w:cs="Times New Roman"/>
          <w:color w:val="FF0000"/>
          <w:sz w:val="24"/>
          <w:szCs w:val="24"/>
          <w:lang w:eastAsia="zh-CN"/>
        </w:rPr>
      </w:pPr>
      <w:r>
        <w:rPr>
          <w:rFonts w:hint="eastAsia" w:ascii="Times New Roman" w:hAnsi="Times New Roman" w:cs="Times New Roman"/>
          <w:b/>
          <w:bCs/>
          <w:color w:val="auto"/>
          <w:sz w:val="24"/>
          <w:lang w:val="en-US" w:eastAsia="zh-CN"/>
        </w:rPr>
        <w:t>安全填埋场</w:t>
      </w:r>
      <w:r>
        <w:rPr>
          <w:rFonts w:hint="default" w:ascii="Times New Roman" w:hAnsi="Times New Roman" w:cs="Times New Roman"/>
          <w:b/>
          <w:bCs/>
          <w:color w:val="auto"/>
          <w:sz w:val="24"/>
          <w:lang w:val="en-US" w:eastAsia="zh-CN"/>
        </w:rPr>
        <w:t>选址合理性分析</w:t>
      </w:r>
      <w:r>
        <w:rPr>
          <w:rFonts w:hint="default" w:ascii="Times New Roman" w:hAnsi="Times New Roman" w:cs="Times New Roman"/>
          <w:color w:val="auto"/>
          <w:sz w:val="24"/>
          <w:lang w:val="en-US" w:eastAsia="zh-CN"/>
        </w:rPr>
        <w:t>：根据《病死及病害动物无害化处理技术规范》（农医发〔2017〕25号）中：“4.4.2深埋法选址要求：4.4.2.1应选择地势高燥，处于下风向的地点。4.4.2.2应远离学校、公共场所、居民住宅区、村庄、动物饲养和屠宰场所、饮用水源地、河流等地区”。本项目安全填埋井选址位于养殖区东南角处，项目区主导风向</w:t>
      </w:r>
      <w:r>
        <w:rPr>
          <w:rFonts w:hint="default" w:ascii="Times New Roman" w:hAnsi="Times New Roman" w:cs="Times New Roman"/>
          <w:color w:val="auto"/>
          <w:sz w:val="24"/>
          <w:highlight w:val="none"/>
          <w:lang w:val="en-US" w:eastAsia="zh-CN"/>
        </w:rPr>
        <w:t>为西北风，</w:t>
      </w:r>
      <w:r>
        <w:rPr>
          <w:rFonts w:hint="default" w:ascii="Times New Roman" w:hAnsi="Times New Roman" w:cs="Times New Roman"/>
          <w:color w:val="auto"/>
          <w:sz w:val="24"/>
          <w:lang w:val="en-US" w:eastAsia="zh-CN"/>
        </w:rPr>
        <w:t>安全填埋井位于主导风向的下风向，该地地势高燥，周围1km范围内无学校、公共场所、居民住宅区、村庄、动物饲养和屠宰场所、饮用水源地、河流等地区，安全填埋井周围环境较空旷，无环境敏感点，且采用深埋法，井深2m，井口加盖密封，故对周围环境影响较小，选址可行。</w:t>
      </w:r>
    </w:p>
    <w:p w14:paraId="5F054594">
      <w:pPr>
        <w:pStyle w:val="5"/>
        <w:bidi w:val="0"/>
        <w:rPr>
          <w:rFonts w:hint="default" w:ascii="Times New Roman" w:hAnsi="Times New Roman" w:cs="Times New Roman"/>
        </w:rPr>
      </w:pPr>
      <w:r>
        <w:rPr>
          <w:rFonts w:hint="default" w:ascii="Times New Roman" w:hAnsi="Times New Roman" w:cs="Times New Roman"/>
        </w:rPr>
        <w:t>饲料残渣及散落毛羽</w:t>
      </w:r>
    </w:p>
    <w:p w14:paraId="6231EEEB">
      <w:pPr>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鸡舍为易污染部位，应当每天清扫，其中废物主要为废饲料、散落的毛羽等，根据同类企业类比</w:t>
      </w:r>
      <w:r>
        <w:rPr>
          <w:rFonts w:hint="default" w:ascii="Times New Roman" w:hAnsi="Times New Roman" w:eastAsia="宋体" w:cs="Times New Roman"/>
          <w:color w:val="FF0000"/>
          <w:sz w:val="24"/>
          <w:szCs w:val="24"/>
          <w:lang w:eastAsia="zh-CN"/>
        </w:rPr>
        <w:t>《汉阴县现代化优质蛋鸡养殖项目》</w:t>
      </w:r>
      <w:r>
        <w:rPr>
          <w:rFonts w:hint="default" w:ascii="Times New Roman" w:hAnsi="Times New Roman" w:eastAsia="宋体" w:cs="Times New Roman"/>
          <w:color w:val="FF0000"/>
          <w:sz w:val="24"/>
          <w:szCs w:val="24"/>
        </w:rPr>
        <w:t>以及企业提供经验数据，年产生量为</w:t>
      </w:r>
      <w:r>
        <w:rPr>
          <w:rFonts w:hint="default" w:ascii="Times New Roman" w:hAnsi="Times New Roman" w:eastAsia="宋体" w:cs="Times New Roman"/>
          <w:color w:val="FF0000"/>
          <w:sz w:val="24"/>
          <w:szCs w:val="24"/>
          <w:lang w:val="en-US" w:eastAsia="zh-CN"/>
        </w:rPr>
        <w:t>2.5</w:t>
      </w:r>
      <w:r>
        <w:rPr>
          <w:rFonts w:hint="default" w:ascii="Times New Roman" w:hAnsi="Times New Roman" w:eastAsia="宋体" w:cs="Times New Roman"/>
          <w:color w:val="FF0000"/>
          <w:sz w:val="24"/>
          <w:szCs w:val="24"/>
        </w:rPr>
        <w:t>t/a。和鸡粪一起清理后送入</w:t>
      </w:r>
      <w:r>
        <w:rPr>
          <w:rFonts w:hint="default" w:ascii="Times New Roman" w:hAnsi="Times New Roman" w:cs="Times New Roman"/>
          <w:color w:val="FF0000"/>
          <w:sz w:val="24"/>
          <w:szCs w:val="24"/>
          <w:lang w:eastAsia="zh-CN"/>
        </w:rPr>
        <w:t>鸡粪发酵处理场</w:t>
      </w:r>
      <w:r>
        <w:rPr>
          <w:rFonts w:hint="default" w:ascii="Times New Roman" w:hAnsi="Times New Roman" w:cs="Times New Roman"/>
          <w:color w:val="FF0000"/>
          <w:sz w:val="24"/>
          <w:szCs w:val="24"/>
          <w:lang w:val="en-US" w:eastAsia="zh-CN"/>
        </w:rPr>
        <w:t>发酵</w:t>
      </w:r>
      <w:r>
        <w:rPr>
          <w:rFonts w:hint="default" w:ascii="Times New Roman" w:hAnsi="Times New Roman" w:eastAsia="宋体" w:cs="Times New Roman"/>
          <w:color w:val="FF0000"/>
          <w:sz w:val="24"/>
          <w:szCs w:val="24"/>
        </w:rPr>
        <w:t>处理。</w:t>
      </w:r>
    </w:p>
    <w:p w14:paraId="78CD66BE">
      <w:pPr>
        <w:pStyle w:val="5"/>
        <w:bidi w:val="0"/>
        <w:rPr>
          <w:rFonts w:hint="default" w:ascii="Times New Roman" w:hAnsi="Times New Roman" w:cs="Times New Roman"/>
        </w:rPr>
      </w:pPr>
      <w:r>
        <w:rPr>
          <w:rFonts w:hint="default" w:ascii="Times New Roman" w:hAnsi="Times New Roman" w:cs="Times New Roman"/>
        </w:rPr>
        <w:t>破损蛋</w:t>
      </w:r>
    </w:p>
    <w:p w14:paraId="38A54C27">
      <w:pPr>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eastAsia="宋体" w:cs="Times New Roman"/>
          <w:color w:val="FF0000"/>
          <w:sz w:val="24"/>
          <w:szCs w:val="24"/>
        </w:rPr>
        <w:t>生产过程中，由于工人操作搬运不慎会产生少量破碎的鸡蛋和分拣过程中挑选的破损蛋，类比同类项目</w:t>
      </w:r>
      <w:r>
        <w:rPr>
          <w:rFonts w:hint="default" w:ascii="Times New Roman" w:hAnsi="Times New Roman" w:eastAsia="宋体" w:cs="Times New Roman"/>
          <w:color w:val="FF0000"/>
          <w:sz w:val="24"/>
          <w:szCs w:val="24"/>
          <w:lang w:eastAsia="zh-CN"/>
        </w:rPr>
        <w:t>《汉阴县现代化优质蛋鸡养殖项目》</w:t>
      </w:r>
      <w:r>
        <w:rPr>
          <w:rFonts w:hint="default" w:ascii="Times New Roman" w:hAnsi="Times New Roman" w:eastAsia="宋体" w:cs="Times New Roman"/>
          <w:color w:val="FF0000"/>
          <w:sz w:val="24"/>
          <w:szCs w:val="24"/>
        </w:rPr>
        <w:t>，破损蛋的产生量按0.1%计算</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2600万枚，每枚50克，产生量</w:t>
      </w:r>
      <w:r>
        <w:rPr>
          <w:rFonts w:hint="default" w:ascii="Times New Roman" w:hAnsi="Times New Roman" w:eastAsia="宋体" w:cs="Times New Roman"/>
          <w:color w:val="FF0000"/>
          <w:sz w:val="24"/>
          <w:szCs w:val="24"/>
        </w:rPr>
        <w:t>约为</w:t>
      </w:r>
      <w:r>
        <w:rPr>
          <w:rFonts w:hint="default" w:ascii="Times New Roman" w:hAnsi="Times New Roman" w:eastAsia="宋体" w:cs="Times New Roman"/>
          <w:color w:val="FF0000"/>
          <w:sz w:val="24"/>
          <w:szCs w:val="24"/>
          <w:lang w:val="en-US" w:eastAsia="zh-CN"/>
        </w:rPr>
        <w:t>1.3</w:t>
      </w:r>
      <w:r>
        <w:rPr>
          <w:rFonts w:hint="default" w:ascii="Times New Roman" w:hAnsi="Times New Roman" w:eastAsia="宋体" w:cs="Times New Roman"/>
          <w:color w:val="FF0000"/>
          <w:sz w:val="24"/>
          <w:szCs w:val="24"/>
        </w:rPr>
        <w:t>t/a，破碎鸡蛋与鸡粪一同投入</w:t>
      </w:r>
      <w:r>
        <w:rPr>
          <w:rFonts w:hint="default" w:ascii="Times New Roman" w:hAnsi="Times New Roman" w:cs="Times New Roman"/>
          <w:color w:val="FF0000"/>
          <w:sz w:val="24"/>
          <w:szCs w:val="24"/>
          <w:lang w:eastAsia="zh-CN"/>
        </w:rPr>
        <w:t>鸡粪发酵</w:t>
      </w:r>
      <w:r>
        <w:rPr>
          <w:rFonts w:hint="eastAsia" w:ascii="Times New Roman" w:hAnsi="Times New Roman" w:cs="Times New Roman"/>
          <w:color w:val="FF0000"/>
          <w:sz w:val="24"/>
          <w:szCs w:val="24"/>
          <w:lang w:eastAsia="zh-CN"/>
        </w:rPr>
        <w:t>处理厂</w:t>
      </w:r>
      <w:r>
        <w:rPr>
          <w:rFonts w:hint="default" w:ascii="Times New Roman" w:hAnsi="Times New Roman" w:cs="Times New Roman"/>
          <w:color w:val="FF0000"/>
          <w:sz w:val="24"/>
          <w:szCs w:val="24"/>
          <w:lang w:val="en-US" w:eastAsia="zh-CN"/>
        </w:rPr>
        <w:t>发酵</w:t>
      </w:r>
      <w:r>
        <w:rPr>
          <w:rFonts w:hint="default" w:ascii="Times New Roman" w:hAnsi="Times New Roman" w:eastAsia="宋体" w:cs="Times New Roman"/>
          <w:color w:val="FF0000"/>
          <w:sz w:val="24"/>
          <w:szCs w:val="24"/>
        </w:rPr>
        <w:t>处理。</w:t>
      </w:r>
    </w:p>
    <w:p w14:paraId="1D9F2E94">
      <w:pPr>
        <w:spacing w:line="360" w:lineRule="auto"/>
        <w:ind w:firstLine="480" w:firstLineChars="200"/>
        <w:rPr>
          <w:rFonts w:hint="default" w:ascii="Times New Roman" w:hAnsi="Times New Roman" w:cs="Times New Roman"/>
          <w:color w:val="FF0000"/>
          <w:sz w:val="24"/>
          <w:highlight w:val="yellow"/>
        </w:rPr>
      </w:pPr>
      <w:r>
        <w:rPr>
          <w:rFonts w:hint="default" w:ascii="Times New Roman" w:hAnsi="Times New Roman" w:cs="Times New Roman"/>
          <w:color w:val="FF0000"/>
          <w:sz w:val="24"/>
          <w:lang w:val="en-US" w:eastAsia="zh-CN"/>
        </w:rPr>
        <w:t>本项目设置鸡粪发酵处理场，每栋鸡舍均设自动清粪系统，鸡舍内设横斜向</w:t>
      </w:r>
      <w:r>
        <w:rPr>
          <w:rFonts w:hint="eastAsia" w:ascii="Times New Roman" w:hAnsi="Times New Roman" w:cs="Times New Roman"/>
          <w:color w:val="FF0000"/>
          <w:sz w:val="24"/>
          <w:lang w:val="en-US" w:eastAsia="zh-CN"/>
        </w:rPr>
        <w:t>粪便传送带</w:t>
      </w:r>
      <w:r>
        <w:rPr>
          <w:rFonts w:hint="default" w:ascii="Times New Roman" w:hAnsi="Times New Roman" w:cs="Times New Roman"/>
          <w:color w:val="FF0000"/>
          <w:sz w:val="24"/>
          <w:lang w:val="en-US" w:eastAsia="zh-CN"/>
        </w:rPr>
        <w:t>，鸡排出的粪便主要通过清粪机进入横向</w:t>
      </w:r>
      <w:r>
        <w:rPr>
          <w:rFonts w:hint="eastAsia" w:ascii="Times New Roman" w:hAnsi="Times New Roman" w:cs="Times New Roman"/>
          <w:color w:val="FF0000"/>
          <w:sz w:val="24"/>
          <w:lang w:val="en-US" w:eastAsia="zh-CN"/>
        </w:rPr>
        <w:t>粪便传送带</w:t>
      </w:r>
      <w:r>
        <w:rPr>
          <w:rFonts w:hint="default" w:ascii="Times New Roman" w:hAnsi="Times New Roman" w:cs="Times New Roman"/>
          <w:color w:val="FF0000"/>
          <w:sz w:val="24"/>
          <w:lang w:val="en-US" w:eastAsia="zh-CN"/>
        </w:rPr>
        <w:t>内，传输至清粪房再通过斜向</w:t>
      </w:r>
      <w:r>
        <w:rPr>
          <w:rFonts w:hint="eastAsia" w:ascii="Times New Roman" w:hAnsi="Times New Roman" w:cs="Times New Roman"/>
          <w:color w:val="FF0000"/>
          <w:sz w:val="24"/>
          <w:lang w:val="en-US" w:eastAsia="zh-CN"/>
        </w:rPr>
        <w:t>粪便传送带</w:t>
      </w:r>
      <w:r>
        <w:rPr>
          <w:rFonts w:hint="default" w:ascii="Times New Roman" w:hAnsi="Times New Roman" w:cs="Times New Roman"/>
          <w:color w:val="FF0000"/>
          <w:sz w:val="24"/>
          <w:lang w:val="en-US" w:eastAsia="zh-CN"/>
        </w:rPr>
        <w:t>进入鸡粪发酵处理场，发酵处理后，外售农户综合利用，满足《畜禽规模养殖场粪污资源化利用设施建设规范（试行）》中的相关要求；由以上分析可知，本项目粪便处理方式满足《排污许可证申请与核发技术规范畜禽养殖行业》（HJ1029-2019）中要求。</w:t>
      </w:r>
    </w:p>
    <w:p w14:paraId="00915C49">
      <w:pPr>
        <w:spacing w:line="360" w:lineRule="auto"/>
        <w:ind w:firstLine="480" w:firstLineChars="20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鸡粪发酵</w:t>
      </w:r>
      <w:r>
        <w:rPr>
          <w:rFonts w:hint="eastAsia" w:ascii="Times New Roman" w:hAnsi="Times New Roman" w:cs="Times New Roman"/>
          <w:color w:val="FF0000"/>
          <w:sz w:val="24"/>
          <w:lang w:val="en-US" w:eastAsia="zh-CN"/>
        </w:rPr>
        <w:t>处理厂</w:t>
      </w:r>
      <w:r>
        <w:rPr>
          <w:rFonts w:hint="default" w:ascii="Times New Roman" w:hAnsi="Times New Roman" w:cs="Times New Roman"/>
          <w:color w:val="FF0000"/>
          <w:sz w:val="24"/>
          <w:lang w:val="en-US" w:eastAsia="zh-CN"/>
        </w:rPr>
        <w:t>容积合理性分析：</w:t>
      </w:r>
    </w:p>
    <w:p w14:paraId="5ACD39C5">
      <w:pPr>
        <w:spacing w:line="360" w:lineRule="auto"/>
        <w:ind w:firstLine="480" w:firstLineChars="200"/>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根据《关于印发畜禽养殖场（户）粪污处理设施建设技术指南的通知》（农办牧〔2022〕19号），堆（沤）肥设施发酵容积不小于单位畜禽固体粪污日产生量（立方米/天·头、只、羽）×发酵周期（天）×设计存栏量（头只、羽）。蛋鸡以0.13kg/d·头/羽计，鸡粪的容重根据《畜禽粪便贮存设施设计要求》（GB/T27622-2011）为970kg/m</w:t>
      </w:r>
      <w:r>
        <w:rPr>
          <w:rFonts w:hint="default" w:ascii="Times New Roman" w:hAnsi="Times New Roman" w:cs="Times New Roman"/>
          <w:color w:val="FF0000"/>
          <w:sz w:val="24"/>
          <w:vertAlign w:val="superscript"/>
          <w:lang w:val="en-US" w:eastAsia="zh-CN"/>
        </w:rPr>
        <w:t>3</w:t>
      </w:r>
      <w:r>
        <w:rPr>
          <w:rFonts w:hint="default" w:ascii="Times New Roman" w:hAnsi="Times New Roman" w:cs="Times New Roman"/>
          <w:color w:val="FF0000"/>
          <w:sz w:val="24"/>
          <w:lang w:val="en-US" w:eastAsia="zh-CN"/>
        </w:rPr>
        <w:t>，则单位蛋鸡固体粪污日产生量为0.00013m</w:t>
      </w:r>
      <w:r>
        <w:rPr>
          <w:rFonts w:hint="default" w:ascii="Times New Roman" w:hAnsi="Times New Roman" w:cs="Times New Roman"/>
          <w:color w:val="FF0000"/>
          <w:sz w:val="24"/>
          <w:vertAlign w:val="superscript"/>
          <w:lang w:val="en-US" w:eastAsia="zh-CN"/>
        </w:rPr>
        <w:t>3</w:t>
      </w:r>
      <w:r>
        <w:rPr>
          <w:rFonts w:hint="default" w:ascii="Times New Roman" w:hAnsi="Times New Roman" w:cs="Times New Roman"/>
          <w:color w:val="FF0000"/>
          <w:sz w:val="24"/>
          <w:lang w:val="en-US" w:eastAsia="zh-CN"/>
        </w:rPr>
        <w:t>/天·羽；本项目达产年最大养殖规模为存栏60万羽；发酵周期约15天，则（沤）肥设施发酵容积不小于1170m</w:t>
      </w:r>
      <w:r>
        <w:rPr>
          <w:rFonts w:hint="default" w:ascii="Times New Roman" w:hAnsi="Times New Roman" w:cs="Times New Roman"/>
          <w:color w:val="FF0000"/>
          <w:sz w:val="24"/>
          <w:vertAlign w:val="superscript"/>
          <w:lang w:val="en-US" w:eastAsia="zh-CN"/>
        </w:rPr>
        <w:t>3</w:t>
      </w:r>
      <w:r>
        <w:rPr>
          <w:rFonts w:hint="default" w:ascii="Times New Roman" w:hAnsi="Times New Roman" w:cs="Times New Roman"/>
          <w:color w:val="FF0000"/>
          <w:sz w:val="24"/>
          <w:lang w:val="en-US" w:eastAsia="zh-CN"/>
        </w:rPr>
        <w:t>。</w:t>
      </w:r>
    </w:p>
    <w:p w14:paraId="1EA198C9">
      <w:pPr>
        <w:spacing w:line="360" w:lineRule="auto"/>
        <w:ind w:firstLine="480" w:firstLineChars="200"/>
        <w:rPr>
          <w:rFonts w:hint="default" w:ascii="Times New Roman" w:hAnsi="Times New Roman" w:cs="Times New Roman"/>
          <w:color w:val="FF0000"/>
          <w:sz w:val="24"/>
          <w:highlight w:val="none"/>
          <w:lang w:val="en-US" w:eastAsia="zh-CN"/>
        </w:rPr>
      </w:pPr>
      <w:r>
        <w:rPr>
          <w:rFonts w:hint="default" w:ascii="Times New Roman" w:hAnsi="Times New Roman" w:cs="Times New Roman"/>
          <w:color w:val="FF0000"/>
          <w:sz w:val="24"/>
          <w:highlight w:val="none"/>
          <w:lang w:val="en-US" w:eastAsia="zh-CN"/>
        </w:rPr>
        <w:t>项目设置的鸡粪发酵处理场占地面积2000m</w:t>
      </w:r>
      <w:r>
        <w:rPr>
          <w:rFonts w:hint="default" w:ascii="Times New Roman" w:hAnsi="Times New Roman" w:cs="Times New Roman"/>
          <w:color w:val="FF0000"/>
          <w:sz w:val="24"/>
          <w:highlight w:val="none"/>
          <w:vertAlign w:val="superscript"/>
          <w:lang w:val="en-US" w:eastAsia="zh-CN"/>
        </w:rPr>
        <w:t>2</w:t>
      </w:r>
      <w:r>
        <w:rPr>
          <w:rFonts w:hint="default" w:ascii="Times New Roman" w:hAnsi="Times New Roman" w:cs="Times New Roman"/>
          <w:color w:val="FF0000"/>
          <w:sz w:val="24"/>
          <w:highlight w:val="none"/>
          <w:lang w:val="en-US" w:eastAsia="zh-CN"/>
        </w:rPr>
        <w:t>，高度8m，按有效堆高2m，储存面积70%计算，则储存能力为2800m</w:t>
      </w:r>
      <w:r>
        <w:rPr>
          <w:rFonts w:hint="default" w:ascii="Times New Roman" w:hAnsi="Times New Roman" w:cs="Times New Roman"/>
          <w:color w:val="FF0000"/>
          <w:sz w:val="24"/>
          <w:highlight w:val="none"/>
          <w:vertAlign w:val="superscript"/>
          <w:lang w:val="en-US" w:eastAsia="zh-CN"/>
        </w:rPr>
        <w:t>3</w:t>
      </w:r>
      <w:r>
        <w:rPr>
          <w:rFonts w:hint="default" w:ascii="Times New Roman" w:hAnsi="Times New Roman" w:cs="Times New Roman"/>
          <w:color w:val="FF0000"/>
          <w:sz w:val="24"/>
          <w:highlight w:val="none"/>
          <w:lang w:val="en-US" w:eastAsia="zh-CN"/>
        </w:rPr>
        <w:t>，满足《关于印发畜禽养殖场（户）粪污处理设施建设技术指南的通知》（农办牧〔2022〕19号）要求。</w:t>
      </w:r>
    </w:p>
    <w:p w14:paraId="15E2A2FD">
      <w:pPr>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color w:val="FF0000"/>
          <w:sz w:val="24"/>
          <w:lang w:val="en-US" w:eastAsia="zh-CN"/>
        </w:rPr>
        <w:t>运输管理要求：为便于环境管理，提高养殖场环保水平，环评要求项目堆肥处理必须建立明确的粪便入库单、出库记录及输送档案（或台账）。肥料运输车辆必须有封闭车厢，封闭容器包装运输。加强厂区内的管理，在运输干粪的途中发现有洒落的情况时，及时清扫，避免洒落的干粪被雨水冲刷污染土壤和地下水。环评要求：粪渣必须按照《畜禽粪便无害化处理技术规范》（NY/T1168-2006）中的规定进行收集、清运和处置，运输过程不得出现“跑、冒、滴、漏”现象，运输车辆必须做好防漏措施，封闭运输，严禁抛洒，避免对运输路线造成影响。外运粪便时采取防渗漏、防流失、防遗撒等防污措施；鸡粪发酵处理场做好防风、防雨、防渗漏措施。</w:t>
      </w:r>
    </w:p>
    <w:p w14:paraId="298E23D8">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FF0000"/>
          <w:sz w:val="24"/>
          <w:lang w:val="en-US" w:eastAsia="zh-CN"/>
        </w:rPr>
        <w:t>因此，该工艺处理鸡粪、</w:t>
      </w:r>
      <w:r>
        <w:rPr>
          <w:rFonts w:hint="default" w:ascii="Times New Roman" w:hAnsi="Times New Roman" w:eastAsia="宋体" w:cs="Times New Roman"/>
          <w:color w:val="FF0000"/>
          <w:sz w:val="24"/>
          <w:szCs w:val="24"/>
        </w:rPr>
        <w:t>饲料残渣及散落毛羽</w:t>
      </w:r>
      <w:r>
        <w:rPr>
          <w:rFonts w:hint="default" w:ascii="Times New Roman" w:hAnsi="Times New Roman" w:cs="Times New Roman"/>
          <w:color w:val="FF0000"/>
          <w:sz w:val="24"/>
          <w:lang w:val="en-US" w:eastAsia="zh-CN"/>
        </w:rPr>
        <w:t>和破损蛋采取的措施可行。</w:t>
      </w:r>
    </w:p>
    <w:p w14:paraId="6E928FC5">
      <w:pPr>
        <w:pStyle w:val="5"/>
        <w:bidi w:val="0"/>
        <w:rPr>
          <w:rFonts w:hint="default" w:ascii="Times New Roman" w:hAnsi="Times New Roman" w:cs="Times New Roman"/>
        </w:rPr>
      </w:pPr>
      <w:r>
        <w:rPr>
          <w:rFonts w:hint="default" w:ascii="Times New Roman" w:hAnsi="Times New Roman" w:cs="Times New Roman"/>
        </w:rPr>
        <w:t>生活垃圾</w:t>
      </w:r>
    </w:p>
    <w:p w14:paraId="3FE2741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本项目生活垃圾主要是员工日常办公及生活产生的废物。本项目劳动定员</w:t>
      </w:r>
      <w:r>
        <w:rPr>
          <w:rFonts w:hint="default"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人，生活垃圾按每人每天0.5kg/d计，生活垃圾产生量约为</w:t>
      </w:r>
      <w:r>
        <w:rPr>
          <w:rFonts w:hint="default" w:ascii="Times New Roman" w:hAnsi="Times New Roman" w:cs="Times New Roman"/>
          <w:color w:val="auto"/>
          <w:sz w:val="24"/>
          <w:szCs w:val="24"/>
          <w:lang w:val="en-US" w:eastAsia="zh-CN"/>
        </w:rPr>
        <w:t>7.3</w:t>
      </w:r>
      <w:r>
        <w:rPr>
          <w:rFonts w:hint="default" w:ascii="Times New Roman" w:hAnsi="Times New Roman" w:cs="Times New Roman"/>
          <w:color w:val="auto"/>
          <w:sz w:val="24"/>
          <w:szCs w:val="24"/>
        </w:rPr>
        <w:t>t/a。生活垃圾集中收集后，委托环卫部门定期清运。</w:t>
      </w:r>
    </w:p>
    <w:p w14:paraId="46807EFB">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废包装</w:t>
      </w:r>
    </w:p>
    <w:p w14:paraId="4D2614D8">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本项目玉米和</w:t>
      </w:r>
      <w:r>
        <w:rPr>
          <w:rFonts w:hint="default" w:ascii="Times New Roman" w:hAnsi="Times New Roman" w:cs="Times New Roman"/>
          <w:b w:val="0"/>
          <w:color w:val="auto"/>
          <w:kern w:val="2"/>
          <w:sz w:val="24"/>
          <w:szCs w:val="24"/>
          <w:lang w:val="en-US" w:eastAsia="zh-CN" w:bidi="ar-SA"/>
        </w:rPr>
        <w:t>豆粕</w:t>
      </w:r>
      <w:r>
        <w:rPr>
          <w:rFonts w:hint="default" w:ascii="Times New Roman" w:hAnsi="Times New Roman" w:eastAsia="宋体" w:cs="Times New Roman"/>
          <w:b w:val="0"/>
          <w:color w:val="auto"/>
          <w:kern w:val="2"/>
          <w:sz w:val="24"/>
          <w:szCs w:val="24"/>
          <w:lang w:val="en-US" w:eastAsia="zh-CN" w:bidi="ar-SA"/>
        </w:rPr>
        <w:t>，拆分使用过程中会产生废弃包装袋，废弃包装袋产生量约为2t/a，并由饲料原料厂家回收利用或外售。</w:t>
      </w:r>
    </w:p>
    <w:p w14:paraId="0E5F0EA1">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粉尘</w:t>
      </w:r>
    </w:p>
    <w:p w14:paraId="5C96E7A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项目生产过程中产生的粉尘经收集后，由布袋除尘设施进行处理。根据工程分析废气核算情况，生产过程中除尘设施粉尘的收集量为0.43t/a，全部返回生产过程。</w:t>
      </w:r>
    </w:p>
    <w:p w14:paraId="14FF168A">
      <w:pPr>
        <w:pStyle w:val="5"/>
        <w:bidi w:val="0"/>
        <w:rPr>
          <w:rFonts w:hint="default" w:ascii="Times New Roman" w:hAnsi="Times New Roman" w:cs="Times New Roman"/>
        </w:rPr>
      </w:pPr>
      <w:r>
        <w:rPr>
          <w:rFonts w:hint="default" w:ascii="Times New Roman" w:hAnsi="Times New Roman" w:cs="Times New Roman"/>
          <w:lang w:val="en-US" w:eastAsia="zh-CN"/>
        </w:rPr>
        <w:t>医疗废</w:t>
      </w:r>
      <w:r>
        <w:rPr>
          <w:rFonts w:hint="default" w:ascii="Times New Roman" w:hAnsi="Times New Roman" w:cs="Times New Roman"/>
        </w:rPr>
        <w:t>物</w:t>
      </w:r>
    </w:p>
    <w:p w14:paraId="439816B1">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FF0000"/>
          <w:sz w:val="24"/>
          <w:szCs w:val="24"/>
        </w:rPr>
      </w:pPr>
      <w:r>
        <w:rPr>
          <w:rFonts w:hint="default" w:ascii="Times New Roman" w:hAnsi="Times New Roman" w:cs="Times New Roman"/>
          <w:color w:val="FF0000"/>
          <w:sz w:val="24"/>
          <w:szCs w:val="24"/>
          <w:lang w:val="en-US" w:eastAsia="zh-CN"/>
        </w:rPr>
        <w:t>本项目对养殖场内鸡进行防疫、治疗过程中会产生少量废注射用具、过期药品。</w:t>
      </w:r>
    </w:p>
    <w:p w14:paraId="52F86F85">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color w:val="FF0000"/>
          <w:sz w:val="24"/>
          <w:szCs w:val="24"/>
          <w:lang w:val="en-US" w:eastAsia="zh-CN"/>
        </w:rPr>
      </w:pPr>
      <w:r>
        <w:rPr>
          <w:rFonts w:hint="default" w:ascii="Times New Roman" w:hAnsi="Times New Roman" w:eastAsia="宋体" w:cs="Times New Roman"/>
          <w:sz w:val="24"/>
          <w:szCs w:val="24"/>
        </w:rPr>
        <w:t>本项目在运营过程中，会对蛋鸡进行定时接种疫苗，日常防疫化验以及对病伤鸡进行救治，在此过程中会产生一定量的医疗废物如、针头、针管、培养皿、血清、试管、药瓶、不能再使用的药品、酒精棉以及其他一些报废的医疗器具，根据《国家危险废物名录》（2025版），项目产生的防疫废物不属于危险废物。根据建设单位提供资料及同类企业</w:t>
      </w:r>
      <w:r>
        <w:rPr>
          <w:rFonts w:hint="default" w:ascii="Times New Roman" w:hAnsi="Times New Roman" w:eastAsia="宋体" w:cs="Times New Roman"/>
          <w:color w:val="FF0000"/>
          <w:sz w:val="24"/>
          <w:szCs w:val="24"/>
          <w:lang w:eastAsia="zh-CN"/>
        </w:rPr>
        <w:t>《汉阴县现代化优质蛋鸡养殖项目》</w:t>
      </w:r>
      <w:r>
        <w:rPr>
          <w:rFonts w:hint="default" w:ascii="Times New Roman" w:hAnsi="Times New Roman" w:eastAsia="宋体" w:cs="Times New Roman"/>
          <w:sz w:val="24"/>
          <w:szCs w:val="24"/>
        </w:rPr>
        <w:t>类比，鸡防疫产生医疗量约为</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1kg/500只a，经核算，本项目运营过程中医疗废物及防疫废物产生量约为</w:t>
      </w:r>
      <w:r>
        <w:rPr>
          <w:rFonts w:hint="default" w:ascii="Times New Roman" w:hAnsi="Times New Roman" w:eastAsia="宋体" w:cs="Times New Roman"/>
          <w:sz w:val="24"/>
          <w:szCs w:val="24"/>
          <w:lang w:val="en-US" w:eastAsia="zh-CN"/>
        </w:rPr>
        <w:t>0.12</w:t>
      </w:r>
      <w:r>
        <w:rPr>
          <w:rFonts w:hint="default" w:ascii="Times New Roman" w:hAnsi="Times New Roman" w:eastAsia="宋体" w:cs="Times New Roman"/>
          <w:sz w:val="24"/>
          <w:szCs w:val="24"/>
        </w:rPr>
        <w:t>t/a，暂存于医疗废物暂存间后，运营单位将防疫废物煮沸后作为生活垃圾交环卫部门统一处理。</w:t>
      </w:r>
    </w:p>
    <w:p w14:paraId="17802114">
      <w:pPr>
        <w:pStyle w:val="5"/>
        <w:bidi w:val="0"/>
        <w:rPr>
          <w:rFonts w:hint="default" w:ascii="Times New Roman" w:hAnsi="Times New Roman" w:cs="Times New Roman"/>
        </w:rPr>
      </w:pPr>
      <w:r>
        <w:rPr>
          <w:rFonts w:hint="default" w:ascii="Times New Roman" w:hAnsi="Times New Roman" w:cs="Times New Roman"/>
        </w:rPr>
        <w:t xml:space="preserve"> 经济可行性分析</w:t>
      </w:r>
    </w:p>
    <w:p w14:paraId="2D0EFE92">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本项目固体废物治理措施主要包括</w:t>
      </w:r>
      <w:r>
        <w:rPr>
          <w:rFonts w:hint="default" w:ascii="Times New Roman" w:hAnsi="Times New Roman" w:eastAsia="宋体" w:cs="Times New Roman"/>
          <w:sz w:val="24"/>
          <w:szCs w:val="24"/>
          <w:lang w:val="en-US" w:eastAsia="zh-CN"/>
        </w:rPr>
        <w:t>鸡粪发酵场</w:t>
      </w:r>
      <w:r>
        <w:rPr>
          <w:rFonts w:hint="default" w:ascii="Times New Roman" w:hAnsi="Times New Roman" w:eastAsia="宋体" w:cs="Times New Roman"/>
          <w:sz w:val="24"/>
          <w:szCs w:val="24"/>
        </w:rPr>
        <w:t>、卫生防疫废物间、垃圾收集点等建设费用，投资约为</w:t>
      </w:r>
      <w:r>
        <w:rPr>
          <w:rFonts w:hint="default"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rPr>
        <w:t>万元，在建设单位可承受范围内，此外采用上述治理措施后可有效治理固废污染，杜绝二次污染。因此本项目固废治理措施在技术、经济上是可行的，有很好的经济效益 和环境效益。</w:t>
      </w:r>
    </w:p>
    <w:p w14:paraId="45D5C94A">
      <w:pPr>
        <w:pStyle w:val="16"/>
        <w:bidi w:val="0"/>
        <w:rPr>
          <w:rFonts w:hint="default" w:ascii="Times New Roman" w:hAnsi="Times New Roman" w:cs="Times New Roman"/>
          <w:color w:val="auto"/>
        </w:rPr>
      </w:pPr>
      <w:r>
        <w:rPr>
          <w:rFonts w:hint="default" w:ascii="Times New Roman" w:hAnsi="Times New Roman" w:cs="Times New Roman"/>
          <w:color w:val="auto"/>
        </w:rPr>
        <w:t>综上所述，本项目运营期间产生固体废物均得到及时妥善处置，满足</w:t>
      </w:r>
      <w:r>
        <w:rPr>
          <w:rFonts w:hint="default" w:ascii="Times New Roman" w:hAnsi="Times New Roman" w:cs="Times New Roman"/>
          <w:color w:val="auto"/>
          <w:lang w:val="en-US"/>
        </w:rPr>
        <w:t>《排污许可证申请与核发技术规范畜禽养殖行业》（HJ1029-2019）要求，</w:t>
      </w:r>
      <w:r>
        <w:rPr>
          <w:rFonts w:hint="default" w:ascii="Times New Roman" w:hAnsi="Times New Roman" w:cs="Times New Roman"/>
          <w:color w:val="auto"/>
        </w:rPr>
        <w:t>采取的固废处置和污染防治措施可行。</w:t>
      </w:r>
    </w:p>
    <w:p w14:paraId="7612F47B">
      <w:pPr>
        <w:pStyle w:val="4"/>
        <w:bidi w:val="0"/>
        <w:rPr>
          <w:rFonts w:hint="default" w:ascii="Times New Roman" w:hAnsi="Times New Roman" w:cs="Times New Roman"/>
          <w:color w:val="auto"/>
        </w:rPr>
      </w:pPr>
      <w:r>
        <w:rPr>
          <w:rFonts w:hint="default" w:ascii="Times New Roman" w:hAnsi="Times New Roman" w:cs="Times New Roman"/>
          <w:color w:val="auto"/>
        </w:rPr>
        <w:t>土壤环境保护措施可行性分析</w:t>
      </w:r>
    </w:p>
    <w:p w14:paraId="30E7826F">
      <w:pPr>
        <w:pStyle w:val="5"/>
        <w:bidi w:val="0"/>
        <w:rPr>
          <w:rFonts w:hint="default" w:ascii="Times New Roman" w:hAnsi="Times New Roman" w:cs="Times New Roman"/>
          <w:color w:val="auto"/>
        </w:rPr>
      </w:pPr>
      <w:r>
        <w:rPr>
          <w:rFonts w:hint="default" w:ascii="Times New Roman" w:hAnsi="Times New Roman" w:cs="Times New Roman"/>
          <w:color w:val="auto"/>
        </w:rPr>
        <w:t>源头控制措施</w:t>
      </w:r>
    </w:p>
    <w:p w14:paraId="7EC495B4">
      <w:pPr>
        <w:pStyle w:val="16"/>
        <w:numPr>
          <w:ilvl w:val="0"/>
          <w:numId w:val="10"/>
        </w:numPr>
        <w:bidi w:val="0"/>
        <w:ind w:right="-11"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本项目在生产环节中不涉及有毒有害化学品，但废水中物质可能通过渗漏会污染土壤。因此项目建设过程中必须考虑土壤的保护问题，对</w:t>
      </w:r>
      <w:r>
        <w:rPr>
          <w:rFonts w:hint="default" w:ascii="Times New Roman" w:hAnsi="Times New Roman" w:eastAsia="宋体" w:cs="Times New Roman"/>
          <w:color w:val="auto"/>
          <w:sz w:val="24"/>
          <w:szCs w:val="24"/>
          <w:lang w:eastAsia="zh-CN"/>
        </w:rPr>
        <w:t>医疗废物暂存间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rPr>
        <w:t>收集池等须采取防渗措施，建设防渗地坪。固废暂存场所要</w:t>
      </w:r>
      <w:r>
        <w:rPr>
          <w:rFonts w:hint="default" w:ascii="Times New Roman" w:hAnsi="Times New Roman" w:cs="Times New Roman"/>
          <w:color w:val="auto"/>
          <w:sz w:val="24"/>
          <w:szCs w:val="24"/>
          <w:lang w:eastAsia="zh-CN"/>
        </w:rPr>
        <w:t>做好</w:t>
      </w:r>
      <w:r>
        <w:rPr>
          <w:rFonts w:hint="default" w:ascii="Times New Roman" w:hAnsi="Times New Roman" w:eastAsia="宋体" w:cs="Times New Roman"/>
          <w:color w:val="auto"/>
          <w:sz w:val="24"/>
          <w:szCs w:val="24"/>
        </w:rPr>
        <w:t>防渗、防漏、防雨淋、防晒等，避免固废中的有毒物质渗入土壤。设置的</w:t>
      </w:r>
      <w:r>
        <w:rPr>
          <w:rFonts w:hint="default" w:ascii="Times New Roman" w:hAnsi="Times New Roman" w:eastAsia="宋体" w:cs="Times New Roman"/>
          <w:color w:val="auto"/>
          <w:sz w:val="24"/>
          <w:szCs w:val="24"/>
          <w:lang w:eastAsia="zh-CN"/>
        </w:rPr>
        <w:t>医疗废物暂存间</w:t>
      </w:r>
      <w:r>
        <w:rPr>
          <w:rFonts w:hint="default" w:ascii="Times New Roman" w:hAnsi="Times New Roman" w:eastAsia="宋体" w:cs="Times New Roman"/>
          <w:color w:val="auto"/>
          <w:sz w:val="24"/>
          <w:szCs w:val="24"/>
        </w:rPr>
        <w:t>要符合规范要求，防止其泄漏，以减少污染物的排放，尽可能从源头上减少污染物的产生和排放；</w:t>
      </w:r>
    </w:p>
    <w:p w14:paraId="1B2E49B4">
      <w:pPr>
        <w:pStyle w:val="16"/>
        <w:numPr>
          <w:ilvl w:val="0"/>
          <w:numId w:val="10"/>
        </w:numPr>
        <w:bidi w:val="0"/>
        <w:ind w:right="-11" w:rightChars="0" w:firstLine="480" w:firstLineChars="200"/>
        <w:rPr>
          <w:rFonts w:hint="default" w:ascii="Times New Roman" w:hAnsi="Times New Roman" w:cs="Times New Roman"/>
          <w:color w:val="auto"/>
          <w:lang w:eastAsia="zh-CN"/>
        </w:rPr>
      </w:pPr>
      <w:r>
        <w:rPr>
          <w:rFonts w:hint="default" w:ascii="Times New Roman" w:hAnsi="Times New Roman" w:eastAsia="宋体" w:cs="Times New Roman"/>
          <w:color w:val="auto"/>
          <w:sz w:val="24"/>
          <w:szCs w:val="24"/>
        </w:rPr>
        <w:t>企业在废水收集处理和治理过程中应从严要求，管道尽量采用材质较好的管道，从源头控制废水下渗污染土壤。</w:t>
      </w:r>
    </w:p>
    <w:p w14:paraId="0B43BBCE">
      <w:pPr>
        <w:pStyle w:val="5"/>
        <w:bidi w:val="0"/>
        <w:rPr>
          <w:rFonts w:hint="default" w:ascii="Times New Roman" w:hAnsi="Times New Roman" w:cs="Times New Roman"/>
          <w:color w:val="auto"/>
          <w:lang w:eastAsia="zh-CN"/>
        </w:rPr>
      </w:pPr>
      <w:r>
        <w:rPr>
          <w:rFonts w:hint="default" w:ascii="Times New Roman" w:hAnsi="Times New Roman" w:cs="Times New Roman"/>
          <w:color w:val="auto"/>
        </w:rPr>
        <w:t>过程控制措施</w:t>
      </w:r>
    </w:p>
    <w:p w14:paraId="7CE0B07D">
      <w:pPr>
        <w:pStyle w:val="16"/>
        <w:numPr>
          <w:ilvl w:val="0"/>
          <w:numId w:val="11"/>
        </w:numPr>
        <w:bidi w:val="0"/>
        <w:ind w:right="-11"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厂区内应加大绿化措施，种植具有较强吸附能力的植物为主；</w:t>
      </w:r>
    </w:p>
    <w:p w14:paraId="5A68FFF1">
      <w:pPr>
        <w:pStyle w:val="16"/>
        <w:numPr>
          <w:ilvl w:val="0"/>
          <w:numId w:val="11"/>
        </w:numPr>
        <w:bidi w:val="0"/>
        <w:ind w:right="-11" w:rightChars="0" w:firstLine="480" w:firstLineChars="200"/>
        <w:rPr>
          <w:rFonts w:hint="default" w:ascii="Times New Roman" w:hAnsi="Times New Roman" w:cs="Times New Roman"/>
          <w:color w:val="auto"/>
          <w:lang w:eastAsia="zh-CN"/>
        </w:rPr>
      </w:pPr>
      <w:r>
        <w:rPr>
          <w:rFonts w:hint="default" w:ascii="Times New Roman" w:hAnsi="Times New Roman" w:eastAsia="宋体" w:cs="Times New Roman"/>
          <w:color w:val="auto"/>
          <w:sz w:val="24"/>
          <w:szCs w:val="24"/>
        </w:rPr>
        <w:t>根据地形特点，优化地面布局，以防止土壤环境污染；</w:t>
      </w:r>
    </w:p>
    <w:p w14:paraId="07C9E9A9">
      <w:pPr>
        <w:pStyle w:val="16"/>
        <w:numPr>
          <w:ilvl w:val="0"/>
          <w:numId w:val="11"/>
        </w:numPr>
        <w:bidi w:val="0"/>
        <w:ind w:right="-11" w:rightChars="0" w:firstLine="480" w:firstLineChars="200"/>
        <w:rPr>
          <w:rFonts w:hint="default" w:ascii="Times New Roman" w:hAnsi="Times New Roman" w:cs="Times New Roman"/>
          <w:color w:val="auto"/>
          <w:kern w:val="0"/>
          <w:sz w:val="24"/>
        </w:rPr>
      </w:pPr>
      <w:r>
        <w:rPr>
          <w:rFonts w:hint="default" w:ascii="Times New Roman" w:hAnsi="Times New Roman" w:eastAsia="宋体" w:cs="Times New Roman"/>
          <w:color w:val="auto"/>
          <w:sz w:val="24"/>
          <w:szCs w:val="24"/>
        </w:rPr>
        <w:t>严格按照国家相关规范要求，对工艺、管道、设备等构筑物采取相应防腐、防渗措施，防止废水渗漏到地下污染土壤。堆放各种原辅料的化学品间要按照国家相关规范要求，采取严格的防泄漏、防溢流、防腐蚀、防雨淋等措施，严防污染物下渗到土壤中污染土壤。</w:t>
      </w:r>
    </w:p>
    <w:p w14:paraId="3241BC11">
      <w:pPr>
        <w:pStyle w:val="16"/>
        <w:numPr>
          <w:ilvl w:val="0"/>
          <w:numId w:val="11"/>
        </w:numPr>
        <w:bidi w:val="0"/>
        <w:ind w:right="-11" w:rightChars="0" w:firstLine="480" w:firstLineChars="200"/>
        <w:rPr>
          <w:rFonts w:hint="default" w:ascii="Times New Roman" w:hAnsi="Times New Roman" w:cs="Times New Roman"/>
          <w:color w:val="auto"/>
          <w:kern w:val="0"/>
          <w:sz w:val="24"/>
          <w:highlight w:val="none"/>
        </w:rPr>
      </w:pPr>
      <w:r>
        <w:rPr>
          <w:rFonts w:hint="default" w:ascii="Times New Roman" w:hAnsi="Times New Roman" w:eastAsia="宋体" w:cs="Times New Roman"/>
          <w:color w:val="auto"/>
          <w:sz w:val="24"/>
          <w:szCs w:val="24"/>
        </w:rPr>
        <w:t>固废不得露天堆放，需设置防雨措施，</w:t>
      </w:r>
      <w:r>
        <w:rPr>
          <w:rFonts w:hint="default" w:ascii="Times New Roman" w:hAnsi="Times New Roman" w:cs="Times New Roman"/>
          <w:color w:val="auto"/>
          <w:sz w:val="24"/>
          <w:szCs w:val="24"/>
          <w:lang w:eastAsia="zh-CN"/>
        </w:rPr>
        <w:t>防止</w:t>
      </w:r>
      <w:r>
        <w:rPr>
          <w:rFonts w:hint="default" w:ascii="Times New Roman" w:hAnsi="Times New Roman" w:eastAsia="宋体" w:cs="Times New Roman"/>
          <w:color w:val="auto"/>
          <w:sz w:val="24"/>
          <w:szCs w:val="24"/>
        </w:rPr>
        <w:t>雨水冲刷过程将有毒有害污染物带入土壤中而污染环境。</w:t>
      </w:r>
      <w:r>
        <w:rPr>
          <w:rFonts w:hint="default" w:ascii="Times New Roman" w:hAnsi="Times New Roman" w:cs="Times New Roman"/>
          <w:color w:val="auto"/>
          <w:kern w:val="0"/>
          <w:sz w:val="24"/>
        </w:rPr>
        <w:t>本项目建成后全场分为重点防渗区、一般防渗区</w:t>
      </w:r>
      <w:r>
        <w:rPr>
          <w:rFonts w:hint="default" w:ascii="Times New Roman" w:hAnsi="Times New Roman" w:cs="Times New Roman"/>
          <w:color w:val="auto"/>
          <w:kern w:val="0"/>
          <w:sz w:val="24"/>
          <w:lang w:val="en-US" w:eastAsia="zh-CN"/>
        </w:rPr>
        <w:t>和简单防渗区</w:t>
      </w:r>
      <w:r>
        <w:rPr>
          <w:rFonts w:hint="default" w:ascii="Times New Roman" w:hAnsi="Times New Roman" w:cs="Times New Roman"/>
          <w:color w:val="auto"/>
          <w:kern w:val="0"/>
          <w:sz w:val="24"/>
        </w:rPr>
        <w:t>。重点</w:t>
      </w:r>
      <w:r>
        <w:rPr>
          <w:rFonts w:hint="default" w:ascii="Times New Roman" w:hAnsi="Times New Roman" w:cs="Times New Roman"/>
          <w:color w:val="auto"/>
          <w:kern w:val="0"/>
          <w:sz w:val="24"/>
          <w:highlight w:val="none"/>
        </w:rPr>
        <w:t>防渗区主要包括：</w:t>
      </w:r>
      <w:r>
        <w:rPr>
          <w:rFonts w:hint="default" w:ascii="Times New Roman" w:hAnsi="Times New Roman" w:cs="Times New Roman"/>
          <w:color w:val="auto"/>
          <w:kern w:val="0"/>
          <w:sz w:val="24"/>
          <w:highlight w:val="none"/>
          <w:lang w:eastAsia="zh-CN"/>
        </w:rPr>
        <w:t>废水收集池</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安全填埋井</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鸡粪发酵</w:t>
      </w:r>
      <w:r>
        <w:rPr>
          <w:rFonts w:hint="eastAsia" w:ascii="Times New Roman" w:hAnsi="Times New Roman" w:cs="Times New Roman"/>
          <w:color w:val="auto"/>
          <w:kern w:val="0"/>
          <w:sz w:val="24"/>
          <w:highlight w:val="none"/>
          <w:lang w:val="en-US" w:eastAsia="zh-CN"/>
        </w:rPr>
        <w:t>处理厂</w:t>
      </w:r>
      <w:r>
        <w:rPr>
          <w:rFonts w:hint="default" w:ascii="Times New Roman" w:hAnsi="Times New Roman" w:cs="Times New Roman"/>
          <w:color w:val="auto"/>
          <w:kern w:val="0"/>
          <w:sz w:val="24"/>
          <w:highlight w:val="none"/>
        </w:rPr>
        <w:t>、医疗废物暂存间等；一般防渗区主要包括：</w:t>
      </w:r>
      <w:r>
        <w:rPr>
          <w:rFonts w:hint="default" w:ascii="Times New Roman" w:hAnsi="Times New Roman" w:eastAsia="宋体" w:cs="Times New Roman"/>
          <w:color w:val="auto"/>
          <w:sz w:val="24"/>
          <w:szCs w:val="24"/>
          <w:highlight w:val="none"/>
          <w:lang w:val="zh-CN" w:eastAsia="zh-CN" w:bidi="zh-CN"/>
        </w:rPr>
        <w:t>各类鸡舍、消毒更衣室、</w:t>
      </w:r>
      <w:r>
        <w:rPr>
          <w:rFonts w:hint="default" w:ascii="Times New Roman" w:hAnsi="Times New Roman" w:eastAsia="宋体" w:cs="Times New Roman"/>
          <w:color w:val="auto"/>
          <w:sz w:val="24"/>
          <w:szCs w:val="24"/>
          <w:highlight w:val="none"/>
          <w:lang w:val="en-US" w:eastAsia="zh-CN" w:bidi="zh-CN"/>
        </w:rPr>
        <w:t>鸡蛋分级库</w:t>
      </w:r>
      <w:r>
        <w:rPr>
          <w:rFonts w:hint="default" w:ascii="Times New Roman" w:hAnsi="Times New Roman" w:cs="Times New Roman"/>
          <w:color w:val="auto"/>
          <w:kern w:val="0"/>
          <w:sz w:val="24"/>
          <w:highlight w:val="none"/>
        </w:rPr>
        <w:t>等</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简单防渗区包括办公区和道路等</w:t>
      </w:r>
      <w:r>
        <w:rPr>
          <w:rFonts w:hint="default" w:ascii="Times New Roman" w:hAnsi="Times New Roman" w:cs="Times New Roman"/>
          <w:color w:val="auto"/>
          <w:kern w:val="0"/>
          <w:sz w:val="24"/>
          <w:highlight w:val="none"/>
        </w:rPr>
        <w:t>。</w:t>
      </w:r>
    </w:p>
    <w:p w14:paraId="0B2BFD82">
      <w:pPr>
        <w:widowControl/>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建设单位应在管理方面加强管理，并采取相应的防渗措施可有效防止废水</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造成区域土壤环境的污染。</w:t>
      </w:r>
    </w:p>
    <w:p w14:paraId="324F2D91">
      <w:pPr>
        <w:pStyle w:val="5"/>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粪污土地承载力分析</w:t>
      </w:r>
    </w:p>
    <w:p w14:paraId="1CEF07B8">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①区域土壤利用状况</w:t>
      </w:r>
    </w:p>
    <w:p w14:paraId="73204E03">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本项目周围无工业污染源，环境较为理想，适合本项目的建设。</w:t>
      </w:r>
    </w:p>
    <w:p w14:paraId="1AD842C8">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②粪便处理的优势</w:t>
      </w:r>
    </w:p>
    <w:p w14:paraId="3DAAC34E">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本项目产生的粪便中含有大量的植物生长过程中的营养元素，可通过发酵堆肥后作为农田的肥料，用于施肥，不仅节约环保投资，强化循环经济，而且增加周边农田土壤的肥力，可以提高农产品的产量。</w:t>
      </w:r>
    </w:p>
    <w:p w14:paraId="457E595E">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③土壤负荷预测</w:t>
      </w:r>
    </w:p>
    <w:p w14:paraId="1BC2DAFB">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随着面源污染的不断扩大，国内外对畜禽养殖业的发展做出相应规定。我国根据国外经验，在《畜禽养殖业污染防治技术规范》（HJ/T81-2001）中提出了原则性规定；畜禽养殖场的建设应坚持农牧结合、种养平衡的原则，根据本场区土地对畜禽粪便的消纳能力，确定新建畜禽养殖场的养殖规模。对于无相应消纳土地的养殖场，必须配备建立具有相应加工（处理）能力的粪便污水处理设施或处理（处置）机制。</w:t>
      </w:r>
    </w:p>
    <w:p w14:paraId="22AFD67F">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④周边农田消纳能力分析</w:t>
      </w:r>
    </w:p>
    <w:p w14:paraId="4F874817">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根据农业农村部《畜禽粪污土地承载力测算技术指南》的通知，该指南适用于“区域畜禽粪污土地承载力和畜禽规模养殖场粪污消纳配套土地面积的测算”，计算本项目粪污消纳配套土地面积的测算如下：</w:t>
      </w:r>
    </w:p>
    <w:p w14:paraId="3195E224">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1）猪当量</w:t>
      </w:r>
    </w:p>
    <w:p w14:paraId="25E8274E">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指用于衡量畜禽氮（磷）排泄量的度量单位，1头猪为1个猪当量。1个猪当量的氮排泄量为11kg，磷排泄量为1.65kg。</w:t>
      </w:r>
    </w:p>
    <w:p w14:paraId="1E131FC1">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2）测算原则</w:t>
      </w:r>
    </w:p>
    <w:p w14:paraId="5BBF54EE">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畜禽粪污土地承载力及规模养殖场配套土地面积测算以粪肥氮养分供给和植物氮养分需求为基础进行核算，对于设施蔬菜等作物为主或土壤本底磷含量较高的特殊区域或农用地，可选择以磷为基础进行测算。畜禽粪肥养分需求量根据土壤肥力、作物类型和产量、粪肥施用比例等确定。畜禽粪肥养分供给量根据畜禽养殖量、粪污养分产生量、粪污收集处理方式等确定。</w:t>
      </w:r>
    </w:p>
    <w:p w14:paraId="2E6DFBCF">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3）畜禽粪污土地承载力测算方法</w:t>
      </w:r>
    </w:p>
    <w:p w14:paraId="67B0B7F7">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A.区域植物养分需求量</w:t>
      </w:r>
    </w:p>
    <w:p w14:paraId="49D72876">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根据区域内各类植物（包括作物、人工牧草、人工林地等）的氮（磷）养分需求量测算，计算方法如下：</w:t>
      </w:r>
    </w:p>
    <w:p w14:paraId="456233B5">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color w:val="FF0000"/>
          <w:highlight w:val="none"/>
        </w:rPr>
      </w:pPr>
      <w:r>
        <w:rPr>
          <w:rFonts w:hint="default" w:ascii="Times New Roman" w:hAnsi="Times New Roman" w:eastAsia="宋体" w:cs="Times New Roman"/>
          <w:color w:val="FF0000"/>
          <w:kern w:val="0"/>
          <w:sz w:val="24"/>
          <w:szCs w:val="24"/>
          <w:highlight w:val="none"/>
          <w:lang w:val="en-US" w:eastAsia="zh-CN" w:bidi="ar"/>
        </w:rPr>
        <w:drawing>
          <wp:inline distT="0" distB="0" distL="114300" distR="114300">
            <wp:extent cx="5286375" cy="285750"/>
            <wp:effectExtent l="0" t="0" r="9525" b="0"/>
            <wp:docPr id="61" name="图片 4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0" descr="IMG_256"/>
                    <pic:cNvPicPr>
                      <a:picLocks noChangeAspect="1"/>
                    </pic:cNvPicPr>
                  </pic:nvPicPr>
                  <pic:blipFill>
                    <a:blip r:embed="rId35"/>
                    <a:stretch>
                      <a:fillRect/>
                    </a:stretch>
                  </pic:blipFill>
                  <pic:spPr>
                    <a:xfrm>
                      <a:off x="0" y="0"/>
                      <a:ext cx="5286375" cy="285750"/>
                    </a:xfrm>
                    <a:prstGeom prst="rect">
                      <a:avLst/>
                    </a:prstGeom>
                    <a:noFill/>
                    <a:ln>
                      <a:noFill/>
                    </a:ln>
                  </pic:spPr>
                </pic:pic>
              </a:graphicData>
            </a:graphic>
          </wp:inline>
        </w:drawing>
      </w:r>
    </w:p>
    <w:p w14:paraId="1F569718">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不同植物单位产量（单位面积）适宜氮（磷）养分需求量可以通过分析该区域的土壤养分和田间试验获得。</w:t>
      </w:r>
    </w:p>
    <w:p w14:paraId="48AB69DD">
      <w:pPr>
        <w:pStyle w:val="16"/>
        <w:bidi w:val="0"/>
        <w:rPr>
          <w:rFonts w:hint="default" w:ascii="Times New Roman" w:hAnsi="Times New Roman" w:cs="Times New Roman"/>
          <w:color w:val="FF0000"/>
        </w:rPr>
      </w:pPr>
      <w:r>
        <w:rPr>
          <w:rFonts w:hint="default" w:ascii="Times New Roman" w:hAnsi="Times New Roman" w:cs="Times New Roman"/>
          <w:color w:val="FF0000"/>
          <w:lang w:val="en-US" w:eastAsia="zh-CN"/>
        </w:rPr>
        <w:t>项目区粪便发酵后用于新疆生产建设兵团第十师188团，周边有10万亩玉米地，根据《畜禽粪污土地承载力测算技术指南》大田作物玉米吸收氮磷量推荐值及占地面积详见表6.2-2。</w:t>
      </w:r>
    </w:p>
    <w:p w14:paraId="258C7892">
      <w:pPr>
        <w:pStyle w:val="14"/>
        <w:bidi w:val="0"/>
        <w:rPr>
          <w:rFonts w:hint="default" w:ascii="Times New Roman" w:hAnsi="Times New Roman" w:cs="Times New Roman"/>
          <w:color w:val="FF0000"/>
          <w:lang w:val="en-US"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lang w:val="en-US" w:eastAsia="zh-CN"/>
        </w:rPr>
        <w:t>6</w:t>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2形成100kg产量需要吸收氮磷量推荐值</w:t>
      </w:r>
    </w:p>
    <w:tbl>
      <w:tblPr>
        <w:tblStyle w:val="33"/>
        <w:tblW w:w="50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0"/>
        <w:gridCol w:w="967"/>
        <w:gridCol w:w="1291"/>
        <w:gridCol w:w="1204"/>
        <w:gridCol w:w="1404"/>
        <w:gridCol w:w="1311"/>
        <w:gridCol w:w="1194"/>
      </w:tblGrid>
      <w:tr w14:paraId="69FE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8" w:type="pct"/>
            <w:gridSpan w:val="2"/>
            <w:vMerge w:val="restart"/>
            <w:noWrap w:val="0"/>
            <w:vAlign w:val="center"/>
          </w:tcPr>
          <w:p w14:paraId="0D575635">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FF0000"/>
                <w:kern w:val="2"/>
                <w:sz w:val="21"/>
                <w:szCs w:val="21"/>
                <w:highlight w:val="none"/>
                <w:lang w:val="en-US" w:eastAsia="zh-CN" w:bidi="ar-SA"/>
              </w:rPr>
              <w:t>作物种类</w:t>
            </w:r>
          </w:p>
        </w:tc>
        <w:tc>
          <w:tcPr>
            <w:tcW w:w="768" w:type="pct"/>
            <w:vMerge w:val="restart"/>
            <w:noWrap w:val="0"/>
            <w:vAlign w:val="center"/>
          </w:tcPr>
          <w:p w14:paraId="2050B27F">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氮/N</w:t>
            </w:r>
            <w:r>
              <w:rPr>
                <w:rFonts w:hint="eastAsia" w:ascii="Times New Roman" w:hAnsi="Times New Roman" w:cs="Times New Roman"/>
                <w:color w:val="FF0000"/>
                <w:kern w:val="2"/>
                <w:sz w:val="21"/>
                <w:szCs w:val="21"/>
                <w:highlight w:val="none"/>
                <w:lang w:val="en-US" w:eastAsia="zh-CN" w:bidi="ar-SA"/>
              </w:rPr>
              <w:t>（</w:t>
            </w:r>
            <w:r>
              <w:rPr>
                <w:rFonts w:hint="default" w:ascii="Times New Roman" w:hAnsi="Times New Roman" w:eastAsia="宋体" w:cs="Times New Roman"/>
                <w:color w:val="FF0000"/>
                <w:kern w:val="2"/>
                <w:sz w:val="21"/>
                <w:szCs w:val="21"/>
                <w:highlight w:val="none"/>
                <w:lang w:val="en-US" w:eastAsia="zh-CN" w:bidi="ar-SA"/>
              </w:rPr>
              <w:t>kg)</w:t>
            </w:r>
          </w:p>
        </w:tc>
        <w:tc>
          <w:tcPr>
            <w:tcW w:w="716" w:type="pct"/>
            <w:vMerge w:val="restart"/>
            <w:noWrap w:val="0"/>
            <w:vAlign w:val="center"/>
          </w:tcPr>
          <w:p w14:paraId="54DEC825">
            <w:pPr>
              <w:autoSpaceDE/>
              <w:autoSpaceDN/>
              <w:adjustRightInd w:val="0"/>
              <w:snapToGrid w:val="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eastAsia="zh-CN" w:bidi="ar-SA"/>
              </w:rPr>
              <w:t>磷/P</w:t>
            </w:r>
            <w:r>
              <w:rPr>
                <w:rFonts w:hint="eastAsia" w:ascii="Times New Roman" w:hAnsi="Times New Roman" w:cs="Times New Roman"/>
                <w:color w:val="FF0000"/>
                <w:kern w:val="2"/>
                <w:sz w:val="21"/>
                <w:szCs w:val="21"/>
                <w:highlight w:val="none"/>
                <w:lang w:val="en-US" w:eastAsia="zh-CN" w:bidi="ar-SA"/>
              </w:rPr>
              <w:t>（</w:t>
            </w:r>
            <w:r>
              <w:rPr>
                <w:rFonts w:hint="default" w:ascii="Times New Roman" w:hAnsi="Times New Roman" w:cs="Times New Roman"/>
                <w:color w:val="FF0000"/>
                <w:kern w:val="2"/>
                <w:sz w:val="21"/>
                <w:szCs w:val="21"/>
                <w:highlight w:val="none"/>
                <w:lang w:val="en-US" w:eastAsia="zh-CN" w:bidi="ar-SA"/>
              </w:rPr>
              <w:t>kg)</w:t>
            </w:r>
          </w:p>
        </w:tc>
        <w:tc>
          <w:tcPr>
            <w:tcW w:w="835" w:type="pct"/>
            <w:vMerge w:val="restart"/>
            <w:noWrap w:val="0"/>
            <w:vAlign w:val="center"/>
          </w:tcPr>
          <w:p w14:paraId="6930549D">
            <w:pPr>
              <w:autoSpaceDE/>
              <w:autoSpaceDN/>
              <w:adjustRightInd w:val="0"/>
              <w:snapToGrid w:val="0"/>
              <w:jc w:val="center"/>
              <w:rPr>
                <w:rFonts w:hint="default" w:ascii="Times New Roman" w:hAnsi="Times New Roman" w:cs="Times New Roman"/>
                <w:color w:val="FF0000"/>
                <w:kern w:val="2"/>
                <w:sz w:val="21"/>
                <w:szCs w:val="21"/>
                <w:highlight w:val="none"/>
                <w:lang w:val="en-US" w:eastAsia="zh-CN" w:bidi="ar-SA"/>
              </w:rPr>
            </w:pPr>
            <w:r>
              <w:rPr>
                <w:rFonts w:hint="default" w:ascii="Times New Roman" w:hAnsi="Times New Roman" w:cs="Times New Roman"/>
                <w:color w:val="FF0000"/>
                <w:kern w:val="2"/>
                <w:sz w:val="21"/>
                <w:szCs w:val="21"/>
                <w:highlight w:val="none"/>
                <w:lang w:val="en-US" w:eastAsia="zh-CN" w:bidi="ar-SA"/>
              </w:rPr>
              <w:t>产量</w:t>
            </w:r>
          </w:p>
          <w:p w14:paraId="49B86F54">
            <w:pPr>
              <w:autoSpaceDE/>
              <w:autoSpaceDN/>
              <w:adjustRightInd w:val="0"/>
              <w:snapToGrid w:val="0"/>
              <w:jc w:val="center"/>
              <w:rPr>
                <w:rFonts w:hint="default" w:ascii="Times New Roman" w:hAnsi="Times New Roman" w:cs="Times New Roman"/>
                <w:color w:val="FF0000"/>
                <w:kern w:val="2"/>
                <w:sz w:val="21"/>
                <w:szCs w:val="21"/>
                <w:highlight w:val="none"/>
                <w:lang w:val="en-US" w:bidi="ar-SA"/>
              </w:rPr>
            </w:pPr>
            <w:r>
              <w:rPr>
                <w:rFonts w:hint="eastAsia" w:ascii="Times New Roman" w:hAnsi="Times New Roman" w:cs="Times New Roman"/>
                <w:color w:val="FF0000"/>
                <w:kern w:val="2"/>
                <w:sz w:val="21"/>
                <w:szCs w:val="21"/>
                <w:highlight w:val="none"/>
                <w:lang w:val="en-US" w:eastAsia="zh-CN" w:bidi="ar-SA"/>
              </w:rPr>
              <w:t>（</w:t>
            </w:r>
            <w:r>
              <w:rPr>
                <w:rFonts w:hint="default" w:ascii="Times New Roman" w:hAnsi="Times New Roman" w:cs="Times New Roman"/>
                <w:color w:val="FF0000"/>
                <w:kern w:val="2"/>
                <w:sz w:val="21"/>
                <w:szCs w:val="21"/>
                <w:highlight w:val="none"/>
                <w:lang w:val="en-US" w:eastAsia="zh-CN" w:bidi="ar-SA"/>
              </w:rPr>
              <w:t>t/hm</w:t>
            </w:r>
            <w:r>
              <w:rPr>
                <w:rFonts w:hint="default" w:ascii="Times New Roman" w:hAnsi="Times New Roman" w:cs="Times New Roman"/>
                <w:color w:val="FF0000"/>
                <w:kern w:val="2"/>
                <w:sz w:val="21"/>
                <w:szCs w:val="21"/>
                <w:highlight w:val="none"/>
                <w:vertAlign w:val="superscript"/>
                <w:lang w:val="en-US" w:eastAsia="zh-CN" w:bidi="ar-SA"/>
              </w:rPr>
              <w:t>2</w:t>
            </w:r>
            <w:r>
              <w:rPr>
                <w:rFonts w:hint="default" w:ascii="Times New Roman" w:hAnsi="Times New Roman" w:cs="Times New Roman"/>
                <w:color w:val="FF0000"/>
                <w:kern w:val="2"/>
                <w:sz w:val="21"/>
                <w:szCs w:val="21"/>
                <w:highlight w:val="none"/>
                <w:lang w:val="en-US" w:eastAsia="zh-CN" w:bidi="ar-SA"/>
              </w:rPr>
              <w:t>)</w:t>
            </w:r>
          </w:p>
        </w:tc>
        <w:tc>
          <w:tcPr>
            <w:tcW w:w="1490" w:type="pct"/>
            <w:gridSpan w:val="2"/>
            <w:noWrap w:val="0"/>
            <w:vAlign w:val="center"/>
          </w:tcPr>
          <w:p w14:paraId="6FD404CD">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FF0000"/>
                <w:kern w:val="2"/>
                <w:sz w:val="21"/>
                <w:szCs w:val="21"/>
                <w:highlight w:val="none"/>
                <w:lang w:val="en-US" w:eastAsia="zh-CN" w:bidi="ar-SA"/>
              </w:rPr>
              <w:t>占地面积</w:t>
            </w:r>
          </w:p>
        </w:tc>
      </w:tr>
      <w:tr w14:paraId="59A8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1188" w:type="pct"/>
            <w:gridSpan w:val="2"/>
            <w:vMerge w:val="continue"/>
            <w:noWrap w:val="0"/>
            <w:vAlign w:val="center"/>
          </w:tcPr>
          <w:p w14:paraId="30142052">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p>
        </w:tc>
        <w:tc>
          <w:tcPr>
            <w:tcW w:w="768" w:type="pct"/>
            <w:vMerge w:val="continue"/>
            <w:noWrap w:val="0"/>
            <w:vAlign w:val="top"/>
          </w:tcPr>
          <w:p w14:paraId="19A0D94F">
            <w:pPr>
              <w:autoSpaceDE/>
              <w:autoSpaceDN/>
              <w:adjustRightInd w:val="0"/>
              <w:snapToGrid w:val="0"/>
              <w:jc w:val="left"/>
              <w:rPr>
                <w:rFonts w:hint="default" w:ascii="Times New Roman" w:hAnsi="Times New Roman" w:cs="Times New Roman"/>
                <w:color w:val="FF0000"/>
                <w:kern w:val="2"/>
                <w:sz w:val="21"/>
                <w:szCs w:val="21"/>
                <w:highlight w:val="none"/>
                <w:lang w:val="en-US" w:bidi="ar-SA"/>
              </w:rPr>
            </w:pPr>
          </w:p>
        </w:tc>
        <w:tc>
          <w:tcPr>
            <w:tcW w:w="716" w:type="pct"/>
            <w:vMerge w:val="continue"/>
            <w:noWrap w:val="0"/>
            <w:vAlign w:val="center"/>
          </w:tcPr>
          <w:p w14:paraId="02905C3D">
            <w:pPr>
              <w:autoSpaceDE/>
              <w:autoSpaceDN/>
              <w:adjustRightInd w:val="0"/>
              <w:snapToGrid w:val="0"/>
              <w:jc w:val="center"/>
              <w:rPr>
                <w:rFonts w:hint="default" w:ascii="Times New Roman" w:hAnsi="Times New Roman" w:cs="Times New Roman"/>
                <w:color w:val="FF0000"/>
                <w:kern w:val="2"/>
                <w:sz w:val="21"/>
                <w:szCs w:val="21"/>
                <w:highlight w:val="none"/>
                <w:lang w:val="en-US" w:bidi="ar-SA"/>
              </w:rPr>
            </w:pPr>
          </w:p>
        </w:tc>
        <w:tc>
          <w:tcPr>
            <w:tcW w:w="835" w:type="pct"/>
            <w:vMerge w:val="continue"/>
            <w:noWrap w:val="0"/>
            <w:vAlign w:val="center"/>
          </w:tcPr>
          <w:p w14:paraId="574E4152">
            <w:pPr>
              <w:autoSpaceDE/>
              <w:autoSpaceDN/>
              <w:adjustRightInd w:val="0"/>
              <w:snapToGrid w:val="0"/>
              <w:jc w:val="center"/>
              <w:rPr>
                <w:rFonts w:hint="default" w:ascii="Times New Roman" w:hAnsi="Times New Roman" w:cs="Times New Roman"/>
                <w:color w:val="FF0000"/>
                <w:kern w:val="2"/>
                <w:sz w:val="21"/>
                <w:szCs w:val="21"/>
                <w:highlight w:val="none"/>
                <w:lang w:val="en-US" w:bidi="ar-SA"/>
              </w:rPr>
            </w:pPr>
          </w:p>
        </w:tc>
        <w:tc>
          <w:tcPr>
            <w:tcW w:w="780" w:type="pct"/>
            <w:noWrap w:val="0"/>
            <w:vAlign w:val="center"/>
          </w:tcPr>
          <w:p w14:paraId="4FCCED58">
            <w:pPr>
              <w:autoSpaceDE/>
              <w:autoSpaceDN/>
              <w:adjustRightInd w:val="0"/>
              <w:snapToGrid w:val="0"/>
              <w:jc w:val="center"/>
              <w:rPr>
                <w:rFonts w:hint="default" w:ascii="Times New Roman" w:hAnsi="Times New Roman" w:cs="Times New Roman"/>
                <w:color w:val="FF0000"/>
                <w:kern w:val="2"/>
                <w:sz w:val="21"/>
                <w:szCs w:val="21"/>
                <w:highlight w:val="none"/>
                <w:lang w:val="en-US" w:bidi="ar-SA"/>
              </w:rPr>
            </w:pPr>
            <w:r>
              <w:rPr>
                <w:rFonts w:hint="eastAsia" w:ascii="Times New Roman" w:hAnsi="Times New Roman" w:cs="Times New Roman"/>
                <w:color w:val="FF0000"/>
                <w:kern w:val="2"/>
                <w:sz w:val="21"/>
                <w:szCs w:val="21"/>
                <w:highlight w:val="none"/>
                <w:lang w:val="en-US" w:eastAsia="zh-CN" w:bidi="ar-SA"/>
              </w:rPr>
              <w:t>（</w:t>
            </w:r>
            <w:r>
              <w:rPr>
                <w:rFonts w:hint="default" w:ascii="Times New Roman" w:hAnsi="Times New Roman" w:cs="Times New Roman"/>
                <w:color w:val="FF0000"/>
                <w:kern w:val="2"/>
                <w:sz w:val="21"/>
                <w:szCs w:val="21"/>
                <w:highlight w:val="none"/>
                <w:lang w:val="en-US" w:eastAsia="zh-CN" w:bidi="ar-SA"/>
              </w:rPr>
              <w:t>hm</w:t>
            </w:r>
            <w:r>
              <w:rPr>
                <w:rFonts w:hint="default" w:ascii="Times New Roman" w:hAnsi="Times New Roman" w:cs="Times New Roman"/>
                <w:color w:val="FF0000"/>
                <w:kern w:val="2"/>
                <w:sz w:val="21"/>
                <w:szCs w:val="21"/>
                <w:highlight w:val="none"/>
                <w:vertAlign w:val="superscript"/>
                <w:lang w:val="en-US" w:eastAsia="zh-CN" w:bidi="ar-SA"/>
              </w:rPr>
              <w:t>2</w:t>
            </w:r>
            <w:r>
              <w:rPr>
                <w:rFonts w:hint="default" w:ascii="Times New Roman" w:hAnsi="Times New Roman" w:cs="Times New Roman"/>
                <w:color w:val="FF0000"/>
                <w:kern w:val="2"/>
                <w:sz w:val="21"/>
                <w:szCs w:val="21"/>
                <w:highlight w:val="none"/>
                <w:lang w:val="en-US" w:eastAsia="zh-CN" w:bidi="ar-SA"/>
              </w:rPr>
              <w:t>)</w:t>
            </w:r>
          </w:p>
        </w:tc>
        <w:tc>
          <w:tcPr>
            <w:tcW w:w="710" w:type="pct"/>
            <w:noWrap w:val="0"/>
            <w:vAlign w:val="center"/>
          </w:tcPr>
          <w:p w14:paraId="661351E9">
            <w:pPr>
              <w:autoSpaceDE/>
              <w:autoSpaceDN/>
              <w:adjustRightInd w:val="0"/>
              <w:snapToGrid w:val="0"/>
              <w:jc w:val="center"/>
              <w:rPr>
                <w:rFonts w:hint="default" w:ascii="Times New Roman" w:hAnsi="Times New Roman" w:cs="Times New Roman"/>
                <w:color w:val="FF0000"/>
                <w:kern w:val="2"/>
                <w:sz w:val="21"/>
                <w:szCs w:val="21"/>
                <w:highlight w:val="none"/>
                <w:lang w:val="en-US" w:bidi="ar-SA"/>
              </w:rPr>
            </w:pPr>
            <w:r>
              <w:rPr>
                <w:rFonts w:hint="default" w:ascii="Times New Roman" w:hAnsi="Times New Roman" w:cs="Times New Roman"/>
                <w:color w:val="FF0000"/>
                <w:kern w:val="2"/>
                <w:sz w:val="21"/>
                <w:szCs w:val="21"/>
                <w:highlight w:val="none"/>
                <w:lang w:val="en-US" w:eastAsia="zh-CN" w:bidi="ar-SA"/>
              </w:rPr>
              <w:t>（亩）</w:t>
            </w:r>
          </w:p>
        </w:tc>
      </w:tr>
      <w:tr w14:paraId="6657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613" w:type="pct"/>
            <w:noWrap w:val="0"/>
            <w:vAlign w:val="center"/>
          </w:tcPr>
          <w:p w14:paraId="43F0EB77">
            <w:pPr>
              <w:autoSpaceDE/>
              <w:autoSpaceDN/>
              <w:adjustRightInd w:val="0"/>
              <w:snapToGrid w:val="0"/>
              <w:jc w:val="center"/>
              <w:rPr>
                <w:rFonts w:hint="default" w:ascii="Times New Roman" w:hAnsi="Times New Roman" w:cs="Times New Roman"/>
                <w:color w:val="FF0000"/>
                <w:kern w:val="2"/>
                <w:sz w:val="21"/>
                <w:szCs w:val="21"/>
                <w:highlight w:val="none"/>
                <w:lang w:val="en-US" w:eastAsia="zh-CN" w:bidi="ar-SA"/>
              </w:rPr>
            </w:pPr>
            <w:r>
              <w:rPr>
                <w:rFonts w:hint="default" w:ascii="Times New Roman" w:hAnsi="Times New Roman" w:cs="Times New Roman"/>
                <w:color w:val="FF0000"/>
                <w:kern w:val="2"/>
                <w:sz w:val="21"/>
                <w:szCs w:val="21"/>
                <w:highlight w:val="none"/>
                <w:lang w:val="en-US" w:eastAsia="zh-CN" w:bidi="ar-SA"/>
              </w:rPr>
              <w:t>大田作物</w:t>
            </w:r>
          </w:p>
        </w:tc>
        <w:tc>
          <w:tcPr>
            <w:tcW w:w="575" w:type="pct"/>
            <w:noWrap w:val="0"/>
            <w:vAlign w:val="center"/>
          </w:tcPr>
          <w:p w14:paraId="3B738B32">
            <w:pPr>
              <w:autoSpaceDE/>
              <w:autoSpaceDN/>
              <w:adjustRightInd w:val="0"/>
              <w:snapToGrid w:val="0"/>
              <w:jc w:val="center"/>
              <w:rPr>
                <w:rFonts w:hint="default" w:ascii="Times New Roman" w:hAnsi="Times New Roman" w:cs="Times New Roman"/>
                <w:color w:val="FF0000"/>
                <w:kern w:val="2"/>
                <w:sz w:val="21"/>
                <w:szCs w:val="21"/>
                <w:highlight w:val="none"/>
                <w:lang w:val="en-US" w:eastAsia="zh-CN" w:bidi="ar-SA"/>
              </w:rPr>
            </w:pPr>
            <w:r>
              <w:rPr>
                <w:rFonts w:hint="default" w:ascii="Times New Roman" w:hAnsi="Times New Roman" w:cs="Times New Roman"/>
                <w:color w:val="FF0000"/>
                <w:kern w:val="2"/>
                <w:sz w:val="21"/>
                <w:szCs w:val="21"/>
                <w:highlight w:val="none"/>
                <w:lang w:val="en-US" w:eastAsia="zh-CN" w:bidi="ar-SA"/>
              </w:rPr>
              <w:t>玉米</w:t>
            </w:r>
          </w:p>
        </w:tc>
        <w:tc>
          <w:tcPr>
            <w:tcW w:w="768" w:type="pct"/>
            <w:noWrap w:val="0"/>
            <w:vAlign w:val="center"/>
          </w:tcPr>
          <w:p w14:paraId="29E4522B">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FF0000"/>
                <w:kern w:val="2"/>
                <w:sz w:val="21"/>
                <w:szCs w:val="21"/>
                <w:highlight w:val="none"/>
                <w:lang w:val="en-US" w:eastAsia="zh-CN" w:bidi="ar-SA"/>
              </w:rPr>
              <w:t>2.3</w:t>
            </w:r>
          </w:p>
        </w:tc>
        <w:tc>
          <w:tcPr>
            <w:tcW w:w="716" w:type="pct"/>
            <w:noWrap w:val="0"/>
            <w:vAlign w:val="center"/>
          </w:tcPr>
          <w:p w14:paraId="73A93BE0">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FF0000"/>
                <w:kern w:val="2"/>
                <w:sz w:val="21"/>
                <w:szCs w:val="21"/>
                <w:highlight w:val="none"/>
                <w:lang w:val="en-US" w:eastAsia="zh-CN" w:bidi="ar-SA"/>
              </w:rPr>
              <w:t>0.3</w:t>
            </w:r>
          </w:p>
        </w:tc>
        <w:tc>
          <w:tcPr>
            <w:tcW w:w="835" w:type="pct"/>
            <w:noWrap w:val="0"/>
            <w:vAlign w:val="center"/>
          </w:tcPr>
          <w:p w14:paraId="7D838F69">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FF0000"/>
                <w:kern w:val="2"/>
                <w:sz w:val="21"/>
                <w:szCs w:val="21"/>
                <w:highlight w:val="none"/>
                <w:lang w:val="en-US" w:eastAsia="zh-CN" w:bidi="ar-SA"/>
              </w:rPr>
              <w:t>6</w:t>
            </w:r>
          </w:p>
        </w:tc>
        <w:tc>
          <w:tcPr>
            <w:tcW w:w="780" w:type="pct"/>
            <w:noWrap w:val="0"/>
            <w:vAlign w:val="center"/>
          </w:tcPr>
          <w:p w14:paraId="698F8CC7">
            <w:pPr>
              <w:keepNext w:val="0"/>
              <w:keepLines w:val="0"/>
              <w:widowControl/>
              <w:suppressLineNumbers w:val="0"/>
              <w:jc w:val="center"/>
              <w:textAlignment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i w:val="0"/>
                <w:iCs w:val="0"/>
                <w:color w:val="FF0000"/>
                <w:kern w:val="0"/>
                <w:sz w:val="21"/>
                <w:szCs w:val="21"/>
                <w:highlight w:val="none"/>
                <w:u w:val="none"/>
                <w:lang w:val="en-US" w:eastAsia="zh-CN" w:bidi="ar"/>
              </w:rPr>
              <w:t>66670000</w:t>
            </w:r>
          </w:p>
        </w:tc>
        <w:tc>
          <w:tcPr>
            <w:tcW w:w="710" w:type="pct"/>
            <w:noWrap w:val="0"/>
            <w:vAlign w:val="center"/>
          </w:tcPr>
          <w:p w14:paraId="22D57CF0">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FF0000"/>
                <w:kern w:val="2"/>
                <w:sz w:val="21"/>
                <w:szCs w:val="21"/>
                <w:highlight w:val="none"/>
                <w:lang w:val="en-US" w:eastAsia="zh-CN" w:bidi="ar-SA"/>
              </w:rPr>
              <w:t>10万</w:t>
            </w:r>
          </w:p>
        </w:tc>
      </w:tr>
    </w:tbl>
    <w:p w14:paraId="5A86DE49">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由上表计算可得，区域植物氨需求总量为920.046t，磷需求总量为120t。</w:t>
      </w:r>
    </w:p>
    <w:p w14:paraId="7904D45B">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B.区域植物粪肥养分需求量</w:t>
      </w:r>
    </w:p>
    <w:p w14:paraId="0F958482">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根据不同土壤肥力下，区域内植物氮（磷）总养分需求量中需要施肥的比例、粪肥占施肥比例和粪肥当季利用效率测算，计算方法如下：</w:t>
      </w:r>
    </w:p>
    <w:p w14:paraId="15996293">
      <w:pPr>
        <w:keepNext w:val="0"/>
        <w:keepLines w:val="0"/>
        <w:widowControl/>
        <w:suppressLineNumbers w:val="0"/>
        <w:jc w:val="left"/>
        <w:rPr>
          <w:rFonts w:hint="default" w:ascii="Times New Roman" w:hAnsi="Times New Roman" w:eastAsia="宋体" w:cs="Times New Roman"/>
          <w:color w:val="FF0000"/>
          <w:spacing w:val="-6"/>
          <w:highlight w:val="none"/>
          <w:lang w:val="en-US" w:eastAsia="zh-CN"/>
        </w:rPr>
      </w:pPr>
      <w:r>
        <w:rPr>
          <w:rFonts w:hint="default" w:ascii="Times New Roman" w:hAnsi="Times New Roman" w:eastAsia="宋体" w:cs="Times New Roman"/>
          <w:color w:val="FF0000"/>
          <w:kern w:val="0"/>
          <w:sz w:val="24"/>
          <w:szCs w:val="24"/>
          <w:highlight w:val="none"/>
          <w:lang w:val="en-US" w:eastAsia="zh-CN" w:bidi="ar"/>
        </w:rPr>
        <w:drawing>
          <wp:inline distT="0" distB="0" distL="114300" distR="114300">
            <wp:extent cx="5172075" cy="504825"/>
            <wp:effectExtent l="0" t="0" r="9525" b="9525"/>
            <wp:docPr id="62" name="图片 4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11" descr="IMG_256"/>
                    <pic:cNvPicPr>
                      <a:picLocks noChangeAspect="1"/>
                    </pic:cNvPicPr>
                  </pic:nvPicPr>
                  <pic:blipFill>
                    <a:blip r:embed="rId36"/>
                    <a:stretch>
                      <a:fillRect/>
                    </a:stretch>
                  </pic:blipFill>
                  <pic:spPr>
                    <a:xfrm>
                      <a:off x="0" y="0"/>
                      <a:ext cx="5172075" cy="504825"/>
                    </a:xfrm>
                    <a:prstGeom prst="rect">
                      <a:avLst/>
                    </a:prstGeom>
                    <a:noFill/>
                    <a:ln>
                      <a:noFill/>
                    </a:ln>
                  </pic:spPr>
                </pic:pic>
              </a:graphicData>
            </a:graphic>
          </wp:inline>
        </w:drawing>
      </w:r>
    </w:p>
    <w:p w14:paraId="7FA47E6B">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氮（磷）施肥供给养分占比根据土壤氮（磷）养分确定，土壤不同氮磷养分水平下的施肥供给养分占比取中值为45%。粪肥占施肥比例为50%。粪肥中氮素当季利用率推荐值为25%〜30%，本项目取27.5%，磷素当季利用率推荐值为30%〜35%，本项目取32.5%。</w:t>
      </w:r>
    </w:p>
    <w:p w14:paraId="46121F5A">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本项目区域植物粪肥养分需求量计算如下：</w:t>
      </w:r>
    </w:p>
    <w:p w14:paraId="776E7543">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区域植物粪肥氮养分需求量=920.046*45%*50%/27.5%=752.76t</w:t>
      </w:r>
    </w:p>
    <w:p w14:paraId="33D5D40E">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区域植物粪肥磷养分需求量=120*45%*50%/32.5%=83.077t</w:t>
      </w:r>
    </w:p>
    <w:p w14:paraId="20C1EEE7">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C.规模养殖场粪肥养分供给量</w:t>
      </w:r>
    </w:p>
    <w:p w14:paraId="5FE78A61">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根据规模养殖场饲养畜禽存栏量、畜禽氮（磷）排泄量﹑养分留存率测算，计算公式如下：</w:t>
      </w:r>
    </w:p>
    <w:p w14:paraId="24662189">
      <w:pPr>
        <w:keepNext w:val="0"/>
        <w:keepLines w:val="0"/>
        <w:widowControl/>
        <w:suppressLineNumbers w:val="0"/>
        <w:jc w:val="center"/>
        <w:rPr>
          <w:rFonts w:hint="default" w:ascii="Times New Roman" w:hAnsi="Times New Roman" w:cs="Times New Roman"/>
          <w:color w:val="FF0000"/>
          <w:highlight w:val="none"/>
        </w:rPr>
      </w:pPr>
      <w:r>
        <w:rPr>
          <w:rFonts w:hint="default" w:ascii="Times New Roman" w:hAnsi="Times New Roman" w:eastAsia="宋体" w:cs="Times New Roman"/>
          <w:color w:val="FF0000"/>
          <w:kern w:val="0"/>
          <w:sz w:val="24"/>
          <w:szCs w:val="24"/>
          <w:highlight w:val="none"/>
          <w:lang w:val="en-US" w:eastAsia="zh-CN" w:bidi="ar"/>
        </w:rPr>
        <w:drawing>
          <wp:inline distT="0" distB="0" distL="114300" distR="114300">
            <wp:extent cx="5173345" cy="501015"/>
            <wp:effectExtent l="0" t="0" r="8255" b="13335"/>
            <wp:docPr id="63" name="图片 4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2" descr="IMG_256"/>
                    <pic:cNvPicPr>
                      <a:picLocks noChangeAspect="1"/>
                    </pic:cNvPicPr>
                  </pic:nvPicPr>
                  <pic:blipFill>
                    <a:blip r:embed="rId37"/>
                    <a:stretch>
                      <a:fillRect/>
                    </a:stretch>
                  </pic:blipFill>
                  <pic:spPr>
                    <a:xfrm>
                      <a:off x="0" y="0"/>
                      <a:ext cx="5173345" cy="501015"/>
                    </a:xfrm>
                    <a:prstGeom prst="rect">
                      <a:avLst/>
                    </a:prstGeom>
                    <a:noFill/>
                    <a:ln>
                      <a:noFill/>
                    </a:ln>
                  </pic:spPr>
                </pic:pic>
              </a:graphicData>
            </a:graphic>
          </wp:inline>
        </w:drawing>
      </w:r>
    </w:p>
    <w:p w14:paraId="17F095E1">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本项目存栏量为60万羽。根据《畜禽粪污土地承载力测算技术指南》可知猪当量折算生猪为20000头。1个猪当量的氮排泄量为11kg，磷排泄量为1.65kg。本项目固体粪便堆肥、污水氧化塘贮存后农田利用为主，粪污收集处理过程中氮留存率推荐值为62%（磷留存率为72%）。</w:t>
      </w:r>
    </w:p>
    <w:p w14:paraId="7C01329A">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本项目粪肥养分供给量计算如下：</w:t>
      </w:r>
    </w:p>
    <w:p w14:paraId="52E4D1A4">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粪肥氮养分供给量=20000*0.011*62%=136.4t</w:t>
      </w:r>
    </w:p>
    <w:p w14:paraId="79F10850">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粪肥磷养分供给量=20000*0.00165*72%=23.76t</w:t>
      </w:r>
    </w:p>
    <w:p w14:paraId="66F68FAD">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D.单位土地粪肥养分需求量</w:t>
      </w:r>
    </w:p>
    <w:p w14:paraId="6927E0C7">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根据不同土壤肥力下，单位土地养分需求量、施肥比例、粪肥占施肥比例和粪肥当季利用效率测算，计算方法如下：</w:t>
      </w:r>
    </w:p>
    <w:p w14:paraId="37E94E92">
      <w:pPr>
        <w:keepNext w:val="0"/>
        <w:keepLines w:val="0"/>
        <w:widowControl/>
        <w:suppressLineNumbers w:val="0"/>
        <w:jc w:val="center"/>
        <w:rPr>
          <w:rFonts w:hint="default" w:ascii="Times New Roman" w:hAnsi="Times New Roman" w:eastAsia="黑体" w:cs="Times New Roman"/>
          <w:color w:val="FF0000"/>
          <w:highlight w:val="none"/>
          <w:lang w:val="en-US" w:eastAsia="zh-CN"/>
        </w:rPr>
      </w:pPr>
      <w:r>
        <w:rPr>
          <w:rFonts w:hint="default" w:ascii="Times New Roman" w:hAnsi="Times New Roman" w:eastAsia="宋体" w:cs="Times New Roman"/>
          <w:color w:val="FF0000"/>
          <w:kern w:val="0"/>
          <w:sz w:val="24"/>
          <w:szCs w:val="24"/>
          <w:highlight w:val="none"/>
          <w:lang w:val="en-US" w:eastAsia="zh-CN" w:bidi="ar"/>
        </w:rPr>
        <w:drawing>
          <wp:inline distT="0" distB="0" distL="114300" distR="114300">
            <wp:extent cx="5179060" cy="500380"/>
            <wp:effectExtent l="0" t="0" r="2540" b="13970"/>
            <wp:docPr id="64" name="图片 4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13" descr="IMG_256"/>
                    <pic:cNvPicPr>
                      <a:picLocks noChangeAspect="1"/>
                    </pic:cNvPicPr>
                  </pic:nvPicPr>
                  <pic:blipFill>
                    <a:blip r:embed="rId38"/>
                    <a:stretch>
                      <a:fillRect/>
                    </a:stretch>
                  </pic:blipFill>
                  <pic:spPr>
                    <a:xfrm>
                      <a:off x="0" y="0"/>
                      <a:ext cx="5179060" cy="500380"/>
                    </a:xfrm>
                    <a:prstGeom prst="rect">
                      <a:avLst/>
                    </a:prstGeom>
                    <a:noFill/>
                    <a:ln>
                      <a:noFill/>
                    </a:ln>
                  </pic:spPr>
                </pic:pic>
              </a:graphicData>
            </a:graphic>
          </wp:inline>
        </w:drawing>
      </w:r>
    </w:p>
    <w:p w14:paraId="4E3AE679">
      <w:pPr>
        <w:pStyle w:val="14"/>
        <w:bidi w:val="0"/>
        <w:rPr>
          <w:rFonts w:hint="default" w:ascii="Times New Roman" w:hAnsi="Times New Roman" w:cs="Times New Roman"/>
          <w:color w:val="FF0000"/>
          <w:lang w:val="en-US"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lang w:val="en-US" w:eastAsia="zh-CN"/>
        </w:rPr>
        <w:t>6.2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3单位土地面积养分需求量计算结果（t/hm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w:t>
      </w:r>
    </w:p>
    <w:tbl>
      <w:tblPr>
        <w:tblStyle w:val="34"/>
        <w:tblW w:w="8292"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4"/>
        <w:gridCol w:w="3455"/>
        <w:gridCol w:w="3623"/>
      </w:tblGrid>
      <w:tr w14:paraId="005D8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14" w:type="dxa"/>
            <w:noWrap/>
            <w:vAlign w:val="top"/>
          </w:tcPr>
          <w:p w14:paraId="172C875E">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作物种类</w:t>
            </w:r>
          </w:p>
        </w:tc>
        <w:tc>
          <w:tcPr>
            <w:tcW w:w="3455" w:type="dxa"/>
            <w:noWrap/>
            <w:vAlign w:val="top"/>
          </w:tcPr>
          <w:p w14:paraId="4453F5C3">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氮需求量</w:t>
            </w:r>
          </w:p>
        </w:tc>
        <w:tc>
          <w:tcPr>
            <w:tcW w:w="3623" w:type="dxa"/>
            <w:noWrap/>
            <w:vAlign w:val="top"/>
          </w:tcPr>
          <w:p w14:paraId="6BE33B00">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磷需求量</w:t>
            </w:r>
          </w:p>
        </w:tc>
      </w:tr>
      <w:tr w14:paraId="27539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14" w:type="dxa"/>
            <w:noWrap/>
            <w:vAlign w:val="top"/>
          </w:tcPr>
          <w:p w14:paraId="28E78715">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玉米</w:t>
            </w:r>
          </w:p>
        </w:tc>
        <w:tc>
          <w:tcPr>
            <w:tcW w:w="3455" w:type="dxa"/>
            <w:noWrap/>
            <w:vAlign w:val="top"/>
          </w:tcPr>
          <w:p w14:paraId="1C2E67CD">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0.26</w:t>
            </w:r>
          </w:p>
        </w:tc>
        <w:tc>
          <w:tcPr>
            <w:tcW w:w="3623" w:type="dxa"/>
            <w:noWrap/>
            <w:vAlign w:val="top"/>
          </w:tcPr>
          <w:p w14:paraId="1282DF5B">
            <w:pPr>
              <w:autoSpaceDE/>
              <w:autoSpaceDN/>
              <w:adjustRightInd w:val="0"/>
              <w:snapToGrid w:val="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0.07</w:t>
            </w:r>
          </w:p>
        </w:tc>
      </w:tr>
    </w:tbl>
    <w:p w14:paraId="32A346D4">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施肥比例根据土壤中氮（磷）养分确定，土壤不同氮磷养分水平下的施肥供给养分占比取中值为45%。粪肥占施肥比例为50%。粪肥中氮素当季利用率推荐值为25%〜30%，本项目取27.5%，磷素当季利用率推荐值为30%〜35%，本项目取32.5%。</w:t>
      </w:r>
    </w:p>
    <w:p w14:paraId="131F833D">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单位土地粪肥养分需求量计算如下：</w:t>
      </w:r>
    </w:p>
    <w:p w14:paraId="369CAC31">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单位土地粪肥氮养分需求量=0.26*45%*50%/27.5%=0.21t</w:t>
      </w:r>
    </w:p>
    <w:p w14:paraId="1FC339D5">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单位土地粪肥磷养分需求量=0.07*45%*50%/32.5%=0.05t</w:t>
      </w:r>
    </w:p>
    <w:p w14:paraId="0671350D">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E.规模养殖场配套土地面积</w:t>
      </w:r>
    </w:p>
    <w:p w14:paraId="69F31723">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规模养殖场配套土地面积等于规模养殖场粪肥养分供给量（对外销售部分不计算在内）除以单位土地粪肥养分需求量。</w:t>
      </w:r>
    </w:p>
    <w:p w14:paraId="43521F49">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氮养分配套土地面积=136.4/0.21=649.52hm</w:t>
      </w:r>
      <w:r>
        <w:rPr>
          <w:rFonts w:hint="default" w:ascii="Times New Roman" w:hAnsi="Times New Roman" w:cs="Times New Roman"/>
          <w:color w:val="FF0000"/>
          <w:vertAlign w:val="superscript"/>
          <w:lang w:val="en-US" w:eastAsia="zh-CN"/>
        </w:rPr>
        <w:t>2</w:t>
      </w:r>
    </w:p>
    <w:p w14:paraId="416CD2C9">
      <w:pPr>
        <w:pStyle w:val="16"/>
        <w:bidi w:val="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磷养分配套土地面积=23.76/0.05=475.2hm</w:t>
      </w:r>
      <w:r>
        <w:rPr>
          <w:rFonts w:hint="default" w:ascii="Times New Roman" w:hAnsi="Times New Roman" w:cs="Times New Roman"/>
          <w:color w:val="FF0000"/>
          <w:vertAlign w:val="superscript"/>
          <w:lang w:val="en-US" w:eastAsia="zh-CN"/>
        </w:rPr>
        <w:t>2</w:t>
      </w:r>
    </w:p>
    <w:p w14:paraId="7A0A9BA8">
      <w:pPr>
        <w:pStyle w:val="16"/>
        <w:bidi w:val="0"/>
        <w:rPr>
          <w:rFonts w:hint="default" w:ascii="Times New Roman" w:hAnsi="Times New Roman" w:cs="Times New Roman"/>
          <w:color w:val="FF0000"/>
          <w:lang w:eastAsia="zh-CN"/>
        </w:rPr>
      </w:pPr>
      <w:r>
        <w:rPr>
          <w:rFonts w:hint="default" w:ascii="Times New Roman" w:hAnsi="Times New Roman" w:cs="Times New Roman"/>
          <w:color w:val="FF0000"/>
          <w:lang w:val="en-US" w:eastAsia="zh-CN"/>
        </w:rPr>
        <w:t>综上所述，本项目规模养殖场氮养分配套土地面积649.52hm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，磷养分配套土地面积457.2hm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，北屯市有10万亩玉米（66670000hm</w:t>
      </w:r>
      <w:r>
        <w:rPr>
          <w:rFonts w:hint="default" w:ascii="Times New Roman" w:hAnsi="Times New Roman" w:cs="Times New Roman"/>
          <w:color w:val="FF0000"/>
          <w:vertAlign w:val="superscript"/>
          <w:lang w:val="en-US" w:eastAsia="zh-CN"/>
        </w:rPr>
        <w:t>2</w:t>
      </w:r>
      <w:r>
        <w:rPr>
          <w:rFonts w:hint="default" w:ascii="Times New Roman" w:hAnsi="Times New Roman" w:cs="Times New Roman"/>
          <w:color w:val="FF0000"/>
          <w:lang w:val="en-US" w:eastAsia="zh-CN"/>
        </w:rPr>
        <w:t>），项目周边拥有的土地面积大于需要的面积，因此本项目产生的粪污可以被周边农作物充分消纳。</w:t>
      </w:r>
    </w:p>
    <w:p w14:paraId="517110F7">
      <w:pPr>
        <w:pStyle w:val="5"/>
        <w:bidi w:val="0"/>
        <w:rPr>
          <w:rFonts w:hint="default" w:ascii="Times New Roman" w:hAnsi="Times New Roman" w:cs="Times New Roman"/>
          <w:color w:val="auto"/>
        </w:rPr>
      </w:pPr>
      <w:r>
        <w:rPr>
          <w:rFonts w:hint="default" w:ascii="Times New Roman" w:hAnsi="Times New Roman" w:cs="Times New Roman"/>
          <w:color w:val="auto"/>
        </w:rPr>
        <w:t>土壤环境跟踪监测</w:t>
      </w:r>
    </w:p>
    <w:p w14:paraId="27C5D5B6">
      <w:pPr>
        <w:pStyle w:val="16"/>
        <w:numPr>
          <w:ilvl w:val="0"/>
          <w:numId w:val="0"/>
        </w:numPr>
        <w:bidi w:val="0"/>
        <w:ind w:right="-11" w:rightChars="0" w:firstLine="480" w:firstLineChars="200"/>
        <w:rPr>
          <w:rFonts w:hint="default" w:ascii="Times New Roman" w:hAnsi="Times New Roman" w:cs="Times New Roman"/>
          <w:color w:val="auto"/>
          <w:lang w:eastAsia="zh-CN"/>
        </w:rPr>
      </w:pPr>
      <w:r>
        <w:rPr>
          <w:rFonts w:hint="default" w:ascii="Times New Roman" w:hAnsi="Times New Roman" w:eastAsia="宋体" w:cs="Times New Roman"/>
          <w:color w:val="auto"/>
          <w:sz w:val="24"/>
          <w:szCs w:val="24"/>
        </w:rPr>
        <w:t>对场区内的土壤进行定期监测，发现土壤污染时，及时查找</w:t>
      </w:r>
      <w:r>
        <w:rPr>
          <w:rFonts w:hint="default" w:ascii="Times New Roman" w:hAnsi="Times New Roman" w:eastAsia="宋体" w:cs="Times New Roman"/>
          <w:color w:val="auto"/>
          <w:sz w:val="24"/>
          <w:szCs w:val="24"/>
          <w:lang w:eastAsia="zh-CN"/>
        </w:rPr>
        <w:t>泄漏</w:t>
      </w:r>
      <w:r>
        <w:rPr>
          <w:rFonts w:hint="default" w:ascii="Times New Roman" w:hAnsi="Times New Roman" w:eastAsia="宋体" w:cs="Times New Roman"/>
          <w:color w:val="auto"/>
          <w:sz w:val="24"/>
          <w:szCs w:val="24"/>
        </w:rPr>
        <w:t>源，防止进一步下渗污染地下水，必要时对污染的土壤进行替换或修复。</w:t>
      </w:r>
    </w:p>
    <w:p w14:paraId="33CB865B">
      <w:pPr>
        <w:pStyle w:val="16"/>
        <w:bidi w:val="0"/>
        <w:rPr>
          <w:rFonts w:hint="default" w:ascii="Times New Roman" w:hAnsi="Times New Roman" w:cs="Times New Roman"/>
          <w:color w:val="auto"/>
        </w:rPr>
      </w:pPr>
      <w:r>
        <w:rPr>
          <w:rFonts w:hint="default" w:ascii="Times New Roman" w:hAnsi="Times New Roman" w:cs="Times New Roman"/>
          <w:color w:val="auto"/>
          <w:lang w:eastAsia="zh-CN"/>
        </w:rPr>
        <w:t>综上所述，本项目采取相应的保护措施后，项目对土壤环境影响较小，</w:t>
      </w:r>
      <w:r>
        <w:rPr>
          <w:rFonts w:hint="default" w:ascii="Times New Roman" w:hAnsi="Times New Roman" w:cs="Times New Roman"/>
          <w:color w:val="auto"/>
        </w:rPr>
        <w:t>防治措施可行。</w:t>
      </w:r>
    </w:p>
    <w:p w14:paraId="05F33C2B">
      <w:pPr>
        <w:pStyle w:val="4"/>
        <w:bidi w:val="0"/>
        <w:rPr>
          <w:rFonts w:hint="default" w:ascii="Times New Roman" w:hAnsi="Times New Roman" w:cs="Times New Roman"/>
          <w:color w:val="auto"/>
        </w:rPr>
      </w:pPr>
      <w:r>
        <w:rPr>
          <w:rFonts w:hint="default" w:ascii="Times New Roman" w:hAnsi="Times New Roman" w:cs="Times New Roman"/>
          <w:color w:val="auto"/>
        </w:rPr>
        <w:t>养殖场防疫措施可行性分析</w:t>
      </w:r>
    </w:p>
    <w:p w14:paraId="433E42BC">
      <w:pPr>
        <w:pStyle w:val="16"/>
        <w:bidi w:val="0"/>
        <w:rPr>
          <w:rFonts w:hint="default" w:ascii="Times New Roman" w:hAnsi="Times New Roman" w:cs="Times New Roman"/>
          <w:color w:val="auto"/>
        </w:rPr>
      </w:pPr>
      <w:r>
        <w:rPr>
          <w:rFonts w:hint="default" w:ascii="Times New Roman" w:hAnsi="Times New Roman" w:cs="Times New Roman"/>
          <w:color w:val="auto"/>
        </w:rPr>
        <w:t>（1）保证良好的卫生环境</w:t>
      </w:r>
    </w:p>
    <w:p w14:paraId="4056D7EA">
      <w:pPr>
        <w:pStyle w:val="16"/>
        <w:bidi w:val="0"/>
        <w:rPr>
          <w:rFonts w:hint="default" w:ascii="Times New Roman" w:hAnsi="Times New Roman" w:cs="Times New Roman"/>
          <w:color w:val="auto"/>
        </w:rPr>
      </w:pPr>
      <w:r>
        <w:rPr>
          <w:rFonts w:hint="default" w:ascii="Times New Roman" w:hAnsi="Times New Roman" w:cs="Times New Roman"/>
          <w:color w:val="auto"/>
        </w:rPr>
        <w:t>疫病预防的总原则是“预防为主、防重于治、无病先防，采取综合措施防患于未然”。疫病的预防措施主要包括加强饲养管理以提高机体抵抗力；利用药物或预防措施阻止致病因素危害</w:t>
      </w:r>
      <w:r>
        <w:rPr>
          <w:rFonts w:hint="default" w:ascii="Times New Roman" w:hAnsi="Times New Roman" w:cs="Times New Roman"/>
          <w:color w:val="auto"/>
          <w:lang w:eastAsia="zh-CN"/>
        </w:rPr>
        <w:t>鸡舍</w:t>
      </w:r>
      <w:r>
        <w:rPr>
          <w:rFonts w:hint="default" w:ascii="Times New Roman" w:hAnsi="Times New Roman" w:cs="Times New Roman"/>
          <w:color w:val="auto"/>
        </w:rPr>
        <w:t>。</w:t>
      </w:r>
    </w:p>
    <w:p w14:paraId="3880539E">
      <w:pPr>
        <w:pStyle w:val="16"/>
        <w:bidi w:val="0"/>
        <w:rPr>
          <w:rFonts w:hint="default" w:ascii="Times New Roman" w:hAnsi="Times New Roman" w:cs="Times New Roman"/>
          <w:color w:val="auto"/>
        </w:rPr>
      </w:pPr>
      <w:r>
        <w:rPr>
          <w:rFonts w:hint="default" w:ascii="Times New Roman" w:hAnsi="Times New Roman" w:cs="Times New Roman"/>
          <w:color w:val="auto"/>
        </w:rPr>
        <w:t>①满足</w:t>
      </w:r>
      <w:r>
        <w:rPr>
          <w:rFonts w:hint="default" w:ascii="Times New Roman" w:hAnsi="Times New Roman" w:cs="Times New Roman"/>
          <w:color w:val="auto"/>
          <w:lang w:eastAsia="zh-CN"/>
        </w:rPr>
        <w:t>鸡舍</w:t>
      </w:r>
      <w:r>
        <w:rPr>
          <w:rFonts w:hint="default" w:ascii="Times New Roman" w:hAnsi="Times New Roman" w:cs="Times New Roman"/>
          <w:color w:val="auto"/>
        </w:rPr>
        <w:t>机体需要，保证充足清洁的饮水，定时提供充足的饲料。</w:t>
      </w:r>
    </w:p>
    <w:p w14:paraId="01D54F90">
      <w:pPr>
        <w:pStyle w:val="16"/>
        <w:bidi w:val="0"/>
        <w:rPr>
          <w:rFonts w:hint="default" w:ascii="Times New Roman" w:hAnsi="Times New Roman" w:cs="Times New Roman"/>
          <w:color w:val="auto"/>
        </w:rPr>
      </w:pPr>
      <w:r>
        <w:rPr>
          <w:rFonts w:hint="default" w:ascii="Times New Roman" w:hAnsi="Times New Roman" w:cs="Times New Roman"/>
          <w:color w:val="auto"/>
        </w:rPr>
        <w:t>②搞好各</w:t>
      </w:r>
      <w:r>
        <w:rPr>
          <w:rFonts w:hint="default" w:ascii="Times New Roman" w:hAnsi="Times New Roman" w:cs="Times New Roman"/>
          <w:color w:val="auto"/>
          <w:lang w:eastAsia="zh-CN"/>
        </w:rPr>
        <w:t>鸡舍</w:t>
      </w:r>
      <w:r>
        <w:rPr>
          <w:rFonts w:hint="default" w:ascii="Times New Roman" w:hAnsi="Times New Roman" w:cs="Times New Roman"/>
          <w:color w:val="auto"/>
        </w:rPr>
        <w:t>内外的环境卫生，定期清除</w:t>
      </w:r>
      <w:r>
        <w:rPr>
          <w:rFonts w:hint="default" w:ascii="Times New Roman" w:hAnsi="Times New Roman" w:cs="Times New Roman"/>
          <w:color w:val="auto"/>
          <w:lang w:eastAsia="zh-CN"/>
        </w:rPr>
        <w:t>鸡舍</w:t>
      </w:r>
      <w:r>
        <w:rPr>
          <w:rFonts w:hint="default" w:ascii="Times New Roman" w:hAnsi="Times New Roman" w:cs="Times New Roman"/>
          <w:color w:val="auto"/>
        </w:rPr>
        <w:t>粪便。</w:t>
      </w:r>
      <w:r>
        <w:rPr>
          <w:rFonts w:hint="default" w:ascii="Times New Roman" w:hAnsi="Times New Roman" w:cs="Times New Roman"/>
          <w:color w:val="auto"/>
          <w:lang w:eastAsia="zh-CN"/>
        </w:rPr>
        <w:t>鸡舍</w:t>
      </w:r>
      <w:r>
        <w:rPr>
          <w:rFonts w:hint="default" w:ascii="Times New Roman" w:hAnsi="Times New Roman" w:cs="Times New Roman"/>
          <w:color w:val="auto"/>
        </w:rPr>
        <w:t>内保持干燥和通风。及时消灭老鼠及蚊蝇。饲料用具及饮水用具保持清洁并定期消毒。</w:t>
      </w:r>
    </w:p>
    <w:p w14:paraId="250A7335">
      <w:pPr>
        <w:pStyle w:val="16"/>
        <w:bidi w:val="0"/>
        <w:rPr>
          <w:rFonts w:hint="default" w:ascii="Times New Roman" w:hAnsi="Times New Roman" w:cs="Times New Roman"/>
          <w:color w:val="auto"/>
        </w:rPr>
      </w:pPr>
      <w:r>
        <w:rPr>
          <w:rFonts w:hint="default" w:ascii="Times New Roman" w:hAnsi="Times New Roman" w:cs="Times New Roman"/>
          <w:color w:val="auto"/>
        </w:rPr>
        <w:t>③根据当地不同季节做好防寒、防暑工作。保证适宜的饲养密度，以避免影响生长发育和生产性能。</w:t>
      </w:r>
    </w:p>
    <w:p w14:paraId="6688314B">
      <w:pPr>
        <w:pStyle w:val="16"/>
        <w:bidi w:val="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鸡舍</w:t>
      </w:r>
      <w:r>
        <w:rPr>
          <w:rFonts w:hint="default" w:ascii="Times New Roman" w:hAnsi="Times New Roman" w:cs="Times New Roman"/>
          <w:color w:val="auto"/>
        </w:rPr>
        <w:t>疫病的防治措施</w:t>
      </w:r>
    </w:p>
    <w:p w14:paraId="70807B1B">
      <w:pPr>
        <w:pStyle w:val="16"/>
        <w:bidi w:val="0"/>
        <w:rPr>
          <w:rFonts w:hint="default" w:ascii="Times New Roman" w:hAnsi="Times New Roman" w:cs="Times New Roman"/>
          <w:color w:val="auto"/>
        </w:rPr>
      </w:pPr>
      <w:r>
        <w:rPr>
          <w:rFonts w:hint="default" w:ascii="Times New Roman" w:hAnsi="Times New Roman" w:cs="Times New Roman"/>
          <w:color w:val="auto"/>
        </w:rPr>
        <w:t>养殖场应根据《中华人民共和国动物防疫法》及其配套法规的要求，结合当地实际情况，有选择地进行疫病的预防接种工作，并注意选择适宜的疫苗和免疫方法。</w:t>
      </w:r>
    </w:p>
    <w:p w14:paraId="2CC0C189">
      <w:pPr>
        <w:pStyle w:val="16"/>
        <w:bidi w:val="0"/>
        <w:rPr>
          <w:rFonts w:hint="default" w:ascii="Times New Roman" w:hAnsi="Times New Roman" w:cs="Times New Roman"/>
          <w:color w:val="auto"/>
        </w:rPr>
      </w:pPr>
      <w:r>
        <w:rPr>
          <w:rFonts w:hint="default" w:ascii="Times New Roman" w:hAnsi="Times New Roman" w:cs="Times New Roman"/>
          <w:color w:val="auto"/>
          <w:lang w:val="en-US" w:eastAsia="zh-CN"/>
        </w:rPr>
        <w:t>蛋鸡</w:t>
      </w:r>
      <w:r>
        <w:rPr>
          <w:rFonts w:hint="default" w:ascii="Times New Roman" w:hAnsi="Times New Roman" w:cs="Times New Roman"/>
          <w:color w:val="auto"/>
        </w:rPr>
        <w:t>都要有相关的资料记录，其内容包括：</w:t>
      </w:r>
      <w:r>
        <w:rPr>
          <w:rFonts w:hint="default" w:ascii="Times New Roman" w:hAnsi="Times New Roman" w:cs="Times New Roman"/>
          <w:color w:val="auto"/>
          <w:lang w:val="en-US" w:eastAsia="zh-CN"/>
        </w:rPr>
        <w:t>蛋鸡</w:t>
      </w:r>
      <w:r>
        <w:rPr>
          <w:rFonts w:hint="default" w:ascii="Times New Roman" w:hAnsi="Times New Roman" w:cs="Times New Roman"/>
          <w:color w:val="auto"/>
        </w:rPr>
        <w:t>来源、饲料消耗情况、发病率、死亡率及发病死亡原因，消毒情况。无害化处理情况，实验室检查及其结果，用药及免疫接种情况，</w:t>
      </w:r>
      <w:r>
        <w:rPr>
          <w:rFonts w:hint="default" w:ascii="Times New Roman" w:hAnsi="Times New Roman" w:cs="Times New Roman"/>
          <w:color w:val="auto"/>
          <w:lang w:val="en-US" w:eastAsia="zh-CN"/>
        </w:rPr>
        <w:t>蛋鸡</w:t>
      </w:r>
      <w:r>
        <w:rPr>
          <w:rFonts w:hint="default" w:ascii="Times New Roman" w:hAnsi="Times New Roman" w:cs="Times New Roman"/>
          <w:color w:val="auto"/>
        </w:rPr>
        <w:t>去向。所有记录必须妥善保存。</w:t>
      </w:r>
    </w:p>
    <w:p w14:paraId="3261D1F2">
      <w:pPr>
        <w:pStyle w:val="16"/>
        <w:bidi w:val="0"/>
        <w:rPr>
          <w:rFonts w:hint="default" w:ascii="Times New Roman" w:hAnsi="Times New Roman" w:cs="Times New Roman"/>
          <w:color w:val="auto"/>
        </w:rPr>
      </w:pPr>
      <w:r>
        <w:rPr>
          <w:rFonts w:hint="default" w:ascii="Times New Roman" w:hAnsi="Times New Roman" w:cs="Times New Roman"/>
          <w:color w:val="auto"/>
        </w:rPr>
        <w:t>建立防疫、检疫、接种制度，对</w:t>
      </w:r>
      <w:r>
        <w:rPr>
          <w:rFonts w:hint="default" w:ascii="Times New Roman" w:hAnsi="Times New Roman" w:cs="Times New Roman"/>
          <w:color w:val="auto"/>
          <w:lang w:val="en-US" w:eastAsia="zh-CN"/>
        </w:rPr>
        <w:t>鸡舍</w:t>
      </w:r>
      <w:r>
        <w:rPr>
          <w:rFonts w:hint="default" w:ascii="Times New Roman" w:hAnsi="Times New Roman" w:cs="Times New Roman"/>
          <w:color w:val="auto"/>
        </w:rPr>
        <w:t>实施定期检查检测，根据检测结果随时修订免疫制度，并组织实施。同时，建立驱虫制度。</w:t>
      </w:r>
    </w:p>
    <w:p w14:paraId="3BCB3A68">
      <w:pPr>
        <w:pStyle w:val="2"/>
        <w:bidi w:val="0"/>
        <w:rPr>
          <w:rFonts w:hint="default" w:ascii="Times New Roman" w:hAnsi="Times New Roman" w:cs="Times New Roman"/>
          <w:color w:val="auto"/>
        </w:rPr>
      </w:pPr>
      <w:r>
        <w:rPr>
          <w:rFonts w:hint="default" w:ascii="Times New Roman" w:hAnsi="Times New Roman" w:cs="Times New Roman"/>
          <w:color w:val="auto"/>
        </w:rPr>
        <w:br w:type="page"/>
      </w:r>
      <w:bookmarkStart w:id="152" w:name="_TOC_250027"/>
      <w:bookmarkEnd w:id="152"/>
      <w:bookmarkStart w:id="153" w:name="_Toc20624"/>
      <w:bookmarkStart w:id="154" w:name="_Toc21512"/>
      <w:r>
        <w:rPr>
          <w:rFonts w:hint="default" w:ascii="Times New Roman" w:hAnsi="Times New Roman" w:cs="Times New Roman"/>
          <w:color w:val="auto"/>
        </w:rPr>
        <w:t>环境影响经济损益分析</w:t>
      </w:r>
      <w:bookmarkEnd w:id="153"/>
      <w:bookmarkEnd w:id="154"/>
    </w:p>
    <w:p w14:paraId="012B458B">
      <w:pPr>
        <w:pStyle w:val="16"/>
        <w:bidi w:val="0"/>
        <w:rPr>
          <w:rFonts w:hint="default" w:ascii="Times New Roman" w:hAnsi="Times New Roman" w:cs="Times New Roman"/>
          <w:color w:val="auto"/>
        </w:rPr>
      </w:pPr>
      <w:r>
        <w:rPr>
          <w:rFonts w:hint="default" w:ascii="Times New Roman" w:hAnsi="Times New Roman" w:cs="Times New Roman"/>
          <w:color w:val="auto"/>
        </w:rPr>
        <w:t>环境影响经济损益分析是环境影响评价的一项重要工作内容，它是从整体角度衡量建设项目需要投入的环保投资，以及所起到的环境和经济效益，充分体现建设项目经济效益、社会效益与环境效益对立与统一的关系。通过分析项目经济收益水平、环保投资及其运转费用与可能取得效益间的关系</w:t>
      </w:r>
      <w:r>
        <w:rPr>
          <w:rFonts w:hint="default" w:ascii="Times New Roman" w:hAnsi="Times New Roman" w:cs="Times New Roman"/>
          <w:color w:val="auto"/>
          <w:lang w:eastAsia="zh-CN"/>
        </w:rPr>
        <w:t>，</w:t>
      </w:r>
      <w:r>
        <w:rPr>
          <w:rFonts w:hint="default" w:ascii="Times New Roman" w:hAnsi="Times New Roman" w:cs="Times New Roman"/>
          <w:color w:val="auto"/>
        </w:rPr>
        <w:t>说明项目的环保综合效益状况。</w:t>
      </w:r>
    </w:p>
    <w:p w14:paraId="01D650AC">
      <w:pPr>
        <w:pStyle w:val="16"/>
        <w:bidi w:val="0"/>
        <w:rPr>
          <w:rFonts w:hint="default" w:ascii="Times New Roman" w:hAnsi="Times New Roman" w:cs="Times New Roman"/>
          <w:color w:val="auto"/>
        </w:rPr>
      </w:pPr>
      <w:r>
        <w:rPr>
          <w:rFonts w:hint="default" w:ascii="Times New Roman" w:hAnsi="Times New Roman" w:cs="Times New Roman"/>
          <w:color w:val="auto"/>
        </w:rPr>
        <w:t>然而，建设项目环境影响经济损益分析，不但因其经济收益分析受到多种风险因子的影响，而且对项目各项环保设施投入、环保设施运行费用和环境社会收益进行经济量化评估存在一定困难，尤其环境收益，按其表现分为直接的货币效益和间接的货币效益，所以只能进行定性和半定量化的分析与评述。</w:t>
      </w:r>
    </w:p>
    <w:p w14:paraId="5B5EF918">
      <w:pPr>
        <w:pStyle w:val="3"/>
        <w:bidi w:val="0"/>
        <w:rPr>
          <w:rFonts w:hint="default" w:ascii="Times New Roman" w:hAnsi="Times New Roman" w:cs="Times New Roman"/>
          <w:color w:val="auto"/>
          <w:lang w:val="en-US" w:eastAsia="zh-CN"/>
        </w:rPr>
      </w:pPr>
      <w:bookmarkStart w:id="155" w:name="_TOC_250026"/>
      <w:bookmarkEnd w:id="155"/>
      <w:bookmarkStart w:id="156" w:name="_Toc25986"/>
      <w:bookmarkStart w:id="157" w:name="_Toc15556"/>
      <w:r>
        <w:rPr>
          <w:rFonts w:hint="default" w:ascii="Times New Roman" w:hAnsi="Times New Roman" w:cs="Times New Roman"/>
          <w:color w:val="auto"/>
          <w:lang w:val="en-US" w:eastAsia="zh-CN"/>
        </w:rPr>
        <w:t>社会效益分析</w:t>
      </w:r>
      <w:bookmarkEnd w:id="156"/>
      <w:bookmarkEnd w:id="157"/>
    </w:p>
    <w:p w14:paraId="0010AC8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通过本项目示范推广，可有效促进</w:t>
      </w:r>
      <w:r>
        <w:rPr>
          <w:rFonts w:hint="default" w:ascii="Times New Roman" w:hAnsi="Times New Roman" w:cs="Times New Roman"/>
          <w:color w:val="auto"/>
          <w:sz w:val="24"/>
          <w:lang w:val="en-US" w:eastAsia="zh-CN"/>
        </w:rPr>
        <w:t>北屯市</w:t>
      </w:r>
      <w:r>
        <w:rPr>
          <w:rFonts w:hint="default" w:ascii="Times New Roman" w:hAnsi="Times New Roman" w:cs="Times New Roman"/>
          <w:color w:val="auto"/>
          <w:sz w:val="24"/>
        </w:rPr>
        <w:t>养</w:t>
      </w:r>
      <w:r>
        <w:rPr>
          <w:rFonts w:hint="default" w:ascii="Times New Roman" w:hAnsi="Times New Roman" w:cs="Times New Roman"/>
          <w:color w:val="auto"/>
          <w:sz w:val="24"/>
          <w:lang w:eastAsia="zh-CN"/>
        </w:rPr>
        <w:t>鸡</w:t>
      </w:r>
      <w:r>
        <w:rPr>
          <w:rFonts w:hint="default" w:ascii="Times New Roman" w:hAnsi="Times New Roman" w:cs="Times New Roman"/>
          <w:color w:val="auto"/>
          <w:sz w:val="24"/>
        </w:rPr>
        <w:t>产业大发展，并推动区域经济和社会的快速发展。同时，通过加强科学管理和经营意识，不断提高和扩大自身的规模和实力，形成带动地方经济发展的支柱产业。养</w:t>
      </w:r>
      <w:r>
        <w:rPr>
          <w:rFonts w:hint="default" w:ascii="Times New Roman" w:hAnsi="Times New Roman" w:cs="Times New Roman"/>
          <w:color w:val="auto"/>
          <w:sz w:val="24"/>
          <w:lang w:eastAsia="zh-CN"/>
        </w:rPr>
        <w:t>鸡</w:t>
      </w:r>
      <w:r>
        <w:rPr>
          <w:rFonts w:hint="default" w:ascii="Times New Roman" w:hAnsi="Times New Roman" w:cs="Times New Roman"/>
          <w:color w:val="auto"/>
          <w:sz w:val="24"/>
        </w:rPr>
        <w:t>业的发展，将促进粮食及其副产品的转化，增加了它们的附加值。</w:t>
      </w:r>
    </w:p>
    <w:p w14:paraId="677C0DF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建设项目施工过程中需要大量的施工人员，大部分建筑施工人员将从本地招聘，可为当地提供直接就业机会，对于缓解就业问题</w:t>
      </w:r>
      <w:r>
        <w:rPr>
          <w:rFonts w:hint="default" w:ascii="Times New Roman" w:hAnsi="Times New Roman" w:cs="Times New Roman"/>
          <w:color w:val="auto"/>
          <w:sz w:val="24"/>
          <w:lang w:eastAsia="zh-CN"/>
        </w:rPr>
        <w:t>作出</w:t>
      </w:r>
      <w:r>
        <w:rPr>
          <w:rFonts w:hint="default" w:ascii="Times New Roman" w:hAnsi="Times New Roman" w:cs="Times New Roman"/>
          <w:color w:val="auto"/>
          <w:sz w:val="24"/>
        </w:rPr>
        <w:t>一定贡献。</w:t>
      </w:r>
    </w:p>
    <w:p w14:paraId="3E7361AB">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通过本项目，可以带动</w:t>
      </w:r>
      <w:r>
        <w:rPr>
          <w:rFonts w:hint="default" w:ascii="Times New Roman" w:hAnsi="Times New Roman" w:cs="Times New Roman"/>
          <w:color w:val="auto"/>
          <w:sz w:val="24"/>
          <w:lang w:eastAsia="zh-CN"/>
        </w:rPr>
        <w:t>区域</w:t>
      </w:r>
      <w:r>
        <w:rPr>
          <w:rFonts w:hint="default" w:ascii="Times New Roman" w:hAnsi="Times New Roman" w:cs="Times New Roman"/>
          <w:color w:val="auto"/>
          <w:sz w:val="24"/>
        </w:rPr>
        <w:t>养殖场、养殖户发展标准化规模养殖，提高项目辐射区养</w:t>
      </w:r>
      <w:r>
        <w:rPr>
          <w:rFonts w:hint="default" w:ascii="Times New Roman" w:hAnsi="Times New Roman" w:cs="Times New Roman"/>
          <w:color w:val="auto"/>
          <w:sz w:val="24"/>
          <w:lang w:eastAsia="zh-CN"/>
        </w:rPr>
        <w:t>鸡</w:t>
      </w:r>
      <w:r>
        <w:rPr>
          <w:rFonts w:hint="default" w:ascii="Times New Roman" w:hAnsi="Times New Roman" w:cs="Times New Roman"/>
          <w:color w:val="auto"/>
          <w:sz w:val="24"/>
        </w:rPr>
        <w:t>生产水平和经济效益。养殖场的建成需要相应工作人员，为当地待业人口增加就业机会。</w:t>
      </w:r>
    </w:p>
    <w:p w14:paraId="52B38BA3">
      <w:pPr>
        <w:pStyle w:val="3"/>
        <w:bidi w:val="0"/>
        <w:rPr>
          <w:rFonts w:hint="default" w:ascii="Times New Roman" w:hAnsi="Times New Roman" w:cs="Times New Roman"/>
          <w:color w:val="auto"/>
          <w:lang w:val="en-US" w:eastAsia="zh-CN"/>
        </w:rPr>
      </w:pPr>
      <w:bookmarkStart w:id="158" w:name="_TOC_250025"/>
      <w:bookmarkEnd w:id="158"/>
      <w:bookmarkStart w:id="159" w:name="_Toc6173"/>
      <w:bookmarkStart w:id="160" w:name="_Toc28701"/>
      <w:r>
        <w:rPr>
          <w:rFonts w:hint="default" w:ascii="Times New Roman" w:hAnsi="Times New Roman" w:cs="Times New Roman"/>
          <w:color w:val="auto"/>
          <w:lang w:val="en-US" w:eastAsia="zh-CN"/>
        </w:rPr>
        <w:t>生态效益分析</w:t>
      </w:r>
      <w:bookmarkEnd w:id="159"/>
      <w:bookmarkEnd w:id="160"/>
    </w:p>
    <w:p w14:paraId="7F00F2E0">
      <w:pPr>
        <w:pStyle w:val="16"/>
        <w:bidi w:val="0"/>
        <w:rPr>
          <w:rFonts w:hint="default" w:ascii="Times New Roman" w:hAnsi="Times New Roman" w:cs="Times New Roman"/>
          <w:color w:val="auto"/>
        </w:rPr>
      </w:pPr>
      <w:r>
        <w:rPr>
          <w:rFonts w:hint="default" w:ascii="Times New Roman" w:hAnsi="Times New Roman" w:cs="Times New Roman"/>
          <w:color w:val="auto"/>
        </w:rPr>
        <w:t>本项目是规模化养殖业，具有良好的生态效益，项目建设后产生的污染物主要有</w:t>
      </w:r>
      <w:r>
        <w:rPr>
          <w:rFonts w:hint="default" w:ascii="Times New Roman" w:hAnsi="Times New Roman" w:cs="Times New Roman"/>
          <w:color w:val="auto"/>
          <w:lang w:eastAsia="zh-CN"/>
        </w:rPr>
        <w:t>鸡粪</w:t>
      </w:r>
      <w:r>
        <w:rPr>
          <w:rFonts w:hint="default" w:ascii="Times New Roman" w:hAnsi="Times New Roman" w:cs="Times New Roman"/>
          <w:color w:val="auto"/>
        </w:rPr>
        <w:t>。</w:t>
      </w:r>
      <w:r>
        <w:rPr>
          <w:rFonts w:hint="default" w:ascii="Times New Roman" w:hAnsi="Times New Roman" w:cs="Times New Roman"/>
          <w:color w:val="auto"/>
          <w:lang w:eastAsia="zh-CN"/>
        </w:rPr>
        <w:t>鸡粪</w:t>
      </w:r>
      <w:r>
        <w:rPr>
          <w:rFonts w:hint="default" w:ascii="Times New Roman" w:hAnsi="Times New Roman" w:cs="Times New Roman"/>
          <w:color w:val="auto"/>
        </w:rPr>
        <w:t>通过无害化处理后，是农业种植区良好的肥料，可以增加土壤养分含量、改善土壤结构，提高土地生产力，有利于用地养地，改善农产品品质和卖相，实现养殖业和种植业的双赢。</w:t>
      </w:r>
    </w:p>
    <w:p w14:paraId="20F59DA7">
      <w:pPr>
        <w:pStyle w:val="3"/>
        <w:bidi w:val="0"/>
        <w:rPr>
          <w:rFonts w:hint="default" w:ascii="Times New Roman" w:hAnsi="Times New Roman" w:cs="Times New Roman"/>
          <w:color w:val="auto"/>
          <w:lang w:val="en-US" w:eastAsia="zh-CN"/>
        </w:rPr>
      </w:pPr>
      <w:bookmarkStart w:id="161" w:name="_TOC_250024"/>
      <w:bookmarkEnd w:id="161"/>
      <w:bookmarkStart w:id="162" w:name="_Toc9570"/>
      <w:bookmarkStart w:id="163" w:name="_Toc9120"/>
      <w:r>
        <w:rPr>
          <w:rFonts w:hint="default" w:ascii="Times New Roman" w:hAnsi="Times New Roman" w:cs="Times New Roman"/>
          <w:color w:val="auto"/>
          <w:lang w:val="en-US" w:eastAsia="zh-CN"/>
        </w:rPr>
        <w:t>环境经济损失分析</w:t>
      </w:r>
      <w:bookmarkEnd w:id="162"/>
      <w:bookmarkEnd w:id="163"/>
    </w:p>
    <w:p w14:paraId="317E6FF5">
      <w:pPr>
        <w:spacing w:line="360" w:lineRule="auto"/>
        <w:ind w:firstLine="480" w:firstLineChars="200"/>
        <w:rPr>
          <w:rFonts w:hint="default" w:ascii="Times New Roman" w:hAnsi="Times New Roman" w:cs="Times New Roman"/>
          <w:color w:val="auto"/>
          <w:sz w:val="24"/>
        </w:rPr>
      </w:pPr>
      <w:bookmarkStart w:id="164" w:name="_Toc25114"/>
      <w:r>
        <w:rPr>
          <w:rFonts w:hint="default" w:ascii="Times New Roman" w:hAnsi="Times New Roman" w:cs="Times New Roman"/>
          <w:color w:val="auto"/>
          <w:sz w:val="24"/>
        </w:rPr>
        <w:t>本项目位于</w:t>
      </w:r>
      <w:r>
        <w:rPr>
          <w:rFonts w:hint="default" w:ascii="Times New Roman" w:hAnsi="Times New Roman" w:cs="Times New Roman"/>
          <w:color w:val="auto"/>
          <w:sz w:val="24"/>
          <w:lang w:eastAsia="zh-CN"/>
        </w:rPr>
        <w:t>新疆</w:t>
      </w:r>
      <w:r>
        <w:rPr>
          <w:rFonts w:hint="default" w:ascii="Times New Roman" w:hAnsi="Times New Roman" w:cs="Times New Roman"/>
          <w:color w:val="auto"/>
          <w:sz w:val="24"/>
          <w:lang w:val="en-US" w:eastAsia="zh-CN"/>
        </w:rPr>
        <w:t>北屯市188团</w:t>
      </w:r>
      <w:r>
        <w:rPr>
          <w:rFonts w:hint="default" w:ascii="Times New Roman" w:hAnsi="Times New Roman" w:cs="Times New Roman"/>
          <w:color w:val="auto"/>
          <w:sz w:val="24"/>
        </w:rPr>
        <w:t>，将建立一种新型现代规模化生产模式，建成投产后，通过标准化、产业化运作模式的建立，建立稳定的高质量</w:t>
      </w:r>
      <w:r>
        <w:rPr>
          <w:rFonts w:hint="default" w:ascii="Times New Roman" w:hAnsi="Times New Roman" w:cs="Times New Roman"/>
          <w:color w:val="auto"/>
          <w:sz w:val="24"/>
          <w:lang w:val="en-US" w:eastAsia="zh-CN"/>
        </w:rPr>
        <w:t>蛋鸡、肉鸡</w:t>
      </w:r>
      <w:r>
        <w:rPr>
          <w:rFonts w:hint="default" w:ascii="Times New Roman" w:hAnsi="Times New Roman" w:cs="Times New Roman"/>
          <w:color w:val="auto"/>
          <w:sz w:val="24"/>
        </w:rPr>
        <w:t>供给基地，从而促进新疆的</w:t>
      </w:r>
      <w:r>
        <w:rPr>
          <w:rFonts w:hint="default" w:ascii="Times New Roman" w:hAnsi="Times New Roman" w:cs="Times New Roman"/>
          <w:color w:val="auto"/>
          <w:sz w:val="24"/>
          <w:lang w:val="en-US" w:eastAsia="zh-CN"/>
        </w:rPr>
        <w:t>家禽</w:t>
      </w:r>
      <w:r>
        <w:rPr>
          <w:rFonts w:hint="default" w:ascii="Times New Roman" w:hAnsi="Times New Roman" w:cs="Times New Roman"/>
          <w:color w:val="auto"/>
          <w:sz w:val="24"/>
        </w:rPr>
        <w:t>产业发展，进一步满足逐渐增长的市场需求，推动农村经济快速发展和农民增收，促进农业生产结构优化与升级，具有较大的社会效益。本项目先进的生产和管理集成技术将会在养殖企业应用，辐射到新疆各地，从而带动新疆养</w:t>
      </w:r>
      <w:r>
        <w:rPr>
          <w:rFonts w:hint="default" w:ascii="Times New Roman" w:hAnsi="Times New Roman" w:cs="Times New Roman"/>
          <w:color w:val="auto"/>
          <w:sz w:val="24"/>
          <w:lang w:eastAsia="zh-CN"/>
        </w:rPr>
        <w:t>鸡</w:t>
      </w:r>
      <w:r>
        <w:rPr>
          <w:rFonts w:hint="default" w:ascii="Times New Roman" w:hAnsi="Times New Roman" w:cs="Times New Roman"/>
          <w:color w:val="auto"/>
          <w:sz w:val="24"/>
        </w:rPr>
        <w:t>产业稳步、健康发展，并推动区域经济和社会的快速发展，因而项目的建设具有较好的社会效益。</w:t>
      </w:r>
    </w:p>
    <w:p w14:paraId="7E9CA97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w:t>
      </w:r>
      <w:r>
        <w:rPr>
          <w:rFonts w:hint="default" w:ascii="Times New Roman" w:hAnsi="Times New Roman" w:cs="Times New Roman"/>
          <w:color w:val="auto"/>
          <w:sz w:val="24"/>
          <w:lang w:val="en-US" w:eastAsia="zh-CN"/>
        </w:rPr>
        <w:t>蛋鸡</w:t>
      </w:r>
      <w:r>
        <w:rPr>
          <w:rFonts w:hint="default" w:ascii="Times New Roman" w:hAnsi="Times New Roman" w:cs="Times New Roman"/>
          <w:color w:val="auto"/>
          <w:sz w:val="24"/>
        </w:rPr>
        <w:t>养殖类项目，由工程分析及类比调查，可以确定建设项目可能造成的环境负效应主要有：</w:t>
      </w:r>
    </w:p>
    <w:p w14:paraId="38D6C7E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（1）来自</w:t>
      </w:r>
      <w:r>
        <w:rPr>
          <w:rFonts w:hint="default" w:ascii="Times New Roman" w:hAnsi="Times New Roman" w:cs="Times New Roman"/>
          <w:color w:val="auto"/>
          <w:sz w:val="24"/>
          <w:lang w:val="en-US" w:eastAsia="zh-CN"/>
        </w:rPr>
        <w:t>鸡舍</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鸡粪发酵处理场</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废水收集池</w:t>
      </w:r>
      <w:r>
        <w:rPr>
          <w:rFonts w:hint="default" w:ascii="Times New Roman" w:hAnsi="Times New Roman" w:cs="Times New Roman"/>
          <w:color w:val="auto"/>
          <w:sz w:val="24"/>
        </w:rPr>
        <w:t>臭气造成的大气环境影响；</w:t>
      </w:r>
    </w:p>
    <w:p w14:paraId="5BB4D76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粪便收集设施冲洗废水</w:t>
      </w:r>
      <w:r>
        <w:rPr>
          <w:rFonts w:hint="default" w:ascii="Times New Roman" w:hAnsi="Times New Roman" w:cs="Times New Roman"/>
          <w:color w:val="auto"/>
          <w:sz w:val="24"/>
        </w:rPr>
        <w:t>以及生活</w:t>
      </w:r>
      <w:r>
        <w:rPr>
          <w:rFonts w:hint="default" w:ascii="Times New Roman" w:hAnsi="Times New Roman" w:cs="Times New Roman"/>
          <w:color w:val="auto"/>
          <w:sz w:val="24"/>
          <w:lang w:val="en-US" w:eastAsia="zh-CN"/>
        </w:rPr>
        <w:t>污水</w:t>
      </w:r>
      <w:r>
        <w:rPr>
          <w:rFonts w:hint="default" w:ascii="Times New Roman" w:hAnsi="Times New Roman" w:cs="Times New Roman"/>
          <w:color w:val="auto"/>
          <w:sz w:val="24"/>
        </w:rPr>
        <w:t>对厂区周边水环境质量的影响；</w:t>
      </w:r>
    </w:p>
    <w:p w14:paraId="44AB104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（3）圈舍粪便、病死</w:t>
      </w:r>
      <w:r>
        <w:rPr>
          <w:rFonts w:hint="default" w:ascii="Times New Roman" w:hAnsi="Times New Roman" w:cs="Times New Roman"/>
          <w:color w:val="auto"/>
          <w:sz w:val="24"/>
          <w:lang w:eastAsia="zh-CN"/>
        </w:rPr>
        <w:t>鸡</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动物</w:t>
      </w:r>
      <w:r>
        <w:rPr>
          <w:rFonts w:hint="default" w:ascii="Times New Roman" w:hAnsi="Times New Roman" w:cs="Times New Roman"/>
          <w:color w:val="auto"/>
          <w:sz w:val="24"/>
        </w:rPr>
        <w:t>医疗废物的堆存对周围环境的影响；</w:t>
      </w:r>
    </w:p>
    <w:p w14:paraId="18980CD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（4）风机、水泵等设备等产生的噪声。</w:t>
      </w:r>
    </w:p>
    <w:p w14:paraId="7AC3244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水体污染经济损失表现在，废水处理需要一定的费用。</w:t>
      </w:r>
    </w:p>
    <w:p w14:paraId="6C2595B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大气污染经济损失主要表现在项目废气的排放可能引起周围空气的质量略有下降。但只要加强管理落实环保措施，做到达标排放，则影响不大。</w:t>
      </w:r>
    </w:p>
    <w:p w14:paraId="620D7E2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噪声影响经济损失表现在噪声可能使人们听力或健康受到损伤，降低人们的工作效率。但项目主要噪声源离敏感点较远，因此影响不大。</w:t>
      </w:r>
    </w:p>
    <w:p w14:paraId="63BD366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总的来说，环境经济损失比较小。</w:t>
      </w:r>
    </w:p>
    <w:p w14:paraId="19D648EE">
      <w:pPr>
        <w:pStyle w:val="3"/>
        <w:bidi w:val="0"/>
        <w:rPr>
          <w:rFonts w:hint="default" w:ascii="Times New Roman" w:hAnsi="Times New Roman" w:cs="Times New Roman"/>
          <w:color w:val="auto"/>
          <w:lang w:val="en-US" w:eastAsia="zh-CN"/>
        </w:rPr>
      </w:pPr>
      <w:bookmarkStart w:id="165" w:name="_Toc7628"/>
      <w:r>
        <w:rPr>
          <w:rFonts w:hint="default" w:ascii="Times New Roman" w:hAnsi="Times New Roman" w:cs="Times New Roman"/>
          <w:color w:val="auto"/>
          <w:lang w:val="en-US" w:eastAsia="zh-CN"/>
        </w:rPr>
        <w:t>环境效益分析</w:t>
      </w:r>
      <w:bookmarkEnd w:id="164"/>
      <w:bookmarkEnd w:id="165"/>
    </w:p>
    <w:p w14:paraId="2430100F">
      <w:pPr>
        <w:pStyle w:val="16"/>
        <w:bidi w:val="0"/>
        <w:rPr>
          <w:rFonts w:hint="default" w:ascii="Times New Roman" w:hAnsi="Times New Roman" w:cs="Times New Roman"/>
          <w:color w:val="FF0000"/>
        </w:rPr>
      </w:pPr>
      <w:r>
        <w:rPr>
          <w:rFonts w:hint="default" w:ascii="Times New Roman" w:hAnsi="Times New Roman" w:cs="Times New Roman"/>
          <w:color w:val="FF0000"/>
        </w:rPr>
        <w:t>本项目在设计中充分考虑了环境保护的要求，严格执行各项环境保护标准。针对在生产中产生的污染物，从实际出发采取多种相应的处理措施。</w:t>
      </w:r>
      <w:r>
        <w:rPr>
          <w:rFonts w:hint="default" w:ascii="Times New Roman" w:hAnsi="Times New Roman" w:cs="Times New Roman"/>
          <w:color w:val="FF0000"/>
          <w:lang w:eastAsia="zh-CN"/>
        </w:rPr>
        <w:t>合理</w:t>
      </w:r>
      <w:r>
        <w:rPr>
          <w:rFonts w:hint="default" w:ascii="Times New Roman" w:hAnsi="Times New Roman" w:cs="Times New Roman"/>
          <w:color w:val="FF0000"/>
        </w:rPr>
        <w:t>划分养殖场粪污处理区；</w:t>
      </w:r>
      <w:r>
        <w:rPr>
          <w:rFonts w:hint="default" w:ascii="Times New Roman" w:hAnsi="Times New Roman" w:eastAsia="宋体" w:cs="Times New Roman"/>
          <w:color w:val="FF0000"/>
          <w:lang w:val="en-US" w:eastAsia="zh-CN"/>
        </w:rPr>
        <w:t>每栋鸡舍均设自动清粪系统，鸡舍内设</w:t>
      </w:r>
      <w:r>
        <w:rPr>
          <w:rFonts w:hint="eastAsia" w:ascii="Times New Roman" w:hAnsi="Times New Roman" w:cs="Times New Roman"/>
          <w:color w:val="FF0000"/>
          <w:lang w:val="en-US" w:eastAsia="zh-CN"/>
        </w:rPr>
        <w:t>横</w:t>
      </w:r>
      <w:r>
        <w:rPr>
          <w:rFonts w:hint="default" w:ascii="Times New Roman" w:hAnsi="Times New Roman" w:eastAsia="宋体" w:cs="Times New Roman"/>
          <w:color w:val="FF0000"/>
          <w:lang w:val="en-US" w:eastAsia="zh-CN"/>
        </w:rPr>
        <w:t>向</w:t>
      </w:r>
      <w:r>
        <w:rPr>
          <w:rFonts w:hint="eastAsia" w:ascii="Times New Roman" w:hAnsi="Times New Roman" w:cs="Times New Roman"/>
          <w:color w:val="FF0000"/>
          <w:lang w:val="en-US" w:eastAsia="zh-CN"/>
        </w:rPr>
        <w:t>粪便传送带</w:t>
      </w:r>
      <w:r>
        <w:rPr>
          <w:rFonts w:hint="default" w:ascii="Times New Roman" w:hAnsi="Times New Roman" w:eastAsia="宋体" w:cs="Times New Roman"/>
          <w:color w:val="FF0000"/>
          <w:lang w:val="en-US" w:eastAsia="zh-CN"/>
        </w:rPr>
        <w:t>，鸡排出的粪便主要通过清粪机进入横向</w:t>
      </w:r>
      <w:r>
        <w:rPr>
          <w:rFonts w:hint="eastAsia" w:ascii="Times New Roman" w:hAnsi="Times New Roman" w:cs="Times New Roman"/>
          <w:color w:val="FF0000"/>
          <w:lang w:val="en-US" w:eastAsia="zh-CN"/>
        </w:rPr>
        <w:t>粪便传送带</w:t>
      </w:r>
      <w:r>
        <w:rPr>
          <w:rFonts w:hint="default" w:ascii="Times New Roman" w:hAnsi="Times New Roman" w:eastAsia="宋体" w:cs="Times New Roman"/>
          <w:color w:val="FF0000"/>
          <w:lang w:val="en-US" w:eastAsia="zh-CN"/>
        </w:rPr>
        <w:t>内，传输至清粪房再通过斜向</w:t>
      </w:r>
      <w:r>
        <w:rPr>
          <w:rFonts w:hint="eastAsia" w:ascii="Times New Roman" w:hAnsi="Times New Roman" w:cs="Times New Roman"/>
          <w:color w:val="FF0000"/>
          <w:lang w:val="en-US" w:eastAsia="zh-CN"/>
        </w:rPr>
        <w:t>粪便传送带</w:t>
      </w:r>
      <w:r>
        <w:rPr>
          <w:rFonts w:hint="default" w:ascii="Times New Roman" w:hAnsi="Times New Roman" w:eastAsia="宋体" w:cs="Times New Roman"/>
          <w:color w:val="FF0000"/>
          <w:lang w:val="en-US" w:eastAsia="zh-CN"/>
        </w:rPr>
        <w:t>进入鸡粪发酵处理场，</w:t>
      </w:r>
      <w:r>
        <w:rPr>
          <w:rFonts w:hint="default" w:ascii="Times New Roman" w:hAnsi="Times New Roman" w:eastAsia="宋体" w:cs="Times New Roman"/>
          <w:color w:val="FF0000"/>
          <w:lang w:val="en-US"/>
        </w:rPr>
        <w:t>发酵处理后，</w:t>
      </w:r>
      <w:r>
        <w:rPr>
          <w:rFonts w:hint="default" w:ascii="Times New Roman" w:hAnsi="Times New Roman" w:eastAsia="宋体" w:cs="Times New Roman"/>
          <w:color w:val="FF0000"/>
          <w:lang w:val="en-US" w:eastAsia="zh-CN"/>
        </w:rPr>
        <w:t>外售农户综合利用</w:t>
      </w:r>
      <w:r>
        <w:rPr>
          <w:rFonts w:hint="default" w:ascii="Times New Roman" w:hAnsi="Times New Roman" w:eastAsia="宋体" w:cs="Times New Roman"/>
          <w:color w:val="FF0000"/>
        </w:rPr>
        <w:t>；</w:t>
      </w:r>
      <w:r>
        <w:rPr>
          <w:rFonts w:hint="default" w:ascii="Times New Roman" w:hAnsi="Times New Roman" w:cs="Times New Roman"/>
          <w:color w:val="FF0000"/>
        </w:rPr>
        <w:t>在设备选型时，选用低噪声设施，并采取</w:t>
      </w:r>
      <w:r>
        <w:rPr>
          <w:rFonts w:hint="default" w:ascii="Times New Roman" w:hAnsi="Times New Roman" w:cs="Times New Roman"/>
          <w:color w:val="FF0000"/>
          <w:lang w:eastAsia="zh-CN"/>
        </w:rPr>
        <w:t>减振隔声</w:t>
      </w:r>
      <w:r>
        <w:rPr>
          <w:rFonts w:hint="default" w:ascii="Times New Roman" w:hAnsi="Times New Roman" w:cs="Times New Roman"/>
          <w:color w:val="FF0000"/>
        </w:rPr>
        <w:t>措施，减少噪声对环境的影响等。本项目采取上述环境治理措施后，外排的污染物很少，既保护了环境又为企业带来了一定的经济效益。</w:t>
      </w:r>
    </w:p>
    <w:p w14:paraId="51B3CD53">
      <w:pPr>
        <w:pStyle w:val="16"/>
        <w:bidi w:val="0"/>
        <w:rPr>
          <w:rFonts w:hint="default" w:ascii="Times New Roman" w:hAnsi="Times New Roman" w:cs="Times New Roman"/>
          <w:color w:val="auto"/>
        </w:rPr>
      </w:pPr>
      <w:r>
        <w:rPr>
          <w:rFonts w:hint="default" w:ascii="Times New Roman" w:hAnsi="Times New Roman" w:cs="Times New Roman"/>
          <w:color w:val="auto"/>
        </w:rPr>
        <w:t>本项目环境保护投资的环境效益主要表现在以下几方面；</w:t>
      </w:r>
    </w:p>
    <w:p w14:paraId="36C1484A">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废气治理环境效益</w:t>
      </w:r>
    </w:p>
    <w:p w14:paraId="7AD59B80">
      <w:pPr>
        <w:pStyle w:val="16"/>
        <w:bidi w:val="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鸡舍</w:t>
      </w:r>
      <w:r>
        <w:rPr>
          <w:rFonts w:hint="default" w:ascii="Times New Roman" w:hAnsi="Times New Roman" w:cs="Times New Roman"/>
          <w:color w:val="auto"/>
        </w:rPr>
        <w:t>、粪便处理设施等产生的恶臭气体分别通过及时清运、干清粪、采用生物除臭等方式处理后排放，臭气浓度能够达标排放，可使得项目整体</w:t>
      </w:r>
      <w:bookmarkStart w:id="227" w:name="_GoBack"/>
      <w:r>
        <w:rPr>
          <w:rFonts w:hint="default" w:ascii="Times New Roman" w:hAnsi="Times New Roman" w:cs="Times New Roman"/>
          <w:color w:val="auto"/>
        </w:rPr>
        <w:t>废气污染物</w:t>
      </w:r>
      <w:bookmarkEnd w:id="227"/>
      <w:r>
        <w:rPr>
          <w:rFonts w:hint="default" w:ascii="Times New Roman" w:hAnsi="Times New Roman" w:cs="Times New Roman"/>
          <w:color w:val="auto"/>
        </w:rPr>
        <w:t>排放量将得到大幅度削减。</w:t>
      </w:r>
    </w:p>
    <w:p w14:paraId="30F5B4E7">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废水处理环境效益</w:t>
      </w:r>
    </w:p>
    <w:p w14:paraId="3A626E23">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本项目鸡舍不进行冲洗，冲洗废水仅为鸡舍内粪便收集设施的清洗废水，以及工作人员生活污水。</w:t>
      </w:r>
    </w:p>
    <w:p w14:paraId="0F45A121">
      <w:pPr>
        <w:numPr>
          <w:ilvl w:val="0"/>
          <w:numId w:val="0"/>
        </w:numPr>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项目</w:t>
      </w:r>
      <w:r>
        <w:rPr>
          <w:rFonts w:hint="default" w:ascii="Times New Roman" w:hAnsi="Times New Roman" w:eastAsia="宋体" w:cs="Times New Roman"/>
          <w:color w:val="auto"/>
          <w:kern w:val="2"/>
          <w:sz w:val="24"/>
          <w:szCs w:val="24"/>
          <w:lang w:val="en-US" w:bidi="ar-SA"/>
        </w:rPr>
        <w:t>生活污水</w:t>
      </w:r>
      <w:r>
        <w:rPr>
          <w:rFonts w:hint="default" w:ascii="Times New Roman" w:hAnsi="Times New Roman" w:eastAsia="宋体" w:cs="Times New Roman"/>
          <w:color w:val="auto"/>
          <w:kern w:val="2"/>
          <w:sz w:val="24"/>
          <w:szCs w:val="24"/>
          <w:lang w:val="en-US" w:eastAsia="zh-CN" w:bidi="ar-SA"/>
        </w:rPr>
        <w:t>和鸡舍粪便收集设施（</w:t>
      </w:r>
      <w:r>
        <w:rPr>
          <w:rFonts w:hint="eastAsia" w:ascii="Times New Roman" w:hAnsi="Times New Roman" w:cs="Times New Roman"/>
          <w:color w:val="auto"/>
          <w:kern w:val="2"/>
          <w:sz w:val="24"/>
          <w:szCs w:val="24"/>
          <w:lang w:val="en-US" w:eastAsia="zh-CN" w:bidi="ar-SA"/>
        </w:rPr>
        <w:t>粪便传送带</w:t>
      </w:r>
      <w:r>
        <w:rPr>
          <w:rFonts w:hint="default" w:ascii="Times New Roman" w:hAnsi="Times New Roman" w:eastAsia="宋体" w:cs="Times New Roman"/>
          <w:color w:val="auto"/>
          <w:kern w:val="2"/>
          <w:sz w:val="24"/>
          <w:szCs w:val="24"/>
          <w:lang w:val="en-US" w:eastAsia="zh-CN" w:bidi="ar-SA"/>
        </w:rPr>
        <w:t>和清粪机）冲洗废水排入项目区废水收集池发酵处理后用于农田灌溉</w:t>
      </w:r>
      <w:r>
        <w:rPr>
          <w:rFonts w:hint="default" w:ascii="Times New Roman" w:hAnsi="Times New Roman" w:cs="Times New Roman"/>
          <w:color w:val="auto"/>
          <w:sz w:val="24"/>
          <w:szCs w:val="24"/>
        </w:rPr>
        <w:t>，同时项目场区内的</w:t>
      </w:r>
      <w:r>
        <w:rPr>
          <w:rFonts w:hint="default" w:ascii="Times New Roman" w:hAnsi="Times New Roman" w:cs="Times New Roman"/>
          <w:color w:val="auto"/>
          <w:sz w:val="24"/>
          <w:szCs w:val="24"/>
          <w:lang w:eastAsia="zh-CN"/>
        </w:rPr>
        <w:t>鸡舍</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鸡粪发酵处理场</w:t>
      </w:r>
      <w:r>
        <w:rPr>
          <w:rFonts w:hint="default" w:ascii="Times New Roman" w:hAnsi="Times New Roman" w:cs="Times New Roman"/>
          <w:color w:val="auto"/>
          <w:sz w:val="24"/>
          <w:szCs w:val="24"/>
        </w:rPr>
        <w:t>、粪污池等进行地面硬化，防止废水下渗污染土壤及地下水，环境效益显著。</w:t>
      </w:r>
    </w:p>
    <w:p w14:paraId="5D2152CA">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噪声治理的环境效益</w:t>
      </w:r>
    </w:p>
    <w:p w14:paraId="1B034BA8">
      <w:pPr>
        <w:pStyle w:val="16"/>
        <w:bidi w:val="0"/>
        <w:rPr>
          <w:rFonts w:hint="default" w:ascii="Times New Roman" w:hAnsi="Times New Roman" w:cs="Times New Roman"/>
          <w:color w:val="auto"/>
        </w:rPr>
      </w:pPr>
      <w:r>
        <w:rPr>
          <w:rFonts w:hint="default" w:ascii="Times New Roman" w:hAnsi="Times New Roman" w:cs="Times New Roman"/>
          <w:color w:val="auto"/>
        </w:rPr>
        <w:t>噪声治理措施落实后可确保厂界噪声达标，有良好的环境效益。</w:t>
      </w:r>
    </w:p>
    <w:p w14:paraId="4EFB25E3">
      <w:pPr>
        <w:pStyle w:val="73"/>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line="360" w:lineRule="auto"/>
        <w:ind w:leftChars="0" w:right="0"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固废处置的环境效益</w:t>
      </w:r>
    </w:p>
    <w:p w14:paraId="6F7E67B7">
      <w:pPr>
        <w:pStyle w:val="16"/>
        <w:bidi w:val="0"/>
        <w:rPr>
          <w:rFonts w:hint="default" w:ascii="Times New Roman" w:hAnsi="Times New Roman" w:cs="Times New Roman"/>
          <w:color w:val="auto"/>
        </w:rPr>
      </w:pPr>
      <w:r>
        <w:rPr>
          <w:rFonts w:hint="default" w:ascii="Times New Roman" w:hAnsi="Times New Roman" w:cs="Times New Roman"/>
          <w:color w:val="FF0000"/>
          <w:highlight w:val="none"/>
        </w:rPr>
        <w:t>项目</w:t>
      </w:r>
      <w:r>
        <w:rPr>
          <w:rFonts w:hint="default" w:ascii="Times New Roman" w:hAnsi="Times New Roman" w:cs="Times New Roman"/>
          <w:color w:val="FF0000"/>
          <w:highlight w:val="none"/>
          <w:lang w:val="en-US" w:eastAsia="zh-CN"/>
        </w:rPr>
        <w:t>采用</w:t>
      </w:r>
      <w:r>
        <w:rPr>
          <w:rFonts w:hint="default" w:ascii="Times New Roman" w:hAnsi="Times New Roman" w:cs="Times New Roman"/>
          <w:color w:val="FF0000"/>
          <w:highlight w:val="none"/>
        </w:rPr>
        <w:t>清粪工艺</w:t>
      </w:r>
      <w:r>
        <w:rPr>
          <w:rFonts w:hint="default" w:ascii="Times New Roman" w:hAnsi="Times New Roman" w:cs="Times New Roman"/>
          <w:color w:val="FF0000"/>
          <w:highlight w:val="none"/>
          <w:lang w:eastAsia="zh-CN"/>
        </w:rPr>
        <w:t>，每栋鸡舍均设自动清粪系统，鸡舍内设</w:t>
      </w:r>
      <w:r>
        <w:rPr>
          <w:rFonts w:hint="eastAsia" w:ascii="Times New Roman" w:hAnsi="Times New Roman" w:cs="Times New Roman"/>
          <w:color w:val="FF0000"/>
          <w:highlight w:val="none"/>
          <w:lang w:eastAsia="zh-CN"/>
        </w:rPr>
        <w:t>横</w:t>
      </w:r>
      <w:r>
        <w:rPr>
          <w:rFonts w:hint="default" w:ascii="Times New Roman" w:hAnsi="Times New Roman" w:cs="Times New Roman"/>
          <w:color w:val="FF0000"/>
          <w:highlight w:val="none"/>
          <w:lang w:eastAsia="zh-CN"/>
        </w:rPr>
        <w:t>向</w:t>
      </w:r>
      <w:r>
        <w:rPr>
          <w:rFonts w:hint="eastAsia" w:ascii="Times New Roman" w:hAnsi="Times New Roman" w:cs="Times New Roman"/>
          <w:color w:val="FF0000"/>
          <w:highlight w:val="none"/>
          <w:lang w:eastAsia="zh-CN"/>
        </w:rPr>
        <w:t>粪便传送带</w:t>
      </w:r>
      <w:r>
        <w:rPr>
          <w:rFonts w:hint="default" w:ascii="Times New Roman" w:hAnsi="Times New Roman" w:cs="Times New Roman"/>
          <w:color w:val="FF0000"/>
          <w:highlight w:val="none"/>
          <w:lang w:eastAsia="zh-CN"/>
        </w:rPr>
        <w:t>，鸡排出的粪便主要通过清粪机进入横向</w:t>
      </w:r>
      <w:r>
        <w:rPr>
          <w:rFonts w:hint="eastAsia" w:ascii="Times New Roman" w:hAnsi="Times New Roman" w:cs="Times New Roman"/>
          <w:color w:val="FF0000"/>
          <w:highlight w:val="none"/>
          <w:lang w:eastAsia="zh-CN"/>
        </w:rPr>
        <w:t>粪便传送带</w:t>
      </w:r>
      <w:r>
        <w:rPr>
          <w:rFonts w:hint="default" w:ascii="Times New Roman" w:hAnsi="Times New Roman" w:cs="Times New Roman"/>
          <w:color w:val="FF0000"/>
          <w:highlight w:val="none"/>
          <w:lang w:eastAsia="zh-CN"/>
        </w:rPr>
        <w:t>内，传输至清粪房再通过斜向</w:t>
      </w:r>
      <w:r>
        <w:rPr>
          <w:rFonts w:hint="eastAsia" w:ascii="Times New Roman" w:hAnsi="Times New Roman" w:cs="Times New Roman"/>
          <w:color w:val="FF0000"/>
          <w:highlight w:val="none"/>
          <w:lang w:eastAsia="zh-CN"/>
        </w:rPr>
        <w:t>粪便传送带</w:t>
      </w:r>
      <w:r>
        <w:rPr>
          <w:rFonts w:hint="default" w:ascii="Times New Roman" w:hAnsi="Times New Roman" w:cs="Times New Roman"/>
          <w:color w:val="FF0000"/>
          <w:highlight w:val="none"/>
          <w:lang w:eastAsia="zh-CN"/>
        </w:rPr>
        <w:t>进入鸡粪发酵处理场，发酵处理后，外售农户综合利用</w:t>
      </w:r>
      <w:r>
        <w:rPr>
          <w:rFonts w:hint="default" w:ascii="Times New Roman" w:hAnsi="Times New Roman" w:cs="Times New Roman"/>
          <w:color w:val="FF0000"/>
          <w:highlight w:val="none"/>
        </w:rPr>
        <w:t>；</w:t>
      </w:r>
      <w:r>
        <w:rPr>
          <w:rFonts w:hint="default" w:ascii="Times New Roman" w:hAnsi="Times New Roman" w:cs="Times New Roman"/>
          <w:color w:val="auto"/>
          <w:highlight w:val="none"/>
          <w:lang w:eastAsia="zh-CN"/>
        </w:rPr>
        <w:t>病</w:t>
      </w:r>
      <w:r>
        <w:rPr>
          <w:rFonts w:hint="default" w:ascii="Times New Roman" w:hAnsi="Times New Roman" w:cs="Times New Roman"/>
          <w:color w:val="auto"/>
          <w:lang w:eastAsia="zh-CN"/>
        </w:rPr>
        <w:t>死鸡</w:t>
      </w:r>
      <w:r>
        <w:rPr>
          <w:rFonts w:hint="default" w:ascii="Times New Roman" w:hAnsi="Times New Roman" w:cs="Times New Roman"/>
          <w:color w:val="auto"/>
          <w:sz w:val="24"/>
          <w:lang w:val="en-US" w:eastAsia="zh-CN"/>
        </w:rPr>
        <w:t>采用安全填埋井处置方式，在项目区东南侧设置安全填埋井1座，采用混凝土结构，井底及四周做重点防渗层</w:t>
      </w:r>
      <w:r>
        <w:rPr>
          <w:rFonts w:hint="default" w:ascii="Times New Roman" w:hAnsi="Times New Roman" w:cs="Times New Roman"/>
          <w:color w:val="auto"/>
        </w:rPr>
        <w:t>；医疗固废按照危险废弃物进行收集并交由有资质的单位处理</w:t>
      </w:r>
      <w:r>
        <w:rPr>
          <w:rFonts w:hint="default" w:ascii="Times New Roman" w:hAnsi="Times New Roman" w:cs="Times New Roman"/>
          <w:color w:val="auto"/>
          <w:lang w:val="en-US" w:eastAsia="zh-CN"/>
        </w:rPr>
        <w:t>。</w:t>
      </w:r>
      <w:r>
        <w:rPr>
          <w:rFonts w:hint="default" w:ascii="Times New Roman" w:hAnsi="Times New Roman" w:cs="Times New Roman"/>
          <w:color w:val="auto"/>
        </w:rPr>
        <w:t>经采取以上措施后，本项目固废污染物能够达到资源化、减量化、无害化的原则，提高了资源的利用率。</w:t>
      </w:r>
    </w:p>
    <w:p w14:paraId="279EADF3">
      <w:pPr>
        <w:pStyle w:val="73"/>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line="360" w:lineRule="auto"/>
        <w:ind w:leftChars="0" w:right="0" w:rightChars="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绿化建设的环境效益：本项目在控制污染、治理污染的同时，绿化起到净化空气、降噪等作用，同时美化了</w:t>
      </w:r>
      <w:r>
        <w:rPr>
          <w:rFonts w:hint="default" w:ascii="Times New Roman" w:hAnsi="Times New Roman" w:cs="Times New Roman"/>
          <w:color w:val="auto"/>
          <w:sz w:val="24"/>
          <w:highlight w:val="none"/>
          <w:lang w:eastAsia="zh-CN"/>
        </w:rPr>
        <w:t>厂区</w:t>
      </w:r>
      <w:r>
        <w:rPr>
          <w:rFonts w:hint="default" w:ascii="Times New Roman" w:hAnsi="Times New Roman" w:cs="Times New Roman"/>
          <w:color w:val="auto"/>
          <w:sz w:val="24"/>
          <w:highlight w:val="none"/>
        </w:rPr>
        <w:t>环境，为企业职工提供良好的厂区环境。</w:t>
      </w:r>
    </w:p>
    <w:p w14:paraId="4AB7DAEA">
      <w:pPr>
        <w:pStyle w:val="16"/>
        <w:bidi w:val="0"/>
        <w:rPr>
          <w:rFonts w:hint="default" w:ascii="Times New Roman" w:hAnsi="Times New Roman" w:cs="Times New Roman"/>
          <w:color w:val="FF0000"/>
        </w:rPr>
      </w:pPr>
      <w:r>
        <w:rPr>
          <w:rFonts w:hint="default" w:ascii="Times New Roman" w:hAnsi="Times New Roman" w:cs="Times New Roman"/>
          <w:color w:val="FF0000"/>
        </w:rPr>
        <w:t>由此可见，本项目环境效益显著。为切实保护环境，落实相关环境保护指标，各项环保设施的估算情况见表7.4-1。</w:t>
      </w:r>
    </w:p>
    <w:p w14:paraId="7C1BD332">
      <w:pPr>
        <w:pStyle w:val="14"/>
        <w:bidi w:val="0"/>
        <w:rPr>
          <w:rFonts w:hint="default" w:ascii="Times New Roman" w:hAnsi="Times New Roman" w:cs="Times New Roman"/>
          <w:color w:val="FF0000"/>
          <w:lang w:eastAsia="zh-CN"/>
        </w:rPr>
      </w:pPr>
      <w:r>
        <w:rPr>
          <w:rFonts w:hint="default" w:ascii="Times New Roman" w:hAnsi="Times New Roman" w:cs="Times New Roman"/>
          <w:color w:val="FF0000"/>
        </w:rPr>
        <w:t>表7.4-1</w:t>
      </w:r>
      <w:r>
        <w:rPr>
          <w:rFonts w:hint="default" w:ascii="Times New Roman" w:hAnsi="Times New Roman" w:cs="Times New Roman"/>
          <w:color w:val="FF0000"/>
        </w:rPr>
        <w:tab/>
      </w:r>
      <w:r>
        <w:rPr>
          <w:rFonts w:hint="default" w:ascii="Times New Roman" w:hAnsi="Times New Roman" w:cs="Times New Roman"/>
          <w:color w:val="FF0000"/>
        </w:rPr>
        <w:t>环保设施及投资</w:t>
      </w:r>
    </w:p>
    <w:tbl>
      <w:tblPr>
        <w:tblStyle w:val="33"/>
        <w:tblW w:w="53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5"/>
        <w:gridCol w:w="2217"/>
        <w:gridCol w:w="3847"/>
        <w:gridCol w:w="2276"/>
      </w:tblGrid>
      <w:tr w14:paraId="6D8F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317" w:type="pct"/>
            <w:noWrap w:val="0"/>
            <w:vAlign w:val="center"/>
          </w:tcPr>
          <w:p w14:paraId="2C2C1969">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序号</w:t>
            </w:r>
          </w:p>
        </w:tc>
        <w:tc>
          <w:tcPr>
            <w:tcW w:w="1245" w:type="pct"/>
            <w:noWrap w:val="0"/>
            <w:vAlign w:val="center"/>
          </w:tcPr>
          <w:p w14:paraId="66D06113">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环保项目</w:t>
            </w:r>
          </w:p>
        </w:tc>
        <w:tc>
          <w:tcPr>
            <w:tcW w:w="2160" w:type="pct"/>
            <w:noWrap w:val="0"/>
            <w:vAlign w:val="center"/>
          </w:tcPr>
          <w:p w14:paraId="48E0CB85">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工程内容及技术要求</w:t>
            </w:r>
          </w:p>
        </w:tc>
        <w:tc>
          <w:tcPr>
            <w:tcW w:w="1277" w:type="pct"/>
            <w:noWrap w:val="0"/>
            <w:vAlign w:val="center"/>
          </w:tcPr>
          <w:p w14:paraId="22736E46">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eastAsia="zh-CN"/>
              </w:rPr>
            </w:pPr>
            <w:r>
              <w:rPr>
                <w:rFonts w:hint="default" w:ascii="Times New Roman" w:hAnsi="Times New Roman" w:cs="Times New Roman"/>
                <w:color w:val="FF0000"/>
                <w:sz w:val="21"/>
                <w:highlight w:val="none"/>
                <w:lang w:val="en-US" w:eastAsia="zh-CN"/>
              </w:rPr>
              <w:t>本次</w:t>
            </w:r>
            <w:r>
              <w:rPr>
                <w:rFonts w:hint="default" w:ascii="Times New Roman" w:hAnsi="Times New Roman" w:cs="Times New Roman"/>
                <w:color w:val="FF0000"/>
                <w:sz w:val="21"/>
                <w:highlight w:val="none"/>
              </w:rPr>
              <w:t>投资估算</w:t>
            </w:r>
            <w:r>
              <w:rPr>
                <w:rFonts w:hint="default" w:ascii="Times New Roman" w:hAnsi="Times New Roman" w:cs="Times New Roman"/>
                <w:color w:val="FF0000"/>
                <w:sz w:val="21"/>
                <w:highlight w:val="none"/>
                <w:lang w:eastAsia="zh-CN"/>
              </w:rPr>
              <w:t>（</w:t>
            </w:r>
            <w:r>
              <w:rPr>
                <w:rFonts w:hint="default" w:ascii="Times New Roman" w:hAnsi="Times New Roman" w:cs="Times New Roman"/>
                <w:color w:val="FF0000"/>
                <w:sz w:val="21"/>
                <w:highlight w:val="none"/>
              </w:rPr>
              <w:t>万元</w:t>
            </w:r>
            <w:r>
              <w:rPr>
                <w:rFonts w:hint="default" w:ascii="Times New Roman" w:hAnsi="Times New Roman" w:cs="Times New Roman"/>
                <w:color w:val="FF0000"/>
                <w:sz w:val="21"/>
                <w:highlight w:val="none"/>
                <w:lang w:eastAsia="zh-CN"/>
              </w:rPr>
              <w:t>）</w:t>
            </w:r>
          </w:p>
        </w:tc>
      </w:tr>
      <w:tr w14:paraId="1AF2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3BD69716">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一</w:t>
            </w:r>
          </w:p>
        </w:tc>
        <w:tc>
          <w:tcPr>
            <w:tcW w:w="4682" w:type="pct"/>
            <w:gridSpan w:val="3"/>
            <w:noWrap w:val="0"/>
            <w:vAlign w:val="center"/>
          </w:tcPr>
          <w:p w14:paraId="6E154A3E">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both"/>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大气污染防治</w:t>
            </w:r>
          </w:p>
        </w:tc>
      </w:tr>
      <w:tr w14:paraId="5145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vMerge w:val="restart"/>
            <w:noWrap w:val="0"/>
            <w:vAlign w:val="center"/>
          </w:tcPr>
          <w:p w14:paraId="2B7B9E21">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1</w:t>
            </w:r>
          </w:p>
        </w:tc>
        <w:tc>
          <w:tcPr>
            <w:tcW w:w="1245" w:type="pct"/>
            <w:vMerge w:val="restart"/>
            <w:noWrap w:val="0"/>
            <w:vAlign w:val="center"/>
          </w:tcPr>
          <w:p w14:paraId="1F840D58">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11" w:rightChars="0" w:firstLine="0" w:firstLineChars="0"/>
              <w:jc w:val="center"/>
              <w:textAlignment w:val="auto"/>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恶臭气体</w:t>
            </w:r>
          </w:p>
        </w:tc>
        <w:tc>
          <w:tcPr>
            <w:tcW w:w="2160" w:type="pct"/>
            <w:noWrap w:val="0"/>
            <w:vAlign w:val="center"/>
          </w:tcPr>
          <w:p w14:paraId="1A7FE1DA">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lang w:eastAsia="zh-CN"/>
              </w:rPr>
              <w:t>鸡舍</w:t>
            </w:r>
            <w:r>
              <w:rPr>
                <w:rFonts w:hint="default" w:ascii="Times New Roman" w:hAnsi="Times New Roman" w:cs="Times New Roman"/>
                <w:color w:val="FF0000"/>
                <w:sz w:val="21"/>
                <w:highlight w:val="none"/>
              </w:rPr>
              <w:t>内定时喷洒除臭剂等；粪污处理区生物除臭</w:t>
            </w:r>
          </w:p>
        </w:tc>
        <w:tc>
          <w:tcPr>
            <w:tcW w:w="1277" w:type="pct"/>
            <w:noWrap w:val="0"/>
            <w:vAlign w:val="center"/>
          </w:tcPr>
          <w:p w14:paraId="213E1012">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lang w:val="en-US"/>
              </w:rPr>
            </w:pPr>
            <w:r>
              <w:rPr>
                <w:rFonts w:hint="default" w:ascii="Times New Roman" w:hAnsi="Times New Roman" w:cs="Times New Roman"/>
                <w:color w:val="FF0000"/>
                <w:sz w:val="21"/>
                <w:highlight w:val="none"/>
                <w:lang w:val="en-US" w:eastAsia="zh-CN"/>
              </w:rPr>
              <w:t>15</w:t>
            </w:r>
          </w:p>
        </w:tc>
      </w:tr>
      <w:tr w14:paraId="040B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vMerge w:val="continue"/>
            <w:noWrap w:val="0"/>
            <w:vAlign w:val="center"/>
          </w:tcPr>
          <w:p w14:paraId="059B632C">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p>
        </w:tc>
        <w:tc>
          <w:tcPr>
            <w:tcW w:w="1245" w:type="pct"/>
            <w:vMerge w:val="continue"/>
            <w:noWrap w:val="0"/>
            <w:vAlign w:val="center"/>
          </w:tcPr>
          <w:p w14:paraId="15B17F4A">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11" w:rightChars="0" w:firstLine="0" w:firstLineChars="0"/>
              <w:jc w:val="center"/>
              <w:textAlignment w:val="auto"/>
              <w:rPr>
                <w:rFonts w:hint="default" w:ascii="Times New Roman" w:hAnsi="Times New Roman" w:cs="Times New Roman"/>
                <w:color w:val="FF0000"/>
                <w:sz w:val="21"/>
                <w:highlight w:val="none"/>
              </w:rPr>
            </w:pPr>
          </w:p>
        </w:tc>
        <w:tc>
          <w:tcPr>
            <w:tcW w:w="2160" w:type="pct"/>
            <w:noWrap w:val="0"/>
            <w:vAlign w:val="center"/>
          </w:tcPr>
          <w:p w14:paraId="3F68CF31">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生物过滤除臭系统</w:t>
            </w:r>
          </w:p>
        </w:tc>
        <w:tc>
          <w:tcPr>
            <w:tcW w:w="1277" w:type="pct"/>
            <w:noWrap w:val="0"/>
            <w:vAlign w:val="center"/>
          </w:tcPr>
          <w:p w14:paraId="2B24A9A0">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15</w:t>
            </w:r>
          </w:p>
        </w:tc>
      </w:tr>
      <w:tr w14:paraId="6C71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5D4DBBFD">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2</w:t>
            </w:r>
          </w:p>
        </w:tc>
        <w:tc>
          <w:tcPr>
            <w:tcW w:w="1245" w:type="pct"/>
            <w:noWrap w:val="0"/>
            <w:vAlign w:val="center"/>
          </w:tcPr>
          <w:p w14:paraId="3D1370F1">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11" w:rightChars="0" w:firstLine="0" w:firstLineChars="0"/>
              <w:jc w:val="center"/>
              <w:textAlignment w:val="auto"/>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饲料粉尘</w:t>
            </w:r>
          </w:p>
        </w:tc>
        <w:tc>
          <w:tcPr>
            <w:tcW w:w="2160" w:type="pct"/>
            <w:noWrap w:val="0"/>
            <w:vAlign w:val="center"/>
          </w:tcPr>
          <w:p w14:paraId="3FE24CD8">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袋式除尘器+15m排气筒</w:t>
            </w:r>
          </w:p>
        </w:tc>
        <w:tc>
          <w:tcPr>
            <w:tcW w:w="1277" w:type="pct"/>
            <w:noWrap w:val="0"/>
            <w:vAlign w:val="center"/>
          </w:tcPr>
          <w:p w14:paraId="56DA97BE">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5</w:t>
            </w:r>
          </w:p>
        </w:tc>
      </w:tr>
      <w:tr w14:paraId="7176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494B6C21">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3</w:t>
            </w:r>
          </w:p>
        </w:tc>
        <w:tc>
          <w:tcPr>
            <w:tcW w:w="1245" w:type="pct"/>
            <w:noWrap w:val="0"/>
            <w:vAlign w:val="center"/>
          </w:tcPr>
          <w:p w14:paraId="2573C231">
            <w:pPr>
              <w:pStyle w:val="69"/>
              <w:keepNext w:val="0"/>
              <w:keepLines w:val="0"/>
              <w:pageBreakBefore w:val="0"/>
              <w:widowControl w:val="0"/>
              <w:kinsoku/>
              <w:wordWrap/>
              <w:overflowPunct/>
              <w:topLinePunct w:val="0"/>
              <w:autoSpaceDE w:val="0"/>
              <w:autoSpaceDN w:val="0"/>
              <w:bidi w:val="0"/>
              <w:adjustRightInd/>
              <w:snapToGrid/>
              <w:spacing w:line="240" w:lineRule="auto"/>
              <w:ind w:left="0" w:leftChars="0" w:right="-11" w:rightChars="0" w:firstLine="0" w:firstLineChars="0"/>
              <w:jc w:val="center"/>
              <w:textAlignment w:val="auto"/>
              <w:rPr>
                <w:rFonts w:hint="default" w:ascii="Times New Roman" w:hAnsi="Times New Roman" w:cs="Times New Roman"/>
                <w:color w:val="FF0000"/>
                <w:sz w:val="21"/>
                <w:highlight w:val="none"/>
                <w:lang w:val="en-US" w:eastAsia="zh-CN"/>
              </w:rPr>
            </w:pPr>
            <w:r>
              <w:rPr>
                <w:rFonts w:hint="default" w:ascii="Times New Roman" w:hAnsi="Times New Roman" w:cs="Times New Roman"/>
                <w:color w:val="FF0000"/>
                <w:sz w:val="21"/>
                <w:szCs w:val="21"/>
                <w:highlight w:val="none"/>
              </w:rPr>
              <w:t>油烟净化器</w:t>
            </w:r>
          </w:p>
        </w:tc>
        <w:tc>
          <w:tcPr>
            <w:tcW w:w="2160" w:type="pct"/>
            <w:noWrap w:val="0"/>
            <w:vAlign w:val="center"/>
          </w:tcPr>
          <w:p w14:paraId="142118DC">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lang w:val="en-US" w:eastAsia="zh-CN"/>
              </w:rPr>
            </w:pPr>
            <w:r>
              <w:rPr>
                <w:rFonts w:hint="default" w:ascii="Times New Roman" w:hAnsi="Times New Roman" w:cs="Times New Roman"/>
                <w:color w:val="FF0000"/>
                <w:sz w:val="21"/>
                <w:szCs w:val="21"/>
                <w:highlight w:val="none"/>
              </w:rPr>
              <w:t>食堂安装油烟净化器</w:t>
            </w:r>
          </w:p>
        </w:tc>
        <w:tc>
          <w:tcPr>
            <w:tcW w:w="1277" w:type="pct"/>
            <w:noWrap w:val="0"/>
            <w:vAlign w:val="center"/>
          </w:tcPr>
          <w:p w14:paraId="0B9F866A">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lang w:val="en-US" w:eastAsia="zh-CN"/>
              </w:rPr>
              <w:t>0.4</w:t>
            </w:r>
          </w:p>
        </w:tc>
      </w:tr>
      <w:tr w14:paraId="5F7E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0D043933">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二</w:t>
            </w:r>
          </w:p>
        </w:tc>
        <w:tc>
          <w:tcPr>
            <w:tcW w:w="4682" w:type="pct"/>
            <w:gridSpan w:val="3"/>
            <w:noWrap w:val="0"/>
            <w:vAlign w:val="center"/>
          </w:tcPr>
          <w:p w14:paraId="5C748DA0">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both"/>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水污染防治</w:t>
            </w:r>
          </w:p>
        </w:tc>
      </w:tr>
      <w:tr w14:paraId="7236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6728C1CB">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1</w:t>
            </w:r>
          </w:p>
        </w:tc>
        <w:tc>
          <w:tcPr>
            <w:tcW w:w="1245" w:type="pct"/>
            <w:noWrap w:val="0"/>
            <w:vAlign w:val="center"/>
          </w:tcPr>
          <w:p w14:paraId="2179F271">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养殖场污水处理设施</w:t>
            </w:r>
          </w:p>
        </w:tc>
        <w:tc>
          <w:tcPr>
            <w:tcW w:w="2160" w:type="pct"/>
            <w:noWrap w:val="0"/>
            <w:vAlign w:val="center"/>
          </w:tcPr>
          <w:p w14:paraId="5F043A78">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废水收集池</w:t>
            </w:r>
          </w:p>
        </w:tc>
        <w:tc>
          <w:tcPr>
            <w:tcW w:w="1277" w:type="pct"/>
            <w:noWrap w:val="0"/>
            <w:vAlign w:val="center"/>
          </w:tcPr>
          <w:p w14:paraId="21411E06">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25</w:t>
            </w:r>
          </w:p>
        </w:tc>
      </w:tr>
      <w:tr w14:paraId="6EA2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37613AC7">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三</w:t>
            </w:r>
          </w:p>
        </w:tc>
        <w:tc>
          <w:tcPr>
            <w:tcW w:w="4682" w:type="pct"/>
            <w:gridSpan w:val="3"/>
            <w:noWrap w:val="0"/>
            <w:vAlign w:val="center"/>
          </w:tcPr>
          <w:p w14:paraId="7E011697">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both"/>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噪声防治</w:t>
            </w:r>
          </w:p>
        </w:tc>
      </w:tr>
      <w:tr w14:paraId="0B21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51FCEDE4">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1</w:t>
            </w:r>
          </w:p>
        </w:tc>
        <w:tc>
          <w:tcPr>
            <w:tcW w:w="1245" w:type="pct"/>
            <w:noWrap w:val="0"/>
            <w:vAlign w:val="center"/>
          </w:tcPr>
          <w:p w14:paraId="15D27EBC">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cs="Times New Roman"/>
                <w:color w:val="FF0000"/>
                <w:sz w:val="21"/>
                <w:highlight w:val="none"/>
              </w:rPr>
              <w:t>噪声控制</w:t>
            </w:r>
          </w:p>
        </w:tc>
        <w:tc>
          <w:tcPr>
            <w:tcW w:w="2160" w:type="pct"/>
            <w:noWrap w:val="0"/>
            <w:vAlign w:val="center"/>
          </w:tcPr>
          <w:p w14:paraId="45C789AA">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cs="Times New Roman"/>
                <w:color w:val="FF0000"/>
                <w:sz w:val="21"/>
                <w:highlight w:val="none"/>
              </w:rPr>
              <w:t>减振、隔声</w:t>
            </w:r>
            <w:r>
              <w:rPr>
                <w:rFonts w:hint="default" w:ascii="Times New Roman" w:hAnsi="Times New Roman" w:cs="Times New Roman"/>
                <w:color w:val="FF0000"/>
                <w:sz w:val="21"/>
                <w:highlight w:val="none"/>
                <w:lang w:eastAsia="zh-CN"/>
              </w:rPr>
              <w:t>、</w:t>
            </w:r>
            <w:r>
              <w:rPr>
                <w:rFonts w:hint="default" w:ascii="Times New Roman" w:hAnsi="Times New Roman" w:cs="Times New Roman"/>
                <w:color w:val="FF0000"/>
                <w:sz w:val="21"/>
                <w:highlight w:val="none"/>
                <w:lang w:val="en-US" w:eastAsia="zh-CN"/>
              </w:rPr>
              <w:t>消声</w:t>
            </w:r>
            <w:r>
              <w:rPr>
                <w:rFonts w:hint="default" w:ascii="Times New Roman" w:hAnsi="Times New Roman" w:cs="Times New Roman"/>
                <w:color w:val="FF0000"/>
                <w:sz w:val="21"/>
                <w:highlight w:val="none"/>
              </w:rPr>
              <w:t>措施</w:t>
            </w:r>
          </w:p>
        </w:tc>
        <w:tc>
          <w:tcPr>
            <w:tcW w:w="1277" w:type="pct"/>
            <w:noWrap w:val="0"/>
            <w:vAlign w:val="center"/>
          </w:tcPr>
          <w:p w14:paraId="36D7BD59">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1</w:t>
            </w:r>
          </w:p>
        </w:tc>
      </w:tr>
      <w:tr w14:paraId="05AB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76EBF723">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eastAsia="zh-CN"/>
              </w:rPr>
            </w:pPr>
            <w:r>
              <w:rPr>
                <w:rFonts w:hint="default" w:ascii="Times New Roman" w:hAnsi="Times New Roman" w:cs="Times New Roman"/>
                <w:color w:val="FF0000"/>
                <w:sz w:val="21"/>
                <w:highlight w:val="none"/>
                <w:lang w:val="en-US" w:eastAsia="zh-CN"/>
              </w:rPr>
              <w:t>四</w:t>
            </w:r>
          </w:p>
        </w:tc>
        <w:tc>
          <w:tcPr>
            <w:tcW w:w="4682" w:type="pct"/>
            <w:gridSpan w:val="3"/>
            <w:noWrap w:val="0"/>
            <w:vAlign w:val="center"/>
          </w:tcPr>
          <w:p w14:paraId="2C6C73BE">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both"/>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固体废物污染防治</w:t>
            </w:r>
          </w:p>
        </w:tc>
      </w:tr>
      <w:tr w14:paraId="2BC2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717E3069">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1</w:t>
            </w:r>
          </w:p>
        </w:tc>
        <w:tc>
          <w:tcPr>
            <w:tcW w:w="1245" w:type="pct"/>
            <w:noWrap w:val="0"/>
            <w:vAlign w:val="center"/>
          </w:tcPr>
          <w:p w14:paraId="2ACD1BF1">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highlight w:val="none"/>
                <w:lang w:eastAsia="zh-CN"/>
              </w:rPr>
              <w:t>医疗危废暂存间</w:t>
            </w:r>
          </w:p>
        </w:tc>
        <w:tc>
          <w:tcPr>
            <w:tcW w:w="2160" w:type="pct"/>
            <w:noWrap w:val="0"/>
            <w:vAlign w:val="center"/>
          </w:tcPr>
          <w:p w14:paraId="609CDC65">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highlight w:val="none"/>
                <w:lang w:eastAsia="zh-CN"/>
              </w:rPr>
              <w:t>医疗危废暂存间</w:t>
            </w:r>
          </w:p>
        </w:tc>
        <w:tc>
          <w:tcPr>
            <w:tcW w:w="1277" w:type="pct"/>
            <w:noWrap w:val="0"/>
            <w:vAlign w:val="center"/>
          </w:tcPr>
          <w:p w14:paraId="3D853737">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10</w:t>
            </w:r>
          </w:p>
        </w:tc>
      </w:tr>
      <w:tr w14:paraId="0154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1BE39599">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rPr>
              <w:t>2</w:t>
            </w:r>
          </w:p>
        </w:tc>
        <w:tc>
          <w:tcPr>
            <w:tcW w:w="1245" w:type="pct"/>
            <w:noWrap w:val="0"/>
            <w:vAlign w:val="center"/>
          </w:tcPr>
          <w:p w14:paraId="26575A27">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cs="Times New Roman"/>
                <w:color w:val="FF0000"/>
                <w:sz w:val="21"/>
                <w:highlight w:val="none"/>
                <w:lang w:eastAsia="zh-CN"/>
              </w:rPr>
              <w:t>鸡粪</w:t>
            </w:r>
            <w:r>
              <w:rPr>
                <w:rFonts w:hint="default" w:ascii="Times New Roman" w:hAnsi="Times New Roman" w:cs="Times New Roman"/>
                <w:color w:val="FF0000"/>
                <w:sz w:val="21"/>
                <w:highlight w:val="none"/>
              </w:rPr>
              <w:t>处置</w:t>
            </w:r>
          </w:p>
        </w:tc>
        <w:tc>
          <w:tcPr>
            <w:tcW w:w="2160" w:type="pct"/>
            <w:noWrap w:val="0"/>
            <w:vAlign w:val="center"/>
          </w:tcPr>
          <w:p w14:paraId="6F1C8517">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zh-CN" w:eastAsia="zh-CN" w:bidi="zh-CN"/>
              </w:rPr>
              <w:t>每栋鸡舍均设自动清粪系统，鸡舍内设横斜向</w:t>
            </w:r>
            <w:r>
              <w:rPr>
                <w:rFonts w:hint="eastAsia" w:ascii="Times New Roman" w:hAnsi="Times New Roman" w:cs="Times New Roman"/>
                <w:color w:val="FF0000"/>
                <w:sz w:val="21"/>
                <w:szCs w:val="22"/>
                <w:highlight w:val="none"/>
                <w:lang w:val="zh-CN" w:eastAsia="zh-CN" w:bidi="zh-CN"/>
              </w:rPr>
              <w:t>粪便传送带</w:t>
            </w:r>
            <w:r>
              <w:rPr>
                <w:rFonts w:hint="default" w:ascii="Times New Roman" w:hAnsi="Times New Roman" w:eastAsia="宋体" w:cs="Times New Roman"/>
                <w:color w:val="FF0000"/>
                <w:sz w:val="21"/>
                <w:szCs w:val="22"/>
                <w:highlight w:val="none"/>
                <w:lang w:val="zh-CN" w:eastAsia="zh-CN" w:bidi="zh-CN"/>
              </w:rPr>
              <w:t>，鸡排出的粪便主要通过清粪机进入横向</w:t>
            </w:r>
            <w:r>
              <w:rPr>
                <w:rFonts w:hint="eastAsia" w:ascii="Times New Roman" w:hAnsi="Times New Roman" w:cs="Times New Roman"/>
                <w:color w:val="FF0000"/>
                <w:sz w:val="21"/>
                <w:szCs w:val="22"/>
                <w:highlight w:val="none"/>
                <w:lang w:val="zh-CN" w:eastAsia="zh-CN" w:bidi="zh-CN"/>
              </w:rPr>
              <w:t>粪便传送带</w:t>
            </w:r>
            <w:r>
              <w:rPr>
                <w:rFonts w:hint="default" w:ascii="Times New Roman" w:hAnsi="Times New Roman" w:eastAsia="宋体" w:cs="Times New Roman"/>
                <w:color w:val="FF0000"/>
                <w:sz w:val="21"/>
                <w:szCs w:val="22"/>
                <w:highlight w:val="none"/>
                <w:lang w:val="zh-CN" w:eastAsia="zh-CN" w:bidi="zh-CN"/>
              </w:rPr>
              <w:t>内，传输至清粪房再通过斜向</w:t>
            </w:r>
            <w:r>
              <w:rPr>
                <w:rFonts w:hint="eastAsia" w:ascii="Times New Roman" w:hAnsi="Times New Roman" w:cs="Times New Roman"/>
                <w:color w:val="FF0000"/>
                <w:sz w:val="21"/>
                <w:szCs w:val="22"/>
                <w:highlight w:val="none"/>
                <w:lang w:val="zh-CN" w:eastAsia="zh-CN" w:bidi="zh-CN"/>
              </w:rPr>
              <w:t>粪便传送带</w:t>
            </w:r>
            <w:r>
              <w:rPr>
                <w:rFonts w:hint="default" w:ascii="Times New Roman" w:hAnsi="Times New Roman" w:eastAsia="宋体" w:cs="Times New Roman"/>
                <w:color w:val="FF0000"/>
                <w:sz w:val="21"/>
                <w:szCs w:val="22"/>
                <w:highlight w:val="none"/>
                <w:lang w:val="zh-CN" w:eastAsia="zh-CN" w:bidi="zh-CN"/>
              </w:rPr>
              <w:t>进入鸡粪发酵处理场，发酵处理后，外售农户综合利用。</w:t>
            </w:r>
          </w:p>
        </w:tc>
        <w:tc>
          <w:tcPr>
            <w:tcW w:w="1277" w:type="pct"/>
            <w:noWrap w:val="0"/>
            <w:vAlign w:val="center"/>
          </w:tcPr>
          <w:p w14:paraId="0B8D4B02">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50</w:t>
            </w:r>
          </w:p>
        </w:tc>
      </w:tr>
      <w:tr w14:paraId="3E92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325F5FCC">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lang w:val="en-US" w:eastAsia="zh-CN"/>
              </w:rPr>
              <w:t>五</w:t>
            </w:r>
          </w:p>
        </w:tc>
        <w:tc>
          <w:tcPr>
            <w:tcW w:w="1245" w:type="pct"/>
            <w:noWrap w:val="0"/>
            <w:vAlign w:val="center"/>
          </w:tcPr>
          <w:p w14:paraId="056503C4">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地下水和土壤污染</w:t>
            </w:r>
          </w:p>
          <w:p w14:paraId="38C07D8A">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szCs w:val="21"/>
                <w:highlight w:val="none"/>
              </w:rPr>
              <w:t>防治</w:t>
            </w:r>
          </w:p>
        </w:tc>
        <w:tc>
          <w:tcPr>
            <w:tcW w:w="2160" w:type="pct"/>
            <w:noWrap w:val="0"/>
            <w:vAlign w:val="center"/>
          </w:tcPr>
          <w:p w14:paraId="036F68F4">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eastAsia="zh-CN"/>
              </w:rPr>
            </w:pPr>
            <w:r>
              <w:rPr>
                <w:rFonts w:hint="default" w:ascii="Times New Roman" w:hAnsi="Times New Roman" w:cs="Times New Roman"/>
                <w:color w:val="FF0000"/>
                <w:sz w:val="21"/>
                <w:szCs w:val="21"/>
                <w:highlight w:val="none"/>
                <w:lang w:val="en-US" w:eastAsia="zh-CN"/>
              </w:rPr>
              <w:t>分区</w:t>
            </w:r>
            <w:r>
              <w:rPr>
                <w:rFonts w:hint="default" w:ascii="Times New Roman" w:hAnsi="Times New Roman" w:cs="Times New Roman"/>
                <w:color w:val="FF0000"/>
                <w:sz w:val="21"/>
                <w:szCs w:val="21"/>
                <w:highlight w:val="none"/>
              </w:rPr>
              <w:t>防治，对应采取防渗工程</w:t>
            </w:r>
          </w:p>
        </w:tc>
        <w:tc>
          <w:tcPr>
            <w:tcW w:w="1277" w:type="pct"/>
            <w:noWrap w:val="0"/>
            <w:vAlign w:val="center"/>
          </w:tcPr>
          <w:p w14:paraId="1B32400B">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20</w:t>
            </w:r>
          </w:p>
        </w:tc>
      </w:tr>
      <w:tr w14:paraId="1E87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556D48CA">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六</w:t>
            </w:r>
          </w:p>
        </w:tc>
        <w:tc>
          <w:tcPr>
            <w:tcW w:w="1245" w:type="pct"/>
            <w:noWrap w:val="0"/>
            <w:vAlign w:val="center"/>
          </w:tcPr>
          <w:p w14:paraId="389EE0EE">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绿化措施</w:t>
            </w:r>
          </w:p>
        </w:tc>
        <w:tc>
          <w:tcPr>
            <w:tcW w:w="2160" w:type="pct"/>
            <w:noWrap w:val="0"/>
            <w:vAlign w:val="center"/>
          </w:tcPr>
          <w:p w14:paraId="45F5E9E6">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厂区内及周边绿化</w:t>
            </w:r>
          </w:p>
        </w:tc>
        <w:tc>
          <w:tcPr>
            <w:tcW w:w="1277" w:type="pct"/>
            <w:noWrap w:val="0"/>
            <w:vAlign w:val="center"/>
          </w:tcPr>
          <w:p w14:paraId="3DAB4488">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20</w:t>
            </w:r>
          </w:p>
        </w:tc>
      </w:tr>
      <w:tr w14:paraId="744D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69616710">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其他</w:t>
            </w:r>
          </w:p>
        </w:tc>
      </w:tr>
      <w:tr w14:paraId="479D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7" w:type="pct"/>
            <w:noWrap w:val="0"/>
            <w:vAlign w:val="center"/>
          </w:tcPr>
          <w:p w14:paraId="696584C7">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一</w:t>
            </w:r>
          </w:p>
        </w:tc>
        <w:tc>
          <w:tcPr>
            <w:tcW w:w="1245" w:type="pct"/>
            <w:noWrap w:val="0"/>
            <w:vAlign w:val="center"/>
          </w:tcPr>
          <w:p w14:paraId="3F3D58AB">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highlight w:val="none"/>
                <w:lang w:val="en-US" w:eastAsia="zh-CN"/>
              </w:rPr>
              <w:t>环评、</w:t>
            </w:r>
            <w:r>
              <w:rPr>
                <w:rFonts w:hint="default" w:ascii="Times New Roman" w:hAnsi="Times New Roman" w:cs="Times New Roman"/>
                <w:color w:val="FF0000"/>
                <w:sz w:val="21"/>
                <w:highlight w:val="none"/>
              </w:rPr>
              <w:t>排污口规范化、环境管理、竣工验收</w:t>
            </w:r>
          </w:p>
        </w:tc>
        <w:tc>
          <w:tcPr>
            <w:tcW w:w="2160" w:type="pct"/>
            <w:noWrap w:val="0"/>
            <w:vAlign w:val="center"/>
          </w:tcPr>
          <w:p w14:paraId="7CF0E0E9">
            <w:pPr>
              <w:adjustRightInd w:val="0"/>
              <w:snapToGrid w:val="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排污口规范化管理、环境监测、</w:t>
            </w:r>
          </w:p>
          <w:p w14:paraId="1A64FB75">
            <w:pPr>
              <w:adjustRightInd w:val="0"/>
              <w:snapToGrid w:val="0"/>
              <w:jc w:val="center"/>
              <w:rPr>
                <w:rFonts w:hint="default" w:ascii="Times New Roman" w:hAnsi="Times New Roman" w:cs="Times New Roman"/>
                <w:color w:val="FF0000"/>
                <w:sz w:val="21"/>
                <w:highlight w:val="none"/>
              </w:rPr>
            </w:pPr>
            <w:r>
              <w:rPr>
                <w:rFonts w:hint="default" w:ascii="Times New Roman" w:hAnsi="Times New Roman" w:cs="Times New Roman"/>
                <w:color w:val="FF0000"/>
                <w:sz w:val="21"/>
                <w:szCs w:val="21"/>
                <w:highlight w:val="none"/>
              </w:rPr>
              <w:t>竣工验收</w:t>
            </w:r>
          </w:p>
        </w:tc>
        <w:tc>
          <w:tcPr>
            <w:tcW w:w="1277" w:type="pct"/>
            <w:noWrap w:val="0"/>
            <w:vAlign w:val="center"/>
          </w:tcPr>
          <w:p w14:paraId="5245866D">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40</w:t>
            </w:r>
          </w:p>
        </w:tc>
      </w:tr>
      <w:tr w14:paraId="3F00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2" w:type="pct"/>
            <w:gridSpan w:val="2"/>
            <w:noWrap w:val="0"/>
            <w:vAlign w:val="center"/>
          </w:tcPr>
          <w:p w14:paraId="56D22F01">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合计</w:t>
            </w:r>
          </w:p>
        </w:tc>
        <w:tc>
          <w:tcPr>
            <w:tcW w:w="2160" w:type="pct"/>
            <w:noWrap w:val="0"/>
            <w:vAlign w:val="center"/>
          </w:tcPr>
          <w:p w14:paraId="36633186">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both"/>
              <w:rPr>
                <w:rFonts w:hint="default" w:ascii="Times New Roman" w:hAnsi="Times New Roman" w:cs="Times New Roman"/>
                <w:color w:val="FF0000"/>
                <w:sz w:val="21"/>
                <w:highlight w:val="none"/>
              </w:rPr>
            </w:pPr>
          </w:p>
        </w:tc>
        <w:tc>
          <w:tcPr>
            <w:tcW w:w="1277" w:type="pct"/>
            <w:noWrap w:val="0"/>
            <w:vAlign w:val="center"/>
          </w:tcPr>
          <w:p w14:paraId="4E60E1B1">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eastAsia="宋体" w:cs="Times New Roman"/>
                <w:color w:val="FF0000"/>
                <w:sz w:val="21"/>
                <w:highlight w:val="none"/>
                <w:lang w:val="en-US" w:eastAsia="zh-CN"/>
              </w:rPr>
            </w:pPr>
            <w:r>
              <w:rPr>
                <w:rFonts w:hint="default" w:ascii="Times New Roman" w:hAnsi="Times New Roman" w:cs="Times New Roman"/>
                <w:color w:val="FF0000"/>
                <w:sz w:val="21"/>
                <w:highlight w:val="none"/>
                <w:lang w:val="en-US" w:eastAsia="zh-CN"/>
              </w:rPr>
              <w:t>201.4</w:t>
            </w:r>
          </w:p>
        </w:tc>
      </w:tr>
    </w:tbl>
    <w:p w14:paraId="1CFD5C53">
      <w:pPr>
        <w:pStyle w:val="16"/>
        <w:bidi w:val="0"/>
        <w:rPr>
          <w:rFonts w:hint="default" w:ascii="Times New Roman" w:hAnsi="Times New Roman" w:cs="Times New Roman"/>
          <w:color w:val="FF0000"/>
        </w:rPr>
      </w:pPr>
      <w:r>
        <w:rPr>
          <w:rFonts w:hint="default" w:ascii="Times New Roman" w:hAnsi="Times New Roman" w:cs="Times New Roman"/>
          <w:color w:val="FF0000"/>
        </w:rPr>
        <w:t>本项目通过投资建设粪污处理工程，有效地控制了粪污的环境污染，实现了对粪污的资源化利用，解决了畜牧业生产和环境保护之间的矛盾；对</w:t>
      </w:r>
      <w:r>
        <w:rPr>
          <w:rFonts w:hint="default" w:ascii="Times New Roman" w:hAnsi="Times New Roman" w:cs="Times New Roman"/>
          <w:color w:val="FF0000"/>
          <w:lang w:eastAsia="zh-CN"/>
        </w:rPr>
        <w:t>鸡舍</w:t>
      </w:r>
      <w:r>
        <w:rPr>
          <w:rFonts w:hint="default" w:ascii="Times New Roman" w:hAnsi="Times New Roman" w:cs="Times New Roman"/>
          <w:color w:val="FF0000"/>
        </w:rPr>
        <w:t>和粪污处理区等恶臭气体排放源采取综合治理措施，对恶臭环境影响进行了有效控制；对水泵等噪声源进行基础减振、隔声降噪治理，确保</w:t>
      </w:r>
      <w:r>
        <w:rPr>
          <w:rFonts w:hint="default" w:ascii="Times New Roman" w:hAnsi="Times New Roman" w:cs="Times New Roman"/>
          <w:color w:val="FF0000"/>
          <w:lang w:eastAsia="zh-CN"/>
        </w:rPr>
        <w:t>厂</w:t>
      </w:r>
      <w:r>
        <w:rPr>
          <w:rFonts w:hint="default" w:ascii="Times New Roman" w:hAnsi="Times New Roman" w:cs="Times New Roman"/>
          <w:color w:val="FF0000"/>
        </w:rPr>
        <w:t>界噪声达标。</w:t>
      </w:r>
    </w:p>
    <w:p w14:paraId="71A808A0">
      <w:pPr>
        <w:pStyle w:val="16"/>
        <w:bidi w:val="0"/>
        <w:rPr>
          <w:rFonts w:hint="default" w:ascii="Times New Roman" w:hAnsi="Times New Roman" w:cs="Times New Roman"/>
          <w:color w:val="FF0000"/>
        </w:rPr>
      </w:pPr>
      <w:r>
        <w:rPr>
          <w:rFonts w:hint="default" w:ascii="Times New Roman" w:hAnsi="Times New Roman" w:cs="Times New Roman"/>
          <w:color w:val="FF0000"/>
        </w:rPr>
        <w:t>项目环保投资为</w:t>
      </w:r>
      <w:r>
        <w:rPr>
          <w:rFonts w:hint="default" w:ascii="Times New Roman" w:hAnsi="Times New Roman" w:cs="Times New Roman"/>
          <w:color w:val="FF0000"/>
          <w:lang w:val="en-US" w:eastAsia="zh-CN"/>
        </w:rPr>
        <w:t>201.4</w:t>
      </w:r>
      <w:r>
        <w:rPr>
          <w:rFonts w:hint="default" w:ascii="Times New Roman" w:hAnsi="Times New Roman" w:cs="Times New Roman"/>
          <w:color w:val="FF0000"/>
        </w:rPr>
        <w:t>万元，项目总投资为</w:t>
      </w:r>
      <w:r>
        <w:rPr>
          <w:rFonts w:hint="default" w:ascii="Times New Roman" w:hAnsi="Times New Roman" w:cs="Times New Roman"/>
          <w:color w:val="FF0000"/>
          <w:lang w:eastAsia="zh-CN"/>
        </w:rPr>
        <w:t>5028</w:t>
      </w:r>
      <w:r>
        <w:rPr>
          <w:rFonts w:hint="default" w:ascii="Times New Roman" w:hAnsi="Times New Roman" w:cs="Times New Roman"/>
          <w:color w:val="FF0000"/>
          <w:lang w:val="en-US"/>
        </w:rPr>
        <w:t>万元，环保投资比例为</w:t>
      </w:r>
      <w:r>
        <w:rPr>
          <w:rFonts w:hint="default" w:ascii="Times New Roman" w:hAnsi="Times New Roman" w:cs="Times New Roman"/>
          <w:color w:val="FF0000"/>
          <w:lang w:val="en-US" w:eastAsia="zh-CN"/>
        </w:rPr>
        <w:t>4%</w:t>
      </w:r>
      <w:r>
        <w:rPr>
          <w:rFonts w:hint="default" w:ascii="Times New Roman" w:hAnsi="Times New Roman" w:cs="Times New Roman"/>
          <w:color w:val="FF0000"/>
        </w:rPr>
        <w:t>。本报告认为只要环保投资到位，治理工程措施落实并保证其正常运行，就可以</w:t>
      </w:r>
      <w:r>
        <w:rPr>
          <w:rFonts w:hint="default" w:ascii="Times New Roman" w:hAnsi="Times New Roman" w:cs="Times New Roman"/>
          <w:color w:val="FF0000"/>
          <w:lang w:eastAsia="zh-CN"/>
        </w:rPr>
        <w:t>达到</w:t>
      </w:r>
      <w:r>
        <w:rPr>
          <w:rFonts w:hint="default" w:ascii="Times New Roman" w:hAnsi="Times New Roman" w:cs="Times New Roman"/>
          <w:color w:val="FF0000"/>
        </w:rPr>
        <w:t>预期结果和环保要求。</w:t>
      </w:r>
    </w:p>
    <w:p w14:paraId="72C3A372">
      <w:pPr>
        <w:pStyle w:val="3"/>
        <w:bidi w:val="0"/>
        <w:rPr>
          <w:rFonts w:hint="default" w:ascii="Times New Roman" w:hAnsi="Times New Roman" w:cs="Times New Roman"/>
          <w:color w:val="auto"/>
          <w:lang w:val="en-US" w:eastAsia="zh-CN"/>
        </w:rPr>
      </w:pPr>
      <w:bookmarkStart w:id="166" w:name="_TOC_250022"/>
      <w:bookmarkEnd w:id="166"/>
      <w:bookmarkStart w:id="167" w:name="_Toc1308"/>
      <w:bookmarkStart w:id="168" w:name="_Toc30478"/>
      <w:r>
        <w:rPr>
          <w:rFonts w:hint="default" w:ascii="Times New Roman" w:hAnsi="Times New Roman" w:cs="Times New Roman"/>
          <w:color w:val="auto"/>
          <w:lang w:val="en-US" w:eastAsia="zh-CN"/>
        </w:rPr>
        <w:t>小结</w:t>
      </w:r>
      <w:bookmarkEnd w:id="167"/>
      <w:bookmarkEnd w:id="168"/>
    </w:p>
    <w:p w14:paraId="0FC0EF77">
      <w:pPr>
        <w:pStyle w:val="16"/>
        <w:bidi w:val="0"/>
        <w:rPr>
          <w:rFonts w:hint="default" w:ascii="Times New Roman" w:hAnsi="Times New Roman" w:cs="Times New Roman"/>
          <w:color w:val="auto"/>
        </w:rPr>
      </w:pPr>
      <w:r>
        <w:rPr>
          <w:rFonts w:hint="default" w:ascii="Times New Roman" w:hAnsi="Times New Roman" w:cs="Times New Roman"/>
          <w:color w:val="auto"/>
        </w:rPr>
        <w:t>本项目为养殖场污染治理设施工程，项目实施后，粪污处理后作为肥料外卖，实现综合利用；养殖场污染治理措施实际就是“资源化”利用的过程，是变废为宝、资源综合利用的生态环保工程，对当地畜禽业发展和拉动有机农业产业发展具有推动作用和示范意义。</w:t>
      </w:r>
    </w:p>
    <w:p w14:paraId="4A005D94">
      <w:pPr>
        <w:pStyle w:val="16"/>
        <w:bidi w:val="0"/>
        <w:rPr>
          <w:rFonts w:hint="default" w:ascii="Times New Roman" w:hAnsi="Times New Roman" w:cs="Times New Roman"/>
          <w:color w:val="auto"/>
        </w:rPr>
      </w:pPr>
      <w:r>
        <w:rPr>
          <w:rFonts w:hint="default" w:ascii="Times New Roman" w:hAnsi="Times New Roman" w:cs="Times New Roman"/>
          <w:color w:val="auto"/>
        </w:rPr>
        <w:t>综上所述，本项目建设实施具有较好经济社会效益和环境效益，可做到经济效益、社会效益、环境效益的三者统一。</w:t>
      </w:r>
    </w:p>
    <w:p w14:paraId="37AE8A86">
      <w:pPr>
        <w:pStyle w:val="2"/>
        <w:bidi w:val="0"/>
        <w:rPr>
          <w:rFonts w:hint="default" w:ascii="Times New Roman" w:hAnsi="Times New Roman" w:cs="Times New Roman"/>
          <w:color w:val="auto"/>
        </w:rPr>
      </w:pPr>
      <w:r>
        <w:rPr>
          <w:rFonts w:hint="default" w:ascii="Times New Roman" w:hAnsi="Times New Roman" w:cs="Times New Roman"/>
          <w:color w:val="auto"/>
        </w:rPr>
        <w:br w:type="page"/>
      </w:r>
      <w:bookmarkStart w:id="169" w:name="_Toc20963"/>
      <w:bookmarkStart w:id="170" w:name="_Toc11468"/>
      <w:r>
        <w:rPr>
          <w:rFonts w:hint="default" w:ascii="Times New Roman" w:hAnsi="Times New Roman" w:cs="Times New Roman"/>
          <w:color w:val="auto"/>
        </w:rPr>
        <w:t>环境管理与监测计划</w:t>
      </w:r>
      <w:bookmarkEnd w:id="169"/>
      <w:bookmarkEnd w:id="170"/>
    </w:p>
    <w:p w14:paraId="60BE25FE">
      <w:pPr>
        <w:pStyle w:val="16"/>
        <w:bidi w:val="0"/>
        <w:rPr>
          <w:rFonts w:hint="default" w:ascii="Times New Roman" w:hAnsi="Times New Roman" w:cs="Times New Roman"/>
          <w:color w:val="auto"/>
        </w:rPr>
      </w:pPr>
      <w:r>
        <w:rPr>
          <w:rFonts w:hint="default" w:ascii="Times New Roman" w:hAnsi="Times New Roman" w:cs="Times New Roman"/>
          <w:color w:val="auto"/>
        </w:rPr>
        <w:t>建设项目的环境管理与监测计划是落实环境保护工作的保障，为把环评的有关方案或建议纳入项目开发建设规划、实施、运行、监督与管理的全过程，帮助建设单位协调项目建设与区域环境保护的关系，有必要建立一套结构化的环境管理与监测计划体系，落实各阶段的环保措施。</w:t>
      </w:r>
    </w:p>
    <w:p w14:paraId="5C03F098">
      <w:pPr>
        <w:pStyle w:val="3"/>
        <w:bidi w:val="0"/>
        <w:rPr>
          <w:rFonts w:hint="default" w:ascii="Times New Roman" w:hAnsi="Times New Roman" w:cs="Times New Roman"/>
          <w:color w:val="auto"/>
          <w:lang w:val="en-US" w:eastAsia="zh-CN"/>
        </w:rPr>
      </w:pPr>
      <w:bookmarkStart w:id="171" w:name="_TOC_250020"/>
      <w:bookmarkEnd w:id="171"/>
      <w:bookmarkStart w:id="172" w:name="_Toc27636"/>
      <w:bookmarkStart w:id="173" w:name="_Toc5851"/>
      <w:r>
        <w:rPr>
          <w:rFonts w:hint="default" w:ascii="Times New Roman" w:hAnsi="Times New Roman" w:cs="Times New Roman"/>
          <w:color w:val="auto"/>
          <w:lang w:val="en-US" w:eastAsia="zh-CN"/>
        </w:rPr>
        <w:t>环境管理</w:t>
      </w:r>
      <w:bookmarkEnd w:id="172"/>
      <w:bookmarkEnd w:id="173"/>
    </w:p>
    <w:p w14:paraId="341D2D36">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环境管理机构设置</w:t>
      </w:r>
    </w:p>
    <w:p w14:paraId="38031E81">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环境管理人员设置目的</w:t>
      </w:r>
    </w:p>
    <w:p w14:paraId="7CE8AD8A">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rPr>
        <w:t>环境管理人员设置目的是为贯彻执行《中华人民共和国环境保护法》中相关法律法规以及全面落实《国务院关于环境保护若干问题的决定》中相关规定，对“三废”排放实行管理和监控，确保社会、经济、环境等效益的协调发展，协调地方</w:t>
      </w:r>
      <w:r>
        <w:rPr>
          <w:rFonts w:hint="default" w:ascii="Times New Roman" w:hAnsi="Times New Roman" w:eastAsia="宋体" w:cs="Times New Roman"/>
          <w:color w:val="auto"/>
          <w:lang w:eastAsia="zh-CN"/>
        </w:rPr>
        <w:t>生态环境部门</w:t>
      </w:r>
      <w:r>
        <w:rPr>
          <w:rFonts w:hint="default" w:ascii="Times New Roman" w:hAnsi="Times New Roman" w:eastAsia="宋体" w:cs="Times New Roman"/>
          <w:color w:val="auto"/>
        </w:rPr>
        <w:t>工作，为企业经营管理和环境管理提供保证。针对本项目具体情况，为加强管理，建设单位应设置环境管理人员尽相应职责。</w:t>
      </w:r>
    </w:p>
    <w:p w14:paraId="1D3706D0">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环境管理人员设置</w:t>
      </w:r>
    </w:p>
    <w:p w14:paraId="71C74109">
      <w:pPr>
        <w:pStyle w:val="16"/>
        <w:bidi w:val="0"/>
        <w:rPr>
          <w:rFonts w:hint="default" w:ascii="Times New Roman" w:hAnsi="Times New Roman" w:eastAsia="宋体" w:cs="Times New Roman"/>
          <w:color w:val="auto"/>
        </w:rPr>
      </w:pPr>
      <w:r>
        <w:rPr>
          <w:rFonts w:hint="default" w:ascii="Times New Roman" w:hAnsi="Times New Roman" w:eastAsia="宋体" w:cs="Times New Roman"/>
          <w:color w:val="auto"/>
        </w:rPr>
        <w:t>本项目运营期间企业内部应设兼职人员负责环境管理、消防安全、事故应急处理等工作，并且接受本项目主管单位及</w:t>
      </w:r>
      <w:r>
        <w:rPr>
          <w:rFonts w:hint="default" w:ascii="Times New Roman" w:hAnsi="Times New Roman" w:eastAsia="宋体" w:cs="Times New Roman"/>
          <w:color w:val="auto"/>
          <w:lang w:val="en-US" w:eastAsia="zh-CN"/>
        </w:rPr>
        <w:t>第十师生态环境局</w:t>
      </w:r>
      <w:r>
        <w:rPr>
          <w:rFonts w:hint="default" w:ascii="Times New Roman" w:hAnsi="Times New Roman" w:eastAsia="宋体" w:cs="Times New Roman"/>
          <w:color w:val="auto"/>
        </w:rPr>
        <w:t>的监督和指导。</w:t>
      </w:r>
    </w:p>
    <w:p w14:paraId="6A86F829">
      <w:pPr>
        <w:pStyle w:val="4"/>
        <w:bidi w:val="0"/>
        <w:rPr>
          <w:rFonts w:hint="default" w:ascii="Times New Roman" w:hAnsi="Times New Roman" w:cs="Times New Roman"/>
          <w:color w:val="auto"/>
        </w:rPr>
      </w:pPr>
      <w:r>
        <w:rPr>
          <w:rFonts w:hint="default" w:ascii="Times New Roman" w:hAnsi="Times New Roman" w:cs="Times New Roman"/>
          <w:color w:val="auto"/>
        </w:rPr>
        <w:t>环境管理机构的职责</w:t>
      </w:r>
    </w:p>
    <w:p w14:paraId="4318D12B">
      <w:pPr>
        <w:pStyle w:val="16"/>
        <w:bidi w:val="0"/>
        <w:rPr>
          <w:rFonts w:hint="default" w:ascii="Times New Roman" w:hAnsi="Times New Roman" w:cs="Times New Roman"/>
          <w:color w:val="auto"/>
        </w:rPr>
      </w:pPr>
      <w:r>
        <w:rPr>
          <w:rFonts w:hint="default" w:ascii="Times New Roman" w:hAnsi="Times New Roman" w:cs="Times New Roman"/>
          <w:color w:val="auto"/>
        </w:rPr>
        <w:t>环境管理机构负责项目施工期与运营期环境管理与环境监测工作，主要职责：</w:t>
      </w:r>
    </w:p>
    <w:p w14:paraId="7C74FAE6">
      <w:pPr>
        <w:pStyle w:val="16"/>
        <w:bidi w:val="0"/>
        <w:rPr>
          <w:rFonts w:hint="default" w:ascii="Times New Roman" w:hAnsi="Times New Roman" w:cs="Times New Roman"/>
          <w:color w:val="auto"/>
        </w:rPr>
      </w:pPr>
      <w:r>
        <w:rPr>
          <w:rFonts w:hint="default" w:ascii="Times New Roman" w:hAnsi="Times New Roman" w:cs="Times New Roman"/>
          <w:color w:val="auto"/>
        </w:rPr>
        <w:t>①贯彻执行国家和自治区现行各项环保方针、政策、法律法规和标准，认真执行</w:t>
      </w:r>
      <w:r>
        <w:rPr>
          <w:rFonts w:hint="default" w:ascii="Times New Roman" w:hAnsi="Times New Roman" w:cs="Times New Roman"/>
          <w:color w:val="auto"/>
          <w:lang w:eastAsia="zh-CN"/>
        </w:rPr>
        <w:t>生态环境部门</w:t>
      </w:r>
      <w:r>
        <w:rPr>
          <w:rFonts w:hint="default" w:ascii="Times New Roman" w:hAnsi="Times New Roman" w:cs="Times New Roman"/>
          <w:color w:val="auto"/>
        </w:rPr>
        <w:t>下达各项任务；</w:t>
      </w:r>
    </w:p>
    <w:p w14:paraId="4728BB7F">
      <w:pPr>
        <w:pStyle w:val="16"/>
        <w:bidi w:val="0"/>
        <w:rPr>
          <w:rFonts w:hint="default" w:ascii="Times New Roman" w:hAnsi="Times New Roman" w:cs="Times New Roman"/>
          <w:color w:val="auto"/>
        </w:rPr>
      </w:pPr>
      <w:r>
        <w:rPr>
          <w:rFonts w:hint="default" w:ascii="Times New Roman" w:hAnsi="Times New Roman" w:cs="Times New Roman"/>
          <w:color w:val="auto"/>
        </w:rPr>
        <w:t>②组织编制本企业环境保护计划，建立本企业各项环境保护规章制度，并且经常进行监督检查。</w:t>
      </w:r>
    </w:p>
    <w:p w14:paraId="4058B088">
      <w:pPr>
        <w:pStyle w:val="16"/>
        <w:bidi w:val="0"/>
        <w:rPr>
          <w:rFonts w:hint="default" w:ascii="Times New Roman" w:hAnsi="Times New Roman" w:cs="Times New Roman"/>
          <w:color w:val="auto"/>
        </w:rPr>
      </w:pPr>
      <w:r>
        <w:rPr>
          <w:rFonts w:hint="default" w:ascii="Times New Roman" w:hAnsi="Times New Roman" w:cs="Times New Roman"/>
          <w:color w:val="auto"/>
        </w:rPr>
        <w:t>③参与本企业环保设施设计论证，监督环保设施安装调试，落实“三同时”措施。</w:t>
      </w:r>
    </w:p>
    <w:p w14:paraId="06B7BC46">
      <w:pPr>
        <w:pStyle w:val="16"/>
        <w:bidi w:val="0"/>
        <w:rPr>
          <w:rFonts w:hint="default" w:ascii="Times New Roman" w:hAnsi="Times New Roman" w:cs="Times New Roman"/>
          <w:color w:val="auto"/>
        </w:rPr>
      </w:pPr>
      <w:r>
        <w:rPr>
          <w:rFonts w:hint="default" w:ascii="Times New Roman" w:hAnsi="Times New Roman" w:cs="Times New Roman"/>
          <w:color w:val="auto"/>
        </w:rPr>
        <w:t>④定期对本企业各污染源进行检查，请环境监测单位对本企业污染源的排放情况进行监测，了解各污染源动态，建立健全污染源档案，并做好环境统计工作，及时发现和掌握企业污染变化情况，从而</w:t>
      </w:r>
      <w:r>
        <w:rPr>
          <w:rFonts w:hint="default" w:ascii="Times New Roman" w:hAnsi="Times New Roman" w:cs="Times New Roman"/>
          <w:color w:val="auto"/>
          <w:lang w:eastAsia="zh-CN"/>
        </w:rPr>
        <w:t>制定</w:t>
      </w:r>
      <w:r>
        <w:rPr>
          <w:rFonts w:hint="default" w:ascii="Times New Roman" w:hAnsi="Times New Roman" w:cs="Times New Roman"/>
          <w:color w:val="auto"/>
        </w:rPr>
        <w:t>相应处理措施。</w:t>
      </w:r>
    </w:p>
    <w:p w14:paraId="78BFBAEC">
      <w:pPr>
        <w:pStyle w:val="16"/>
        <w:bidi w:val="0"/>
        <w:rPr>
          <w:rFonts w:hint="default" w:ascii="Times New Roman" w:hAnsi="Times New Roman" w:cs="Times New Roman"/>
          <w:color w:val="auto"/>
        </w:rPr>
      </w:pPr>
      <w:r>
        <w:rPr>
          <w:rFonts w:hint="default" w:ascii="Times New Roman" w:hAnsi="Times New Roman" w:cs="Times New Roman"/>
          <w:color w:val="auto"/>
        </w:rPr>
        <w:t>⑤加强对污染治理设施的管理、检查及维护，确保污染治理设施正常运行，并把污染治理设施的治理效率按生产指标一样进行考核，防止污染事故发生。</w:t>
      </w:r>
    </w:p>
    <w:p w14:paraId="07DC07C7">
      <w:pPr>
        <w:pStyle w:val="16"/>
        <w:bidi w:val="0"/>
        <w:rPr>
          <w:rFonts w:hint="default" w:ascii="Times New Roman" w:hAnsi="Times New Roman" w:cs="Times New Roman"/>
          <w:color w:val="auto"/>
        </w:rPr>
      </w:pPr>
      <w:r>
        <w:rPr>
          <w:rFonts w:hint="default" w:ascii="Times New Roman" w:hAnsi="Times New Roman" w:cs="Times New Roman"/>
          <w:color w:val="auto"/>
        </w:rPr>
        <w:t>⑥学习推广应用先进环保技术和经验，组织污染治理设施操作人员进行岗前专业技术培训。</w:t>
      </w:r>
    </w:p>
    <w:p w14:paraId="2E58FF6F">
      <w:pPr>
        <w:pStyle w:val="16"/>
        <w:bidi w:val="0"/>
        <w:rPr>
          <w:rFonts w:hint="default" w:ascii="Times New Roman" w:hAnsi="Times New Roman" w:cs="Times New Roman"/>
          <w:color w:val="auto"/>
        </w:rPr>
      </w:pPr>
      <w:r>
        <w:rPr>
          <w:rFonts w:hint="default" w:ascii="Times New Roman" w:hAnsi="Times New Roman" w:cs="Times New Roman"/>
          <w:color w:val="auto"/>
        </w:rPr>
        <w:t>⑦对职工进行环保宣传教育，增强职工环保意识。</w:t>
      </w:r>
    </w:p>
    <w:p w14:paraId="5613A7FF">
      <w:pPr>
        <w:pStyle w:val="4"/>
        <w:bidi w:val="0"/>
        <w:rPr>
          <w:rFonts w:hint="default" w:ascii="Times New Roman" w:hAnsi="Times New Roman" w:cs="Times New Roman"/>
          <w:color w:val="auto"/>
        </w:rPr>
      </w:pPr>
      <w:r>
        <w:rPr>
          <w:rFonts w:hint="default" w:ascii="Times New Roman" w:hAnsi="Times New Roman" w:cs="Times New Roman"/>
          <w:color w:val="auto"/>
        </w:rPr>
        <w:t>环境管理工作计划</w:t>
      </w:r>
    </w:p>
    <w:p w14:paraId="5DBBE511">
      <w:pPr>
        <w:pStyle w:val="16"/>
        <w:bidi w:val="0"/>
        <w:rPr>
          <w:rFonts w:hint="default" w:ascii="Times New Roman" w:hAnsi="Times New Roman" w:cs="Times New Roman"/>
          <w:color w:val="auto"/>
        </w:rPr>
      </w:pPr>
      <w:r>
        <w:rPr>
          <w:rFonts w:hint="default" w:ascii="Times New Roman" w:hAnsi="Times New Roman" w:cs="Times New Roman"/>
          <w:color w:val="auto"/>
        </w:rPr>
        <w:t>为了使环境管理工作科学化、规范化、合理化，确保各项环保工作落实到位，本项目在管理方面工作计划如下：</w:t>
      </w:r>
    </w:p>
    <w:p w14:paraId="0DE731FD">
      <w:pPr>
        <w:pStyle w:val="14"/>
        <w:bidi w:val="0"/>
        <w:rPr>
          <w:rFonts w:hint="default" w:ascii="Times New Roman" w:hAnsi="Times New Roman" w:cs="Times New Roman"/>
          <w:color w:val="auto"/>
          <w:lang w:eastAsia="zh-CN"/>
        </w:rPr>
      </w:pPr>
      <w:r>
        <w:rPr>
          <w:rFonts w:hint="default" w:ascii="Times New Roman" w:hAnsi="Times New Roman" w:cs="Times New Roman"/>
          <w:color w:val="auto"/>
        </w:rPr>
        <w:t>表8.1-1环境管理工作计划</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9"/>
        <w:gridCol w:w="7525"/>
      </w:tblGrid>
      <w:tr w14:paraId="58FC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480" w:type="pct"/>
            <w:noWrap w:val="0"/>
            <w:vAlign w:val="center"/>
          </w:tcPr>
          <w:p w14:paraId="271E17B8">
            <w:pPr>
              <w:pStyle w:val="69"/>
              <w:spacing w:before="31"/>
              <w:ind w:left="0" w:leftChars="0" w:right="-10" w:rightChars="0"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阶段</w:t>
            </w:r>
          </w:p>
        </w:tc>
        <w:tc>
          <w:tcPr>
            <w:tcW w:w="4519" w:type="pct"/>
            <w:noWrap w:val="0"/>
            <w:vAlign w:val="center"/>
          </w:tcPr>
          <w:p w14:paraId="1385D7C7">
            <w:pPr>
              <w:pStyle w:val="69"/>
              <w:spacing w:before="31"/>
              <w:ind w:left="0" w:leftChars="0" w:right="-10" w:rightChars="0"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环境管理工作主要内容</w:t>
            </w:r>
          </w:p>
        </w:tc>
      </w:tr>
      <w:tr w14:paraId="436D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jc w:val="center"/>
        </w:trPr>
        <w:tc>
          <w:tcPr>
            <w:tcW w:w="480" w:type="pct"/>
            <w:noWrap w:val="0"/>
            <w:vAlign w:val="center"/>
          </w:tcPr>
          <w:p w14:paraId="7FAF02CE">
            <w:pPr>
              <w:pStyle w:val="69"/>
              <w:spacing w:before="124"/>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管理机构职能</w:t>
            </w:r>
          </w:p>
        </w:tc>
        <w:tc>
          <w:tcPr>
            <w:tcW w:w="4519" w:type="pct"/>
            <w:noWrap w:val="0"/>
            <w:vAlign w:val="center"/>
          </w:tcPr>
          <w:p w14:paraId="3863CB96">
            <w:pPr>
              <w:pStyle w:val="69"/>
              <w:spacing w:before="4"/>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根据国家建设项目环境管理规定，认真落实各项环保手续，完成各级主管部门对本项目提出的环境管理要求，对本项目内部各项管理计划的执行及完成情况进行监督、控制，确保环境管理工作真正发挥作用。</w:t>
            </w:r>
          </w:p>
        </w:tc>
      </w:tr>
      <w:tr w14:paraId="20AF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480" w:type="pct"/>
            <w:noWrap w:val="0"/>
            <w:vAlign w:val="center"/>
          </w:tcPr>
          <w:p w14:paraId="5DCCF00E">
            <w:pPr>
              <w:pStyle w:val="69"/>
              <w:spacing w:before="127"/>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项目建设前期</w:t>
            </w:r>
          </w:p>
        </w:tc>
        <w:tc>
          <w:tcPr>
            <w:tcW w:w="4519" w:type="pct"/>
            <w:noWrap w:val="0"/>
            <w:vAlign w:val="center"/>
          </w:tcPr>
          <w:p w14:paraId="0F65061C">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①与项目可行性研究同期，委托有资质的单位进行项目的环境影响评价工作；</w:t>
            </w:r>
          </w:p>
          <w:p w14:paraId="3C0A3D27">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②积极配合可研及环评单位所需进行的现场调研；</w:t>
            </w:r>
          </w:p>
          <w:p w14:paraId="19524231">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③针对项目的具体情况，建立必要的环境管理与监测制度；</w:t>
            </w:r>
          </w:p>
        </w:tc>
      </w:tr>
      <w:tr w14:paraId="36F3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jc w:val="center"/>
        </w:trPr>
        <w:tc>
          <w:tcPr>
            <w:tcW w:w="480" w:type="pct"/>
            <w:noWrap w:val="0"/>
            <w:vAlign w:val="center"/>
          </w:tcPr>
          <w:p w14:paraId="1EE85FE6">
            <w:pPr>
              <w:pStyle w:val="69"/>
              <w:spacing w:before="125"/>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设计阶段</w:t>
            </w:r>
          </w:p>
        </w:tc>
        <w:tc>
          <w:tcPr>
            <w:tcW w:w="4519" w:type="pct"/>
            <w:noWrap w:val="0"/>
            <w:vAlign w:val="center"/>
          </w:tcPr>
          <w:p w14:paraId="659237A0">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①委托有资质的设计单位对项目的环保工程进行设计，与主体工程同步进行；</w:t>
            </w:r>
          </w:p>
          <w:p w14:paraId="02611C0A">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②协助设计单位弄清现阶段的环境问题；</w:t>
            </w:r>
          </w:p>
          <w:p w14:paraId="35D4ACB9">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③在设计中落实环评提出的环保对策措施。</w:t>
            </w:r>
          </w:p>
        </w:tc>
      </w:tr>
      <w:tr w14:paraId="2969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4" w:hRule="atLeast"/>
          <w:jc w:val="center"/>
        </w:trPr>
        <w:tc>
          <w:tcPr>
            <w:tcW w:w="480" w:type="pct"/>
            <w:noWrap w:val="0"/>
            <w:vAlign w:val="center"/>
          </w:tcPr>
          <w:p w14:paraId="5DF464AE">
            <w:pPr>
              <w:pStyle w:val="69"/>
              <w:spacing w:before="17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施工阶段</w:t>
            </w:r>
          </w:p>
        </w:tc>
        <w:tc>
          <w:tcPr>
            <w:tcW w:w="4519" w:type="pct"/>
            <w:noWrap w:val="0"/>
            <w:vAlign w:val="center"/>
          </w:tcPr>
          <w:p w14:paraId="6E851F4E">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①严格执行</w:t>
            </w:r>
            <w:r>
              <w:rPr>
                <w:rFonts w:hint="default" w:ascii="Times New Roman" w:hAnsi="Times New Roman" w:eastAsia="Times New Roman" w:cs="Times New Roman"/>
                <w:color w:val="auto"/>
                <w:sz w:val="21"/>
                <w:highlight w:val="none"/>
              </w:rPr>
              <w:t>“</w:t>
            </w:r>
            <w:r>
              <w:rPr>
                <w:rFonts w:hint="default" w:ascii="Times New Roman" w:hAnsi="Times New Roman" w:cs="Times New Roman"/>
                <w:color w:val="auto"/>
                <w:sz w:val="21"/>
                <w:highlight w:val="none"/>
              </w:rPr>
              <w:t>三同时</w:t>
            </w:r>
            <w:r>
              <w:rPr>
                <w:rFonts w:hint="default" w:ascii="Times New Roman" w:hAnsi="Times New Roman" w:eastAsia="Times New Roman" w:cs="Times New Roman"/>
                <w:color w:val="auto"/>
                <w:sz w:val="21"/>
                <w:highlight w:val="none"/>
              </w:rPr>
              <w:t>”</w:t>
            </w:r>
            <w:r>
              <w:rPr>
                <w:rFonts w:hint="default" w:ascii="Times New Roman" w:hAnsi="Times New Roman" w:cs="Times New Roman"/>
                <w:color w:val="auto"/>
                <w:sz w:val="21"/>
                <w:highlight w:val="none"/>
              </w:rPr>
              <w:t>制度；</w:t>
            </w:r>
          </w:p>
          <w:p w14:paraId="252245DE">
            <w:pPr>
              <w:pStyle w:val="69"/>
              <w:spacing w:before="8"/>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②按照环评报告中提出的要求，</w:t>
            </w:r>
            <w:r>
              <w:rPr>
                <w:rFonts w:hint="default" w:ascii="Times New Roman" w:hAnsi="Times New Roman" w:cs="Times New Roman"/>
                <w:color w:val="auto"/>
                <w:sz w:val="21"/>
                <w:highlight w:val="none"/>
                <w:lang w:eastAsia="zh-CN"/>
              </w:rPr>
              <w:t>制定</w:t>
            </w:r>
            <w:r>
              <w:rPr>
                <w:rFonts w:hint="default" w:ascii="Times New Roman" w:hAnsi="Times New Roman" w:cs="Times New Roman"/>
                <w:color w:val="auto"/>
                <w:sz w:val="21"/>
                <w:highlight w:val="none"/>
              </w:rPr>
              <w:t>建设项目施工措施实施计划表，并与当地</w:t>
            </w:r>
            <w:r>
              <w:rPr>
                <w:rFonts w:hint="default" w:ascii="Times New Roman" w:hAnsi="Times New Roman" w:cs="Times New Roman"/>
                <w:color w:val="auto"/>
                <w:sz w:val="21"/>
                <w:highlight w:val="none"/>
                <w:lang w:eastAsia="zh-CN"/>
              </w:rPr>
              <w:t>生态环境部门签订</w:t>
            </w:r>
            <w:r>
              <w:rPr>
                <w:rFonts w:hint="default" w:ascii="Times New Roman" w:hAnsi="Times New Roman" w:cs="Times New Roman"/>
                <w:color w:val="auto"/>
                <w:sz w:val="21"/>
                <w:highlight w:val="none"/>
              </w:rPr>
              <w:t>落实计划内的目标责任书；</w:t>
            </w:r>
          </w:p>
          <w:p w14:paraId="2C7CC153">
            <w:pPr>
              <w:pStyle w:val="69"/>
              <w:spacing w:before="1"/>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③环境管理机构对施工期环境保护工作全面负责，履行施工期各阶段环境管理职责；</w:t>
            </w:r>
          </w:p>
          <w:p w14:paraId="514355ED">
            <w:pPr>
              <w:pStyle w:val="69"/>
              <w:spacing w:before="1"/>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④对施工队伍实行职责管理，要求施工队伍按要求文明施工，并做好监督、检查和教育工作；</w:t>
            </w:r>
          </w:p>
          <w:p w14:paraId="20F4F495">
            <w:pPr>
              <w:pStyle w:val="69"/>
              <w:spacing w:before="1"/>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⑤认真监督主体工程与环保设施的同步建设；建立环保设施施工进度档案，确保环保工作的正常实施运行；</w:t>
            </w:r>
          </w:p>
          <w:p w14:paraId="01D7B26E">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⑥施工中造成的地表破坏、土地、植物毁坏应在竣工后及时恢复；</w:t>
            </w:r>
          </w:p>
          <w:p w14:paraId="05BBC6FF">
            <w:pPr>
              <w:pStyle w:val="69"/>
              <w:spacing w:before="4"/>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⑦设立施工期环境监理制度，监督环保工程的实施情况，施工阶段的环保工程进展情况和环保投资落实情况定期（每季度）向环保主管部门汇报一次。</w:t>
            </w:r>
          </w:p>
        </w:tc>
      </w:tr>
      <w:tr w14:paraId="5FE0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80" w:type="pct"/>
            <w:noWrap w:val="0"/>
            <w:vAlign w:val="center"/>
          </w:tcPr>
          <w:p w14:paraId="23A0641F">
            <w:pPr>
              <w:pStyle w:val="69"/>
              <w:ind w:left="0" w:leftChars="0" w:right="-10" w:rightChars="0"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运营期</w:t>
            </w:r>
          </w:p>
        </w:tc>
        <w:tc>
          <w:tcPr>
            <w:tcW w:w="4519" w:type="pct"/>
            <w:noWrap w:val="0"/>
            <w:vAlign w:val="center"/>
          </w:tcPr>
          <w:p w14:paraId="24823898">
            <w:pPr>
              <w:pStyle w:val="69"/>
              <w:spacing w:before="5"/>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①根据国家环保政策、标准及环境监测要求，制定该项目运营期环境管理规章制度、各种污染物排放指标。</w:t>
            </w:r>
          </w:p>
          <w:p w14:paraId="500F6C09">
            <w:pPr>
              <w:pStyle w:val="6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②场区</w:t>
            </w:r>
            <w:r>
              <w:rPr>
                <w:rFonts w:hint="default" w:ascii="Times New Roman" w:hAnsi="Times New Roman" w:cs="Times New Roman"/>
                <w:color w:val="auto"/>
                <w:sz w:val="21"/>
                <w:highlight w:val="none"/>
                <w:lang w:val="en-US" w:eastAsia="zh-CN"/>
              </w:rPr>
              <w:t>环保设施</w:t>
            </w:r>
            <w:r>
              <w:rPr>
                <w:rFonts w:hint="default" w:ascii="Times New Roman" w:hAnsi="Times New Roman" w:cs="Times New Roman"/>
                <w:color w:val="auto"/>
                <w:sz w:val="21"/>
                <w:highlight w:val="none"/>
              </w:rPr>
              <w:t>进行定期维护和检修，确保</w:t>
            </w:r>
            <w:r>
              <w:rPr>
                <w:rFonts w:hint="default" w:ascii="Times New Roman" w:hAnsi="Times New Roman" w:cs="Times New Roman"/>
                <w:color w:val="auto"/>
                <w:sz w:val="21"/>
                <w:highlight w:val="none"/>
                <w:lang w:val="en-US" w:eastAsia="zh-CN"/>
              </w:rPr>
              <w:t>环保</w:t>
            </w:r>
            <w:r>
              <w:rPr>
                <w:rFonts w:hint="default" w:ascii="Times New Roman" w:hAnsi="Times New Roman" w:cs="Times New Roman"/>
                <w:color w:val="auto"/>
                <w:sz w:val="21"/>
                <w:highlight w:val="none"/>
              </w:rPr>
              <w:t>设施的正常运行及管网畅通</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并对环保设施的改进提出积极的建议</w:t>
            </w:r>
            <w:r>
              <w:rPr>
                <w:rFonts w:hint="default" w:ascii="Times New Roman" w:hAnsi="Times New Roman" w:cs="Times New Roman"/>
                <w:color w:val="auto"/>
                <w:sz w:val="21"/>
                <w:highlight w:val="none"/>
                <w:lang w:eastAsia="zh-CN"/>
              </w:rPr>
              <w:t>。</w:t>
            </w:r>
          </w:p>
          <w:p w14:paraId="24197346">
            <w:pPr>
              <w:pStyle w:val="69"/>
              <w:spacing w:before="9"/>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③绿化能改善区域小气候和起到降噪除尘的作用，对项目区的绿地必须有专人管理、养护。</w:t>
            </w:r>
          </w:p>
          <w:p w14:paraId="206174C2">
            <w:pPr>
              <w:pStyle w:val="69"/>
              <w:spacing w:before="1"/>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④负责项目运营期环境监测工作，及时掌握该项目污染状况，整理监测数据，建立污染源档案。</w:t>
            </w:r>
          </w:p>
          <w:p w14:paraId="19ABC3F8">
            <w:pPr>
              <w:pStyle w:val="69"/>
              <w:spacing w:before="1"/>
              <w:ind w:left="0" w:leftChars="0" w:right="-10" w:righ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⑤项目区环境管理由建设单位承担，配合环保行政主管部门实施区域内环保管理监督，上报区域内环保统计报告，下达</w:t>
            </w:r>
            <w:r>
              <w:rPr>
                <w:rFonts w:hint="default" w:ascii="Times New Roman" w:hAnsi="Times New Roman" w:cs="Times New Roman"/>
                <w:color w:val="auto"/>
                <w:sz w:val="21"/>
                <w:highlight w:val="none"/>
                <w:lang w:val="en-US" w:eastAsia="zh-CN"/>
              </w:rPr>
              <w:t>上级</w:t>
            </w:r>
            <w:r>
              <w:rPr>
                <w:rFonts w:hint="default" w:ascii="Times New Roman" w:hAnsi="Times New Roman" w:cs="Times New Roman"/>
                <w:color w:val="auto"/>
                <w:sz w:val="21"/>
                <w:highlight w:val="none"/>
              </w:rPr>
              <w:t>布置的环保任务，环保政策，协助环保执法部门工作等。</w:t>
            </w:r>
          </w:p>
        </w:tc>
      </w:tr>
    </w:tbl>
    <w:p w14:paraId="1AD280F0">
      <w:pPr>
        <w:ind w:left="0" w:leftChars="0" w:right="-10" w:rightChars="0" w:firstLine="0" w:firstLineChars="0"/>
        <w:rPr>
          <w:rFonts w:hint="default" w:ascii="Times New Roman" w:hAnsi="Times New Roman" w:cs="Times New Roman"/>
          <w:color w:val="auto"/>
          <w:sz w:val="20"/>
          <w:highlight w:val="none"/>
        </w:rPr>
      </w:pPr>
      <w:bookmarkStart w:id="174" w:name="_TOC_250019"/>
      <w:bookmarkEnd w:id="174"/>
    </w:p>
    <w:p w14:paraId="3C96B21D">
      <w:pPr>
        <w:pStyle w:val="3"/>
        <w:bidi w:val="0"/>
        <w:rPr>
          <w:rFonts w:hint="default" w:ascii="Times New Roman" w:hAnsi="Times New Roman" w:cs="Times New Roman"/>
          <w:color w:val="auto"/>
          <w:lang w:val="en-US" w:eastAsia="zh-CN"/>
        </w:rPr>
      </w:pPr>
      <w:bookmarkStart w:id="175" w:name="_TOC_250017"/>
      <w:bookmarkEnd w:id="175"/>
      <w:bookmarkStart w:id="176" w:name="_Toc27578"/>
      <w:bookmarkStart w:id="177" w:name="_Toc4804"/>
      <w:r>
        <w:rPr>
          <w:rFonts w:hint="default" w:ascii="Times New Roman" w:hAnsi="Times New Roman" w:cs="Times New Roman"/>
          <w:color w:val="auto"/>
          <w:lang w:val="en-US" w:eastAsia="zh-CN"/>
        </w:rPr>
        <w:t>环境监测计划</w:t>
      </w:r>
      <w:bookmarkEnd w:id="176"/>
      <w:bookmarkEnd w:id="177"/>
    </w:p>
    <w:p w14:paraId="44006FE6">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监测的意义</w:t>
      </w:r>
    </w:p>
    <w:p w14:paraId="67EF00E3">
      <w:pPr>
        <w:pStyle w:val="16"/>
        <w:bidi w:val="0"/>
        <w:rPr>
          <w:rFonts w:hint="default" w:ascii="Times New Roman" w:hAnsi="Times New Roman" w:cs="Times New Roman"/>
          <w:color w:val="auto"/>
        </w:rPr>
      </w:pPr>
      <w:r>
        <w:rPr>
          <w:rFonts w:hint="default" w:ascii="Times New Roman" w:hAnsi="Times New Roman" w:cs="Times New Roman"/>
          <w:color w:val="auto"/>
        </w:rPr>
        <w:t>环境监测（包括污染源监测）是企业环境保护的重要组成部分，也是企业的一项规范化制度。《排污单位自行监测技术指南总则》要求新建排污单位应当在投入生产或使用并产生实际排污行为之前完成自行监测方案的编制及相关准备工作。该项目的监测计划可根据《排污单位自行监测技术指南总则》进行制定。通过环境监测，进行数据整理分析，建立监测档案，可为污染源治理，掌握污染物排放变化规律提供依据，为</w:t>
      </w:r>
      <w:r>
        <w:rPr>
          <w:rFonts w:hint="default" w:ascii="Times New Roman" w:hAnsi="Times New Roman" w:cs="Times New Roman"/>
          <w:color w:val="auto"/>
          <w:lang w:val="en-US" w:eastAsia="zh-CN"/>
        </w:rPr>
        <w:t>生态环境部门</w:t>
      </w:r>
      <w:r>
        <w:rPr>
          <w:rFonts w:hint="default" w:ascii="Times New Roman" w:hAnsi="Times New Roman" w:cs="Times New Roman"/>
          <w:color w:val="auto"/>
        </w:rPr>
        <w:t>进行区域环境规划、管理执法提供依据。同时，环境监测也是企业实现污染物总量控制，做到清洁生产的重要保证手段之一。</w:t>
      </w:r>
    </w:p>
    <w:p w14:paraId="33E07508">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环境监测的内容</w:t>
      </w:r>
    </w:p>
    <w:p w14:paraId="148E23E6">
      <w:pPr>
        <w:pStyle w:val="5"/>
        <w:bidi w:val="0"/>
        <w:rPr>
          <w:rFonts w:hint="default" w:ascii="Times New Roman" w:hAnsi="Times New Roman" w:cs="Times New Roman"/>
          <w:color w:val="auto"/>
        </w:rPr>
      </w:pPr>
      <w:r>
        <w:rPr>
          <w:rFonts w:hint="default" w:ascii="Times New Roman" w:hAnsi="Times New Roman" w:cs="Times New Roman"/>
          <w:color w:val="auto"/>
        </w:rPr>
        <w:t>运营期环保措施监控要点</w:t>
      </w:r>
    </w:p>
    <w:p w14:paraId="253D50FD">
      <w:pPr>
        <w:pStyle w:val="16"/>
        <w:bidi w:val="0"/>
        <w:rPr>
          <w:rFonts w:hint="default" w:ascii="Times New Roman" w:hAnsi="Times New Roman" w:cs="Times New Roman"/>
          <w:color w:val="auto"/>
        </w:rPr>
      </w:pPr>
      <w:r>
        <w:rPr>
          <w:rFonts w:hint="default" w:ascii="Times New Roman" w:hAnsi="Times New Roman" w:cs="Times New Roman"/>
          <w:color w:val="auto"/>
        </w:rPr>
        <w:t>把企业的环境管理、污染防治和生态恢复纳入企业正常生产与企业管理之中，从计划管理、生产管理、技术管理、设备管理到经济成本核算都要有环境保护的具体内容和指标，并要落实到车间、班组和岗位。</w:t>
      </w:r>
    </w:p>
    <w:p w14:paraId="5A8B2A21">
      <w:pPr>
        <w:pStyle w:val="16"/>
        <w:bidi w:val="0"/>
        <w:rPr>
          <w:rFonts w:hint="default" w:ascii="Times New Roman" w:hAnsi="Times New Roman" w:cs="Times New Roman"/>
          <w:color w:val="auto"/>
        </w:rPr>
      </w:pPr>
      <w:r>
        <w:rPr>
          <w:rFonts w:hint="default" w:ascii="Times New Roman" w:hAnsi="Times New Roman" w:cs="Times New Roman"/>
          <w:color w:val="auto"/>
        </w:rPr>
        <w:t>严格执行环境管理规章制度，确保环保设施正常稳定运行。</w:t>
      </w:r>
    </w:p>
    <w:p w14:paraId="19F256D6">
      <w:pPr>
        <w:pStyle w:val="16"/>
        <w:bidi w:val="0"/>
        <w:rPr>
          <w:rFonts w:hint="default" w:ascii="Times New Roman" w:hAnsi="Times New Roman" w:cs="Times New Roman"/>
          <w:color w:val="auto"/>
        </w:rPr>
      </w:pPr>
      <w:r>
        <w:rPr>
          <w:rFonts w:hint="default" w:ascii="Times New Roman" w:hAnsi="Times New Roman" w:cs="Times New Roman"/>
          <w:color w:val="auto"/>
        </w:rPr>
        <w:t>加强环境污染事故的风险管理，落实各环节防范措施，制定环境风险应急预案，强化应急处置机制。</w:t>
      </w:r>
    </w:p>
    <w:p w14:paraId="198094F8">
      <w:pPr>
        <w:pStyle w:val="16"/>
        <w:bidi w:val="0"/>
        <w:rPr>
          <w:rFonts w:hint="default" w:ascii="Times New Roman" w:hAnsi="Times New Roman" w:cs="Times New Roman"/>
          <w:color w:val="auto"/>
        </w:rPr>
      </w:pPr>
      <w:r>
        <w:rPr>
          <w:rFonts w:hint="default" w:ascii="Times New Roman" w:hAnsi="Times New Roman" w:cs="Times New Roman"/>
          <w:color w:val="auto"/>
        </w:rPr>
        <w:t>加强运营期环境监测，发现问题及时处理。</w:t>
      </w:r>
    </w:p>
    <w:p w14:paraId="4281BDA4">
      <w:pPr>
        <w:pStyle w:val="5"/>
        <w:bidi w:val="0"/>
        <w:rPr>
          <w:rFonts w:hint="default" w:ascii="Times New Roman" w:hAnsi="Times New Roman" w:cs="Times New Roman"/>
          <w:color w:val="auto"/>
          <w:lang w:val="en-US"/>
        </w:rPr>
      </w:pPr>
      <w:bookmarkStart w:id="178" w:name="9.2.2.2 环境监测计划"/>
      <w:bookmarkEnd w:id="178"/>
      <w:r>
        <w:rPr>
          <w:rFonts w:hint="default" w:ascii="Times New Roman" w:hAnsi="Times New Roman" w:cs="Times New Roman"/>
          <w:color w:val="auto"/>
          <w:lang w:val="en-US"/>
        </w:rPr>
        <w:t>环境监测计划</w:t>
      </w:r>
    </w:p>
    <w:p w14:paraId="0516AC0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eastAsia="宋体" w:cs="Times New Roman"/>
          <w:color w:val="auto"/>
          <w:sz w:val="24"/>
          <w:szCs w:val="24"/>
          <w:highlight w:val="none"/>
          <w:lang w:val="zh-CN" w:eastAsia="zh-CN" w:bidi="zh-CN"/>
        </w:rPr>
        <w:t>（</w:t>
      </w:r>
      <w:r>
        <w:rPr>
          <w:rFonts w:hint="default" w:ascii="Times New Roman" w:hAnsi="Times New Roman" w:eastAsia="宋体" w:cs="Times New Roman"/>
          <w:color w:val="auto"/>
          <w:sz w:val="24"/>
          <w:szCs w:val="24"/>
          <w:highlight w:val="none"/>
          <w:lang w:val="en-US" w:eastAsia="zh-CN" w:bidi="zh-CN"/>
        </w:rPr>
        <w:t>1</w:t>
      </w:r>
      <w:r>
        <w:rPr>
          <w:rFonts w:hint="default" w:ascii="Times New Roman" w:hAnsi="Times New Roman" w:eastAsia="宋体" w:cs="Times New Roman"/>
          <w:color w:val="auto"/>
          <w:sz w:val="24"/>
          <w:szCs w:val="24"/>
          <w:highlight w:val="none"/>
          <w:lang w:val="zh-CN" w:eastAsia="zh-CN" w:bidi="zh-CN"/>
        </w:rPr>
        <w:t>）环境质量跟踪监测计划</w:t>
      </w:r>
    </w:p>
    <w:p w14:paraId="59B0CBA2">
      <w:pPr>
        <w:widowControl w:val="0"/>
        <w:autoSpaceDE w:val="0"/>
        <w:autoSpaceDN w:val="0"/>
        <w:spacing w:line="364" w:lineRule="auto"/>
        <w:ind w:left="0" w:leftChars="0" w:right="-10" w:rightChars="0" w:firstLine="480" w:firstLineChars="200"/>
        <w:jc w:val="both"/>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eastAsia="宋体" w:cs="Times New Roman"/>
          <w:color w:val="auto"/>
          <w:sz w:val="24"/>
          <w:szCs w:val="24"/>
          <w:highlight w:val="none"/>
          <w:lang w:val="en-US" w:eastAsia="zh-CN" w:bidi="zh-CN"/>
        </w:rPr>
        <w:t>根据《畜禽养殖产地环境评价规范》（HJ568-2010）对本项目环境质量跟踪监测，具体详见表8.2-1。</w:t>
      </w:r>
    </w:p>
    <w:p w14:paraId="24484BF2">
      <w:pPr>
        <w:pStyle w:val="14"/>
        <w:bidi w:val="0"/>
        <w:rPr>
          <w:rFonts w:hint="default" w:ascii="Times New Roman" w:hAnsi="Times New Roman" w:cs="Times New Roman"/>
          <w:lang w:val="en-US" w:eastAsia="zh-C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lang w:val="en-US" w:eastAsia="zh-CN"/>
        </w:rPr>
        <w:t>环境质量跟踪监测计划一览表</w:t>
      </w:r>
    </w:p>
    <w:tbl>
      <w:tblPr>
        <w:tblStyle w:val="33"/>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7"/>
        <w:gridCol w:w="1052"/>
        <w:gridCol w:w="2952"/>
        <w:gridCol w:w="944"/>
        <w:gridCol w:w="2888"/>
      </w:tblGrid>
      <w:tr w14:paraId="71B2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326" w:type="pct"/>
            <w:noWrap w:val="0"/>
            <w:vAlign w:val="center"/>
          </w:tcPr>
          <w:p w14:paraId="7598190D">
            <w:pPr>
              <w:widowControl w:val="0"/>
              <w:autoSpaceDE w:val="0"/>
              <w:autoSpaceDN w:val="0"/>
              <w:ind w:left="0" w:leftChars="0" w:right="-10" w:rightChars="0" w:firstLine="0" w:firstLineChars="0"/>
              <w:jc w:val="center"/>
              <w:rPr>
                <w:rFonts w:hint="default" w:ascii="Times New Roman" w:hAnsi="Times New Roman" w:eastAsia="宋体" w:cs="Times New Roman"/>
                <w:b/>
                <w:bCs/>
                <w:color w:val="auto"/>
                <w:sz w:val="21"/>
                <w:szCs w:val="21"/>
                <w:highlight w:val="none"/>
                <w:lang w:val="en-US" w:eastAsia="zh-CN" w:bidi="zh-CN"/>
              </w:rPr>
            </w:pPr>
            <w:r>
              <w:rPr>
                <w:rFonts w:hint="default" w:ascii="Times New Roman" w:hAnsi="Times New Roman" w:eastAsia="宋体" w:cs="Times New Roman"/>
                <w:b/>
                <w:bCs/>
                <w:color w:val="auto"/>
                <w:sz w:val="21"/>
                <w:szCs w:val="21"/>
                <w:highlight w:val="none"/>
                <w:lang w:val="en-US" w:eastAsia="zh-CN" w:bidi="zh-CN"/>
              </w:rPr>
              <w:t>监测</w:t>
            </w:r>
          </w:p>
          <w:p w14:paraId="6C0FA6B7">
            <w:pPr>
              <w:widowControl w:val="0"/>
              <w:autoSpaceDE w:val="0"/>
              <w:autoSpaceDN w:val="0"/>
              <w:ind w:left="0" w:leftChars="0" w:right="-10" w:rightChars="0" w:firstLine="0" w:firstLineChars="0"/>
              <w:jc w:val="center"/>
              <w:rPr>
                <w:rFonts w:hint="default" w:ascii="Times New Roman" w:hAnsi="Times New Roman" w:eastAsia="宋体" w:cs="Times New Roman"/>
                <w:b/>
                <w:bCs/>
                <w:color w:val="auto"/>
                <w:sz w:val="21"/>
                <w:szCs w:val="21"/>
                <w:highlight w:val="none"/>
                <w:lang w:val="en-US" w:eastAsia="zh-CN" w:bidi="zh-CN"/>
              </w:rPr>
            </w:pPr>
            <w:r>
              <w:rPr>
                <w:rFonts w:hint="default" w:ascii="Times New Roman" w:hAnsi="Times New Roman" w:eastAsia="宋体" w:cs="Times New Roman"/>
                <w:b/>
                <w:bCs/>
                <w:color w:val="auto"/>
                <w:sz w:val="21"/>
                <w:szCs w:val="21"/>
                <w:highlight w:val="none"/>
                <w:lang w:val="en-US" w:eastAsia="zh-CN" w:bidi="zh-CN"/>
              </w:rPr>
              <w:t>项目</w:t>
            </w:r>
          </w:p>
        </w:tc>
        <w:tc>
          <w:tcPr>
            <w:tcW w:w="627" w:type="pct"/>
            <w:noWrap w:val="0"/>
            <w:vAlign w:val="center"/>
          </w:tcPr>
          <w:p w14:paraId="416D0D4F">
            <w:pPr>
              <w:widowControl w:val="0"/>
              <w:autoSpaceDE w:val="0"/>
              <w:autoSpaceDN w:val="0"/>
              <w:ind w:left="0" w:leftChars="0" w:right="-10" w:rightChars="0" w:firstLine="0" w:firstLineChars="0"/>
              <w:jc w:val="center"/>
              <w:rPr>
                <w:rFonts w:hint="default" w:ascii="Times New Roman" w:hAnsi="Times New Roman" w:eastAsia="宋体" w:cs="Times New Roman"/>
                <w:b/>
                <w:bCs/>
                <w:color w:val="auto"/>
                <w:sz w:val="21"/>
                <w:szCs w:val="21"/>
                <w:highlight w:val="none"/>
                <w:lang w:val="en-US" w:eastAsia="zh-CN" w:bidi="zh-CN"/>
              </w:rPr>
            </w:pPr>
            <w:r>
              <w:rPr>
                <w:rFonts w:hint="default" w:ascii="Times New Roman" w:hAnsi="Times New Roman" w:eastAsia="宋体" w:cs="Times New Roman"/>
                <w:b/>
                <w:bCs/>
                <w:color w:val="auto"/>
                <w:sz w:val="21"/>
                <w:szCs w:val="21"/>
                <w:highlight w:val="none"/>
                <w:lang w:val="en-US" w:eastAsia="zh-CN" w:bidi="zh-CN"/>
              </w:rPr>
              <w:t>监测点位</w:t>
            </w:r>
          </w:p>
        </w:tc>
        <w:tc>
          <w:tcPr>
            <w:tcW w:w="1760" w:type="pct"/>
            <w:noWrap w:val="0"/>
            <w:vAlign w:val="center"/>
          </w:tcPr>
          <w:p w14:paraId="7153FBAB">
            <w:pPr>
              <w:widowControl w:val="0"/>
              <w:autoSpaceDE w:val="0"/>
              <w:autoSpaceDN w:val="0"/>
              <w:ind w:left="0" w:leftChars="0" w:right="-10" w:rightChars="0" w:firstLine="0" w:firstLineChars="0"/>
              <w:jc w:val="center"/>
              <w:rPr>
                <w:rFonts w:hint="default" w:ascii="Times New Roman" w:hAnsi="Times New Roman" w:eastAsia="宋体" w:cs="Times New Roman"/>
                <w:b/>
                <w:bCs/>
                <w:color w:val="auto"/>
                <w:sz w:val="21"/>
                <w:szCs w:val="21"/>
                <w:highlight w:val="none"/>
                <w:lang w:val="en-US" w:eastAsia="zh-CN" w:bidi="zh-CN"/>
              </w:rPr>
            </w:pPr>
            <w:r>
              <w:rPr>
                <w:rFonts w:hint="default" w:ascii="Times New Roman" w:hAnsi="Times New Roman" w:eastAsia="宋体" w:cs="Times New Roman"/>
                <w:b/>
                <w:bCs/>
                <w:color w:val="auto"/>
                <w:sz w:val="21"/>
                <w:szCs w:val="21"/>
                <w:highlight w:val="none"/>
                <w:lang w:val="en-US" w:eastAsia="zh-CN" w:bidi="zh-CN"/>
              </w:rPr>
              <w:t>监测因子</w:t>
            </w:r>
          </w:p>
        </w:tc>
        <w:tc>
          <w:tcPr>
            <w:tcW w:w="563" w:type="pct"/>
            <w:noWrap w:val="0"/>
            <w:vAlign w:val="center"/>
          </w:tcPr>
          <w:p w14:paraId="7F194D60">
            <w:pPr>
              <w:widowControl w:val="0"/>
              <w:autoSpaceDE w:val="0"/>
              <w:autoSpaceDN w:val="0"/>
              <w:ind w:left="0" w:leftChars="0" w:right="-10" w:rightChars="0" w:firstLine="0" w:firstLineChars="0"/>
              <w:jc w:val="center"/>
              <w:rPr>
                <w:rFonts w:hint="default" w:ascii="Times New Roman" w:hAnsi="Times New Roman" w:eastAsia="宋体" w:cs="Times New Roman"/>
                <w:b/>
                <w:bCs/>
                <w:color w:val="auto"/>
                <w:sz w:val="21"/>
                <w:szCs w:val="21"/>
                <w:highlight w:val="none"/>
                <w:lang w:val="en-US" w:eastAsia="zh-CN" w:bidi="zh-CN"/>
              </w:rPr>
            </w:pPr>
            <w:r>
              <w:rPr>
                <w:rFonts w:hint="default" w:ascii="Times New Roman" w:hAnsi="Times New Roman" w:eastAsia="宋体" w:cs="Times New Roman"/>
                <w:b/>
                <w:bCs/>
                <w:color w:val="auto"/>
                <w:sz w:val="21"/>
                <w:szCs w:val="21"/>
                <w:highlight w:val="none"/>
                <w:lang w:val="en-US" w:eastAsia="zh-CN" w:bidi="zh-CN"/>
              </w:rPr>
              <w:t>监测频率</w:t>
            </w:r>
          </w:p>
        </w:tc>
        <w:tc>
          <w:tcPr>
            <w:tcW w:w="1722" w:type="pct"/>
            <w:noWrap w:val="0"/>
            <w:vAlign w:val="center"/>
          </w:tcPr>
          <w:p w14:paraId="25E11C5F">
            <w:pPr>
              <w:widowControl w:val="0"/>
              <w:autoSpaceDE w:val="0"/>
              <w:autoSpaceDN w:val="0"/>
              <w:ind w:left="0" w:leftChars="0" w:right="-10" w:rightChars="0" w:firstLine="0" w:firstLineChars="0"/>
              <w:jc w:val="center"/>
              <w:rPr>
                <w:rFonts w:hint="default" w:ascii="Times New Roman" w:hAnsi="Times New Roman" w:eastAsia="宋体" w:cs="Times New Roman"/>
                <w:b/>
                <w:bCs/>
                <w:color w:val="auto"/>
                <w:sz w:val="21"/>
                <w:szCs w:val="21"/>
                <w:highlight w:val="none"/>
                <w:lang w:val="en-US" w:eastAsia="zh-CN" w:bidi="zh-CN"/>
              </w:rPr>
            </w:pPr>
            <w:r>
              <w:rPr>
                <w:rFonts w:hint="default" w:ascii="Times New Roman" w:hAnsi="Times New Roman" w:eastAsia="宋体" w:cs="Times New Roman"/>
                <w:b/>
                <w:bCs/>
                <w:color w:val="auto"/>
                <w:sz w:val="21"/>
                <w:szCs w:val="21"/>
                <w:highlight w:val="none"/>
                <w:lang w:val="en-US" w:eastAsia="zh-CN" w:bidi="zh-CN"/>
              </w:rPr>
              <w:t>执行标准</w:t>
            </w:r>
          </w:p>
        </w:tc>
      </w:tr>
      <w:tr w14:paraId="5ABD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326" w:type="pct"/>
            <w:noWrap w:val="0"/>
            <w:vAlign w:val="center"/>
          </w:tcPr>
          <w:p w14:paraId="618B5554">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地下水</w:t>
            </w:r>
          </w:p>
        </w:tc>
        <w:tc>
          <w:tcPr>
            <w:tcW w:w="627" w:type="pct"/>
            <w:noWrap w:val="0"/>
            <w:vAlign w:val="center"/>
          </w:tcPr>
          <w:p w14:paraId="19C22B3F">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养殖场地下水井下游</w:t>
            </w:r>
          </w:p>
        </w:tc>
        <w:tc>
          <w:tcPr>
            <w:tcW w:w="1760" w:type="pct"/>
            <w:noWrap w:val="0"/>
            <w:vAlign w:val="center"/>
          </w:tcPr>
          <w:p w14:paraId="7964F39D">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pH、总硬度、溶解性总固体、铁、锰、锌、挥发性酚类、耗氧量、氨氮、硫化物、总大肠菌群、细菌总数、亚硝酸盐、硝酸盐、氰化物、氟化物、汞、砷、镉、铬（六价）、铅及八大离子</w:t>
            </w:r>
          </w:p>
        </w:tc>
        <w:tc>
          <w:tcPr>
            <w:tcW w:w="563" w:type="pct"/>
            <w:noWrap w:val="0"/>
            <w:vAlign w:val="center"/>
          </w:tcPr>
          <w:p w14:paraId="082C0769">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1次/年</w:t>
            </w:r>
          </w:p>
        </w:tc>
        <w:tc>
          <w:tcPr>
            <w:tcW w:w="1722" w:type="pct"/>
            <w:noWrap w:val="0"/>
            <w:vAlign w:val="center"/>
          </w:tcPr>
          <w:p w14:paraId="65742FAF">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《地下水质量标准》（GB/T14848-2017）Ⅲ类标准限值</w:t>
            </w:r>
          </w:p>
        </w:tc>
      </w:tr>
      <w:tr w14:paraId="39B3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326" w:type="pct"/>
            <w:noWrap w:val="0"/>
            <w:vAlign w:val="center"/>
          </w:tcPr>
          <w:p w14:paraId="1F3E8BF5">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大气</w:t>
            </w:r>
          </w:p>
        </w:tc>
        <w:tc>
          <w:tcPr>
            <w:tcW w:w="627" w:type="pct"/>
            <w:noWrap w:val="0"/>
            <w:vAlign w:val="center"/>
          </w:tcPr>
          <w:p w14:paraId="0B317AEE">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养殖场场区厂界</w:t>
            </w:r>
          </w:p>
        </w:tc>
        <w:tc>
          <w:tcPr>
            <w:tcW w:w="1760" w:type="pct"/>
            <w:noWrap w:val="0"/>
            <w:vAlign w:val="center"/>
          </w:tcPr>
          <w:p w14:paraId="274B08CA">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NH</w:t>
            </w:r>
            <w:r>
              <w:rPr>
                <w:rFonts w:hint="default" w:ascii="Times New Roman" w:hAnsi="Times New Roman" w:eastAsia="宋体" w:cs="Times New Roman"/>
                <w:color w:val="auto"/>
                <w:sz w:val="21"/>
                <w:szCs w:val="21"/>
                <w:highlight w:val="none"/>
                <w:vertAlign w:val="subscript"/>
                <w:lang w:val="en-US" w:eastAsia="zh-CN" w:bidi="zh-CN"/>
              </w:rPr>
              <w:t>3</w:t>
            </w:r>
            <w:r>
              <w:rPr>
                <w:rFonts w:hint="default" w:ascii="Times New Roman" w:hAnsi="Times New Roman" w:eastAsia="宋体" w:cs="Times New Roman"/>
                <w:color w:val="auto"/>
                <w:sz w:val="21"/>
                <w:szCs w:val="21"/>
                <w:highlight w:val="none"/>
                <w:lang w:val="en-US" w:eastAsia="zh-CN" w:bidi="zh-CN"/>
              </w:rPr>
              <w:t>、H</w:t>
            </w:r>
            <w:r>
              <w:rPr>
                <w:rFonts w:hint="default" w:ascii="Times New Roman" w:hAnsi="Times New Roman" w:eastAsia="宋体" w:cs="Times New Roman"/>
                <w:color w:val="auto"/>
                <w:sz w:val="21"/>
                <w:szCs w:val="21"/>
                <w:highlight w:val="none"/>
                <w:vertAlign w:val="subscript"/>
                <w:lang w:val="en-US" w:eastAsia="zh-CN" w:bidi="zh-CN"/>
              </w:rPr>
              <w:t>2</w:t>
            </w:r>
            <w:r>
              <w:rPr>
                <w:rFonts w:hint="default" w:ascii="Times New Roman" w:hAnsi="Times New Roman" w:eastAsia="宋体" w:cs="Times New Roman"/>
                <w:color w:val="auto"/>
                <w:sz w:val="21"/>
                <w:szCs w:val="21"/>
                <w:highlight w:val="none"/>
                <w:lang w:val="en-US" w:eastAsia="zh-CN" w:bidi="zh-CN"/>
              </w:rPr>
              <w:t>S、恶臭</w:t>
            </w:r>
          </w:p>
        </w:tc>
        <w:tc>
          <w:tcPr>
            <w:tcW w:w="563" w:type="pct"/>
            <w:noWrap w:val="0"/>
            <w:vAlign w:val="center"/>
          </w:tcPr>
          <w:p w14:paraId="5815FA6D">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1次/年</w:t>
            </w:r>
          </w:p>
        </w:tc>
        <w:tc>
          <w:tcPr>
            <w:tcW w:w="1722" w:type="pct"/>
            <w:noWrap w:val="0"/>
            <w:vAlign w:val="center"/>
          </w:tcPr>
          <w:p w14:paraId="64116C16">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《畜禽养殖产地环境评价规范》（HJ568-2010）中表5畜禽养殖场和养殖小区环境空气质量评价指标限值。</w:t>
            </w:r>
          </w:p>
        </w:tc>
      </w:tr>
      <w:tr w14:paraId="7C05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326" w:type="pct"/>
            <w:noWrap w:val="0"/>
            <w:vAlign w:val="center"/>
          </w:tcPr>
          <w:p w14:paraId="47E8E4FF">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土壤</w:t>
            </w:r>
          </w:p>
        </w:tc>
        <w:tc>
          <w:tcPr>
            <w:tcW w:w="627" w:type="pct"/>
            <w:noWrap w:val="0"/>
            <w:vAlign w:val="center"/>
          </w:tcPr>
          <w:p w14:paraId="2EE2BCC3">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养殖场场区粪污处理区</w:t>
            </w:r>
          </w:p>
        </w:tc>
        <w:tc>
          <w:tcPr>
            <w:tcW w:w="1760" w:type="pct"/>
            <w:noWrap w:val="0"/>
            <w:vAlign w:val="center"/>
          </w:tcPr>
          <w:p w14:paraId="0321B9CC">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砷、镉、铬、铜、铅、汞、镍、锌、pH、六六六、滴滴涕</w:t>
            </w:r>
          </w:p>
        </w:tc>
        <w:tc>
          <w:tcPr>
            <w:tcW w:w="563" w:type="pct"/>
            <w:noWrap w:val="0"/>
            <w:vAlign w:val="center"/>
          </w:tcPr>
          <w:p w14:paraId="42DB472A">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每五年开展一次</w:t>
            </w:r>
          </w:p>
        </w:tc>
        <w:tc>
          <w:tcPr>
            <w:tcW w:w="1722" w:type="pct"/>
            <w:noWrap w:val="0"/>
            <w:vAlign w:val="center"/>
          </w:tcPr>
          <w:p w14:paraId="51AE3B46">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《畜禽养殖产地环境评价规范》（HJ568-2010）中表4放牧区和畜禽养殖场、养殖小区土壤环境质量评价指标限值要求</w:t>
            </w:r>
          </w:p>
        </w:tc>
      </w:tr>
      <w:tr w14:paraId="5261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326" w:type="pct"/>
            <w:noWrap w:val="0"/>
            <w:vAlign w:val="center"/>
          </w:tcPr>
          <w:p w14:paraId="20CC93CE">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声环境</w:t>
            </w:r>
          </w:p>
        </w:tc>
        <w:tc>
          <w:tcPr>
            <w:tcW w:w="627" w:type="pct"/>
            <w:noWrap w:val="0"/>
            <w:vAlign w:val="center"/>
          </w:tcPr>
          <w:p w14:paraId="11A6D540">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养殖场厂界</w:t>
            </w:r>
          </w:p>
        </w:tc>
        <w:tc>
          <w:tcPr>
            <w:tcW w:w="1760" w:type="pct"/>
            <w:noWrap w:val="0"/>
            <w:vAlign w:val="center"/>
          </w:tcPr>
          <w:p w14:paraId="6F7A7730">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厂界噪声</w:t>
            </w:r>
          </w:p>
        </w:tc>
        <w:tc>
          <w:tcPr>
            <w:tcW w:w="563" w:type="pct"/>
            <w:noWrap w:val="0"/>
            <w:vAlign w:val="center"/>
          </w:tcPr>
          <w:p w14:paraId="7AABD7B5">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1次/年</w:t>
            </w:r>
          </w:p>
        </w:tc>
        <w:tc>
          <w:tcPr>
            <w:tcW w:w="1722" w:type="pct"/>
            <w:noWrap w:val="0"/>
            <w:vAlign w:val="center"/>
          </w:tcPr>
          <w:p w14:paraId="37B27AFC">
            <w:pPr>
              <w:widowControl w:val="0"/>
              <w:autoSpaceDE w:val="0"/>
              <w:autoSpaceDN w:val="0"/>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《畜禽养殖产地环境评价规范》（HJ568-2010）中表5畜禽养殖场和养殖小区环境空气质量评价指标限值</w:t>
            </w:r>
          </w:p>
        </w:tc>
      </w:tr>
    </w:tbl>
    <w:p w14:paraId="708F1BDB">
      <w:pPr>
        <w:widowControl w:val="0"/>
        <w:autoSpaceDE w:val="0"/>
        <w:autoSpaceDN w:val="0"/>
        <w:spacing w:line="364" w:lineRule="auto"/>
        <w:ind w:left="0" w:leftChars="0" w:right="-10" w:rightChars="0" w:firstLine="480" w:firstLineChars="200"/>
        <w:jc w:val="both"/>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w:t>
      </w:r>
      <w:r>
        <w:rPr>
          <w:rFonts w:hint="default" w:ascii="Times New Roman" w:hAnsi="Times New Roman" w:eastAsia="宋体" w:cs="Times New Roman"/>
          <w:color w:val="FF0000"/>
          <w:sz w:val="24"/>
          <w:szCs w:val="24"/>
          <w:highlight w:val="none"/>
          <w:lang w:val="en-US" w:eastAsia="zh-CN" w:bidi="zh-CN"/>
        </w:rPr>
        <w:t>2</w:t>
      </w:r>
      <w:r>
        <w:rPr>
          <w:rFonts w:hint="default" w:ascii="Times New Roman" w:hAnsi="Times New Roman" w:eastAsia="宋体" w:cs="Times New Roman"/>
          <w:color w:val="FF0000"/>
          <w:sz w:val="24"/>
          <w:szCs w:val="24"/>
          <w:highlight w:val="none"/>
          <w:lang w:val="zh-CN" w:eastAsia="zh-CN" w:bidi="zh-CN"/>
        </w:rPr>
        <w:t>）污染源监测计划</w:t>
      </w:r>
    </w:p>
    <w:p w14:paraId="383C4AF2">
      <w:pPr>
        <w:widowControl w:val="0"/>
        <w:autoSpaceDE w:val="0"/>
        <w:autoSpaceDN w:val="0"/>
        <w:spacing w:line="364" w:lineRule="auto"/>
        <w:ind w:left="0" w:leftChars="0" w:right="-10" w:rightChars="0" w:firstLine="480" w:firstLineChars="200"/>
        <w:jc w:val="both"/>
        <w:rPr>
          <w:rFonts w:hint="default" w:ascii="Times New Roman" w:hAnsi="Times New Roman" w:eastAsia="宋体" w:cs="Times New Roman"/>
          <w:color w:val="FF0000"/>
          <w:sz w:val="24"/>
          <w:szCs w:val="24"/>
          <w:highlight w:val="none"/>
          <w:lang w:val="zh-CN" w:eastAsia="zh-CN" w:bidi="zh-CN"/>
        </w:rPr>
      </w:pPr>
      <w:r>
        <w:rPr>
          <w:rFonts w:hint="default" w:ascii="Times New Roman" w:hAnsi="Times New Roman" w:eastAsia="宋体" w:cs="Times New Roman"/>
          <w:color w:val="FF0000"/>
          <w:sz w:val="24"/>
          <w:szCs w:val="24"/>
          <w:highlight w:val="none"/>
          <w:lang w:val="zh-CN" w:eastAsia="zh-CN" w:bidi="zh-CN"/>
        </w:rPr>
        <w:t>定期的污染源监测和环境监测委托有资质的单位进行。监测项目、监测点设置等应按《排污单位自行监测技术指南畜禽养殖行业》（HJ1252-2022</w:t>
      </w:r>
      <w:r>
        <w:rPr>
          <w:rFonts w:hint="default" w:ascii="Times New Roman" w:hAnsi="Times New Roman" w:eastAsia="宋体" w:cs="Times New Roman"/>
          <w:color w:val="FF0000"/>
          <w:sz w:val="24"/>
          <w:szCs w:val="24"/>
          <w:highlight w:val="none"/>
          <w:lang w:val="en-US" w:eastAsia="zh-CN" w:bidi="zh-CN"/>
        </w:rPr>
        <w:t>）要求进行</w:t>
      </w:r>
      <w:r>
        <w:rPr>
          <w:rFonts w:hint="default" w:ascii="Times New Roman" w:hAnsi="Times New Roman" w:eastAsia="宋体" w:cs="Times New Roman"/>
          <w:color w:val="FF0000"/>
          <w:sz w:val="24"/>
          <w:szCs w:val="24"/>
          <w:highlight w:val="none"/>
          <w:lang w:val="zh-CN" w:eastAsia="zh-CN" w:bidi="zh-CN"/>
        </w:rPr>
        <w:t>。本项目运营期间污染源环境监测计划见表8.</w:t>
      </w:r>
      <w:r>
        <w:rPr>
          <w:rFonts w:hint="default" w:ascii="Times New Roman" w:hAnsi="Times New Roman" w:eastAsia="宋体" w:cs="Times New Roman"/>
          <w:color w:val="FF0000"/>
          <w:sz w:val="24"/>
          <w:szCs w:val="24"/>
          <w:highlight w:val="none"/>
          <w:lang w:val="en-US" w:eastAsia="zh-CN" w:bidi="zh-CN"/>
        </w:rPr>
        <w:t>2</w:t>
      </w:r>
      <w:r>
        <w:rPr>
          <w:rFonts w:hint="default" w:ascii="Times New Roman" w:hAnsi="Times New Roman" w:eastAsia="宋体" w:cs="Times New Roman"/>
          <w:color w:val="FF0000"/>
          <w:sz w:val="24"/>
          <w:szCs w:val="24"/>
          <w:highlight w:val="none"/>
          <w:lang w:val="zh-CN" w:eastAsia="zh-CN" w:bidi="zh-CN"/>
        </w:rPr>
        <w:t>-</w:t>
      </w:r>
      <w:r>
        <w:rPr>
          <w:rFonts w:hint="default" w:ascii="Times New Roman" w:hAnsi="Times New Roman" w:eastAsia="宋体" w:cs="Times New Roman"/>
          <w:color w:val="FF0000"/>
          <w:sz w:val="24"/>
          <w:szCs w:val="24"/>
          <w:highlight w:val="none"/>
          <w:lang w:val="en-US" w:eastAsia="zh-CN" w:bidi="zh-CN"/>
        </w:rPr>
        <w:t>2</w:t>
      </w:r>
      <w:r>
        <w:rPr>
          <w:rFonts w:hint="default" w:ascii="Times New Roman" w:hAnsi="Times New Roman" w:eastAsia="宋体" w:cs="Times New Roman"/>
          <w:color w:val="FF0000"/>
          <w:sz w:val="24"/>
          <w:szCs w:val="24"/>
          <w:highlight w:val="none"/>
          <w:lang w:val="zh-CN" w:eastAsia="zh-CN" w:bidi="zh-CN"/>
        </w:rPr>
        <w:t>。</w:t>
      </w:r>
    </w:p>
    <w:p w14:paraId="503FC44D">
      <w:pPr>
        <w:pStyle w:val="14"/>
        <w:bidi w:val="0"/>
        <w:rPr>
          <w:rFonts w:hint="default" w:ascii="Times New Roman" w:hAnsi="Times New Roman" w:cs="Times New Roman"/>
          <w:color w:val="FF0000"/>
          <w:lang w:val="zh-CN" w:eastAsia="zh-CN"/>
        </w:rPr>
      </w:pPr>
      <w:r>
        <w:rPr>
          <w:rFonts w:hint="default" w:ascii="Times New Roman" w:hAnsi="Times New Roman" w:cs="Times New Roman"/>
          <w:color w:val="FF0000"/>
        </w:rPr>
        <w:t>表</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STYLEREF 2 \s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8.2</w:t>
      </w:r>
      <w:r>
        <w:rPr>
          <w:rFonts w:hint="default" w:ascii="Times New Roman" w:hAnsi="Times New Roman" w:cs="Times New Roman"/>
          <w:color w:val="FF0000"/>
        </w:rPr>
        <w:fldChar w:fldCharType="end"/>
      </w:r>
      <w:r>
        <w:rPr>
          <w:rFonts w:hint="default" w:ascii="Times New Roman" w:hAnsi="Times New Roman" w:cs="Times New Roman"/>
          <w:color w:val="FF0000"/>
          <w:lang w:eastAsia="zh-CN"/>
        </w:rPr>
        <w:t>-</w:t>
      </w:r>
      <w:r>
        <w:rPr>
          <w:rFonts w:hint="default" w:ascii="Times New Roman" w:hAnsi="Times New Roman" w:cs="Times New Roman"/>
          <w:color w:val="FF0000"/>
        </w:rPr>
        <w:fldChar w:fldCharType="begin"/>
      </w:r>
      <w:r>
        <w:rPr>
          <w:rFonts w:hint="default" w:ascii="Times New Roman" w:hAnsi="Times New Roman" w:cs="Times New Roman"/>
          <w:color w:val="FF0000"/>
        </w:rPr>
        <w:instrText xml:space="preserve"> SEQ 表 \* ARABIC \s 2 </w:instrText>
      </w:r>
      <w:r>
        <w:rPr>
          <w:rFonts w:hint="default" w:ascii="Times New Roman" w:hAnsi="Times New Roman" w:cs="Times New Roman"/>
          <w:color w:val="FF0000"/>
        </w:rPr>
        <w:fldChar w:fldCharType="separate"/>
      </w:r>
      <w:r>
        <w:rPr>
          <w:rFonts w:hint="default" w:ascii="Times New Roman" w:hAnsi="Times New Roman" w:cs="Times New Roman"/>
          <w:color w:val="FF0000"/>
        </w:rPr>
        <w:t>2</w:t>
      </w:r>
      <w:r>
        <w:rPr>
          <w:rFonts w:hint="default" w:ascii="Times New Roman" w:hAnsi="Times New Roman" w:cs="Times New Roman"/>
          <w:color w:val="FF0000"/>
        </w:rPr>
        <w:fldChar w:fldCharType="end"/>
      </w:r>
      <w:r>
        <w:rPr>
          <w:rFonts w:hint="default" w:ascii="Times New Roman" w:hAnsi="Times New Roman" w:cs="Times New Roman"/>
          <w:color w:val="FF0000"/>
          <w:lang w:val="zh-CN" w:eastAsia="zh-CN"/>
        </w:rPr>
        <w:t>运营期环境监控计划</w:t>
      </w:r>
    </w:p>
    <w:tbl>
      <w:tblPr>
        <w:tblStyle w:val="33"/>
        <w:tblW w:w="50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679"/>
        <w:gridCol w:w="1169"/>
        <w:gridCol w:w="1707"/>
        <w:gridCol w:w="924"/>
        <w:gridCol w:w="3285"/>
      </w:tblGrid>
      <w:tr w14:paraId="6A89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369" w:type="pct"/>
            <w:noWrap w:val="0"/>
            <w:vAlign w:val="center"/>
          </w:tcPr>
          <w:p w14:paraId="7AA281F5">
            <w:pPr>
              <w:widowControl w:val="0"/>
              <w:autoSpaceDE w:val="0"/>
              <w:autoSpaceDN w:val="0"/>
              <w:ind w:left="0" w:leftChars="0" w:right="-10" w:rightChars="0" w:firstLine="0" w:firstLineChars="0"/>
              <w:jc w:val="center"/>
              <w:rPr>
                <w:rFonts w:hint="default" w:ascii="Times New Roman" w:hAnsi="Times New Roman" w:eastAsia="宋体" w:cs="Times New Roman"/>
                <w:b/>
                <w:bCs/>
                <w:color w:val="FF0000"/>
                <w:sz w:val="21"/>
                <w:szCs w:val="22"/>
                <w:highlight w:val="none"/>
                <w:lang w:val="zh-CN" w:eastAsia="zh-CN" w:bidi="zh-CN"/>
              </w:rPr>
            </w:pPr>
            <w:r>
              <w:rPr>
                <w:rFonts w:hint="default" w:ascii="Times New Roman" w:hAnsi="Times New Roman" w:eastAsia="宋体" w:cs="Times New Roman"/>
                <w:b/>
                <w:bCs/>
                <w:color w:val="FF0000"/>
                <w:sz w:val="21"/>
                <w:szCs w:val="22"/>
                <w:highlight w:val="none"/>
                <w:lang w:val="zh-CN" w:eastAsia="zh-CN" w:bidi="zh-CN"/>
              </w:rPr>
              <w:t>项目</w:t>
            </w:r>
          </w:p>
        </w:tc>
        <w:tc>
          <w:tcPr>
            <w:tcW w:w="405" w:type="pct"/>
            <w:noWrap w:val="0"/>
            <w:vAlign w:val="center"/>
          </w:tcPr>
          <w:p w14:paraId="773077BD">
            <w:pPr>
              <w:widowControl w:val="0"/>
              <w:autoSpaceDE w:val="0"/>
              <w:autoSpaceDN w:val="0"/>
              <w:ind w:left="0" w:leftChars="0" w:right="-10" w:rightChars="0" w:firstLine="0" w:firstLineChars="0"/>
              <w:jc w:val="center"/>
              <w:rPr>
                <w:rFonts w:hint="default" w:ascii="Times New Roman" w:hAnsi="Times New Roman" w:eastAsia="宋体" w:cs="Times New Roman"/>
                <w:b/>
                <w:bCs/>
                <w:color w:val="FF0000"/>
                <w:sz w:val="21"/>
                <w:szCs w:val="22"/>
                <w:highlight w:val="none"/>
                <w:lang w:val="zh-CN" w:eastAsia="zh-CN" w:bidi="zh-CN"/>
              </w:rPr>
            </w:pPr>
            <w:r>
              <w:rPr>
                <w:rFonts w:hint="default" w:ascii="Times New Roman" w:hAnsi="Times New Roman" w:eastAsia="宋体" w:cs="Times New Roman"/>
                <w:b/>
                <w:bCs/>
                <w:color w:val="FF0000"/>
                <w:sz w:val="21"/>
                <w:szCs w:val="22"/>
                <w:highlight w:val="none"/>
                <w:lang w:val="zh-CN" w:eastAsia="zh-CN" w:bidi="zh-CN"/>
              </w:rPr>
              <w:t>监测</w:t>
            </w:r>
          </w:p>
          <w:p w14:paraId="0DC8E273">
            <w:pPr>
              <w:widowControl w:val="0"/>
              <w:autoSpaceDE w:val="0"/>
              <w:autoSpaceDN w:val="0"/>
              <w:ind w:left="0" w:leftChars="0" w:right="-10" w:rightChars="0" w:firstLine="0" w:firstLineChars="0"/>
              <w:jc w:val="center"/>
              <w:rPr>
                <w:rFonts w:hint="default" w:ascii="Times New Roman" w:hAnsi="Times New Roman" w:eastAsia="宋体" w:cs="Times New Roman"/>
                <w:b/>
                <w:bCs/>
                <w:color w:val="FF0000"/>
                <w:sz w:val="21"/>
                <w:szCs w:val="22"/>
                <w:highlight w:val="none"/>
                <w:lang w:val="zh-CN" w:eastAsia="zh-CN" w:bidi="zh-CN"/>
              </w:rPr>
            </w:pPr>
            <w:r>
              <w:rPr>
                <w:rFonts w:hint="default" w:ascii="Times New Roman" w:hAnsi="Times New Roman" w:eastAsia="宋体" w:cs="Times New Roman"/>
                <w:b/>
                <w:bCs/>
                <w:color w:val="FF0000"/>
                <w:sz w:val="21"/>
                <w:szCs w:val="22"/>
                <w:highlight w:val="none"/>
                <w:lang w:val="zh-CN" w:eastAsia="zh-CN" w:bidi="zh-CN"/>
              </w:rPr>
              <w:t>对象</w:t>
            </w:r>
          </w:p>
        </w:tc>
        <w:tc>
          <w:tcPr>
            <w:tcW w:w="697" w:type="pct"/>
            <w:noWrap w:val="0"/>
            <w:vAlign w:val="center"/>
          </w:tcPr>
          <w:p w14:paraId="7A6E7992">
            <w:pPr>
              <w:widowControl w:val="0"/>
              <w:autoSpaceDE w:val="0"/>
              <w:autoSpaceDN w:val="0"/>
              <w:ind w:left="0" w:leftChars="0" w:right="-10" w:rightChars="0" w:firstLine="0" w:firstLineChars="0"/>
              <w:jc w:val="center"/>
              <w:rPr>
                <w:rFonts w:hint="default" w:ascii="Times New Roman" w:hAnsi="Times New Roman" w:eastAsia="宋体" w:cs="Times New Roman"/>
                <w:b/>
                <w:bCs/>
                <w:color w:val="FF0000"/>
                <w:sz w:val="21"/>
                <w:szCs w:val="22"/>
                <w:highlight w:val="none"/>
                <w:lang w:val="zh-CN" w:eastAsia="zh-CN" w:bidi="zh-CN"/>
              </w:rPr>
            </w:pPr>
            <w:r>
              <w:rPr>
                <w:rFonts w:hint="default" w:ascii="Times New Roman" w:hAnsi="Times New Roman" w:eastAsia="宋体" w:cs="Times New Roman"/>
                <w:b/>
                <w:bCs/>
                <w:color w:val="FF0000"/>
                <w:sz w:val="21"/>
                <w:szCs w:val="22"/>
                <w:highlight w:val="none"/>
                <w:lang w:val="zh-CN" w:eastAsia="zh-CN" w:bidi="zh-CN"/>
              </w:rPr>
              <w:t>监测项目</w:t>
            </w:r>
          </w:p>
        </w:tc>
        <w:tc>
          <w:tcPr>
            <w:tcW w:w="1018" w:type="pct"/>
            <w:noWrap w:val="0"/>
            <w:vAlign w:val="center"/>
          </w:tcPr>
          <w:p w14:paraId="7D22CC9F">
            <w:pPr>
              <w:widowControl w:val="0"/>
              <w:autoSpaceDE w:val="0"/>
              <w:autoSpaceDN w:val="0"/>
              <w:ind w:left="0" w:leftChars="0" w:right="-10" w:rightChars="0" w:firstLine="0" w:firstLineChars="0"/>
              <w:jc w:val="center"/>
              <w:rPr>
                <w:rFonts w:hint="default" w:ascii="Times New Roman" w:hAnsi="Times New Roman" w:eastAsia="宋体" w:cs="Times New Roman"/>
                <w:b/>
                <w:bCs/>
                <w:color w:val="FF0000"/>
                <w:sz w:val="21"/>
                <w:szCs w:val="22"/>
                <w:highlight w:val="none"/>
                <w:lang w:val="zh-CN" w:eastAsia="zh-CN" w:bidi="zh-CN"/>
              </w:rPr>
            </w:pPr>
            <w:r>
              <w:rPr>
                <w:rFonts w:hint="default" w:ascii="Times New Roman" w:hAnsi="Times New Roman" w:eastAsia="宋体" w:cs="Times New Roman"/>
                <w:b/>
                <w:bCs/>
                <w:color w:val="FF0000"/>
                <w:sz w:val="21"/>
                <w:szCs w:val="22"/>
                <w:highlight w:val="none"/>
                <w:lang w:val="zh-CN" w:eastAsia="zh-CN" w:bidi="zh-CN"/>
              </w:rPr>
              <w:t>监测位置</w:t>
            </w:r>
          </w:p>
        </w:tc>
        <w:tc>
          <w:tcPr>
            <w:tcW w:w="551" w:type="pct"/>
            <w:noWrap w:val="0"/>
            <w:vAlign w:val="center"/>
          </w:tcPr>
          <w:p w14:paraId="42FE5503">
            <w:pPr>
              <w:widowControl w:val="0"/>
              <w:autoSpaceDE w:val="0"/>
              <w:autoSpaceDN w:val="0"/>
              <w:ind w:left="0" w:leftChars="0" w:right="-10" w:rightChars="0" w:firstLine="0" w:firstLineChars="0"/>
              <w:jc w:val="center"/>
              <w:rPr>
                <w:rFonts w:hint="default" w:ascii="Times New Roman" w:hAnsi="Times New Roman" w:eastAsia="宋体" w:cs="Times New Roman"/>
                <w:b/>
                <w:bCs/>
                <w:color w:val="FF0000"/>
                <w:sz w:val="21"/>
                <w:szCs w:val="22"/>
                <w:highlight w:val="none"/>
                <w:lang w:val="zh-CN" w:eastAsia="zh-CN" w:bidi="zh-CN"/>
              </w:rPr>
            </w:pPr>
            <w:r>
              <w:rPr>
                <w:rFonts w:hint="default" w:ascii="Times New Roman" w:hAnsi="Times New Roman" w:eastAsia="宋体" w:cs="Times New Roman"/>
                <w:b/>
                <w:bCs/>
                <w:color w:val="FF0000"/>
                <w:sz w:val="21"/>
                <w:szCs w:val="22"/>
                <w:highlight w:val="none"/>
                <w:lang w:val="zh-CN" w:eastAsia="zh-CN" w:bidi="zh-CN"/>
              </w:rPr>
              <w:t>监测频率</w:t>
            </w:r>
          </w:p>
        </w:tc>
        <w:tc>
          <w:tcPr>
            <w:tcW w:w="1958" w:type="pct"/>
            <w:noWrap w:val="0"/>
            <w:vAlign w:val="center"/>
          </w:tcPr>
          <w:p w14:paraId="6D87D8D9">
            <w:pPr>
              <w:widowControl w:val="0"/>
              <w:autoSpaceDE w:val="0"/>
              <w:autoSpaceDN w:val="0"/>
              <w:ind w:left="0" w:leftChars="0" w:right="-10" w:rightChars="0" w:firstLine="0" w:firstLineChars="0"/>
              <w:jc w:val="center"/>
              <w:rPr>
                <w:rFonts w:hint="default" w:ascii="Times New Roman" w:hAnsi="Times New Roman" w:eastAsia="宋体" w:cs="Times New Roman"/>
                <w:b/>
                <w:bCs/>
                <w:color w:val="FF0000"/>
                <w:sz w:val="21"/>
                <w:szCs w:val="22"/>
                <w:highlight w:val="none"/>
                <w:lang w:val="en-US" w:eastAsia="zh-CN" w:bidi="zh-CN"/>
              </w:rPr>
            </w:pPr>
            <w:r>
              <w:rPr>
                <w:rFonts w:hint="default" w:ascii="Times New Roman" w:hAnsi="Times New Roman" w:eastAsia="宋体" w:cs="Times New Roman"/>
                <w:b/>
                <w:bCs/>
                <w:color w:val="FF0000"/>
                <w:sz w:val="21"/>
                <w:szCs w:val="22"/>
                <w:highlight w:val="none"/>
                <w:lang w:val="en-US" w:eastAsia="zh-CN" w:bidi="zh-CN"/>
              </w:rPr>
              <w:t>执行标准</w:t>
            </w:r>
          </w:p>
        </w:tc>
      </w:tr>
      <w:tr w14:paraId="49C2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369" w:type="pct"/>
            <w:vMerge w:val="restart"/>
            <w:noWrap w:val="0"/>
            <w:vAlign w:val="center"/>
          </w:tcPr>
          <w:p w14:paraId="248AC9E9">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zh-CN" w:eastAsia="zh-CN" w:bidi="zh-CN"/>
              </w:rPr>
              <w:t>废气</w:t>
            </w:r>
          </w:p>
        </w:tc>
        <w:tc>
          <w:tcPr>
            <w:tcW w:w="405" w:type="pct"/>
            <w:noWrap w:val="0"/>
            <w:vAlign w:val="center"/>
          </w:tcPr>
          <w:p w14:paraId="4F08C485">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eastAsia="宋体" w:cs="Times New Roman"/>
                <w:color w:val="FF0000"/>
                <w:sz w:val="21"/>
                <w:szCs w:val="22"/>
                <w:highlight w:val="none"/>
                <w:lang w:val="en-US" w:eastAsia="zh-CN" w:bidi="zh-CN"/>
              </w:rPr>
              <w:t>DA001</w:t>
            </w:r>
          </w:p>
        </w:tc>
        <w:tc>
          <w:tcPr>
            <w:tcW w:w="697" w:type="pct"/>
            <w:noWrap w:val="0"/>
            <w:vAlign w:val="center"/>
          </w:tcPr>
          <w:p w14:paraId="2011C0CA">
            <w:pPr>
              <w:widowControl w:val="0"/>
              <w:autoSpaceDE w:val="0"/>
              <w:autoSpaceDN w:val="0"/>
              <w:ind w:left="0" w:leftChars="0" w:right="-10" w:rightChars="0" w:firstLine="0" w:firstLineChars="0"/>
              <w:jc w:val="center"/>
              <w:rPr>
                <w:rFonts w:hint="default" w:ascii="Times New Roman" w:hAnsi="Times New Roman" w:eastAsia="Times New Roman"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en-US" w:eastAsia="zh-CN" w:bidi="zh-CN"/>
              </w:rPr>
              <w:t>颗粒物</w:t>
            </w:r>
          </w:p>
        </w:tc>
        <w:tc>
          <w:tcPr>
            <w:tcW w:w="1018" w:type="pct"/>
            <w:noWrap w:val="0"/>
            <w:vAlign w:val="center"/>
          </w:tcPr>
          <w:p w14:paraId="19A74EEA">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eastAsia="宋体" w:cs="Times New Roman"/>
                <w:color w:val="FF0000"/>
                <w:sz w:val="21"/>
                <w:szCs w:val="22"/>
                <w:highlight w:val="none"/>
                <w:lang w:val="en-US" w:eastAsia="zh-CN" w:bidi="zh-CN"/>
              </w:rPr>
              <w:t>DA001排气筒</w:t>
            </w:r>
          </w:p>
        </w:tc>
        <w:tc>
          <w:tcPr>
            <w:tcW w:w="551" w:type="pct"/>
            <w:noWrap w:val="0"/>
            <w:vAlign w:val="center"/>
          </w:tcPr>
          <w:p w14:paraId="1AB3B703">
            <w:pPr>
              <w:widowControl w:val="0"/>
              <w:autoSpaceDE w:val="0"/>
              <w:autoSpaceDN w:val="0"/>
              <w:ind w:left="0" w:leftChars="0" w:right="-10" w:rightChars="0" w:firstLine="0" w:firstLineChars="0"/>
              <w:jc w:val="center"/>
              <w:rPr>
                <w:rFonts w:hint="default" w:ascii="Times New Roman" w:hAnsi="Times New Roman" w:eastAsia="Times New Roman" w:cs="Times New Roman"/>
                <w:color w:val="FF0000"/>
                <w:sz w:val="21"/>
                <w:szCs w:val="22"/>
                <w:highlight w:val="none"/>
                <w:lang w:val="en-US" w:eastAsia="zh-CN" w:bidi="zh-CN"/>
              </w:rPr>
            </w:pPr>
            <w:r>
              <w:rPr>
                <w:rFonts w:hint="default" w:ascii="Times New Roman" w:hAnsi="Times New Roman" w:eastAsia="Times New Roman" w:cs="Times New Roman"/>
                <w:color w:val="FF0000"/>
                <w:sz w:val="21"/>
                <w:szCs w:val="22"/>
                <w:highlight w:val="none"/>
                <w:lang w:val="zh-CN" w:eastAsia="zh-CN" w:bidi="zh-CN"/>
              </w:rPr>
              <w:t>1次/年</w:t>
            </w:r>
          </w:p>
        </w:tc>
        <w:tc>
          <w:tcPr>
            <w:tcW w:w="1958" w:type="pct"/>
            <w:noWrap w:val="0"/>
            <w:vAlign w:val="center"/>
          </w:tcPr>
          <w:p w14:paraId="690F5D55">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eastAsia="宋体" w:cs="Times New Roman"/>
                <w:color w:val="FF0000"/>
                <w:sz w:val="21"/>
                <w:szCs w:val="22"/>
                <w:highlight w:val="none"/>
                <w:lang w:val="zh-CN" w:eastAsia="zh-CN" w:bidi="zh-CN"/>
              </w:rPr>
              <w:t>《大气污染物综合排放标准》（GB16297-1996）</w:t>
            </w:r>
            <w:r>
              <w:rPr>
                <w:rFonts w:hint="default" w:ascii="Times New Roman" w:hAnsi="Times New Roman" w:eastAsia="宋体" w:cs="Times New Roman"/>
                <w:color w:val="FF0000"/>
                <w:sz w:val="21"/>
                <w:szCs w:val="22"/>
                <w:highlight w:val="none"/>
                <w:lang w:val="en-US" w:eastAsia="zh-CN" w:bidi="zh-CN"/>
              </w:rPr>
              <w:t>表 2 有组织污染物排放标准值</w:t>
            </w:r>
          </w:p>
        </w:tc>
      </w:tr>
      <w:tr w14:paraId="768F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369" w:type="pct"/>
            <w:vMerge w:val="continue"/>
            <w:noWrap w:val="0"/>
            <w:vAlign w:val="center"/>
          </w:tcPr>
          <w:p w14:paraId="67EDBEC5">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p>
        </w:tc>
        <w:tc>
          <w:tcPr>
            <w:tcW w:w="405" w:type="pct"/>
            <w:noWrap w:val="0"/>
            <w:vAlign w:val="center"/>
          </w:tcPr>
          <w:p w14:paraId="7B2780E9">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eastAsia="宋体" w:cs="Times New Roman"/>
                <w:color w:val="FF0000"/>
                <w:sz w:val="21"/>
                <w:szCs w:val="22"/>
                <w:highlight w:val="none"/>
                <w:lang w:val="en-US" w:eastAsia="zh-CN" w:bidi="zh-CN"/>
              </w:rPr>
              <w:t>DA002</w:t>
            </w:r>
          </w:p>
        </w:tc>
        <w:tc>
          <w:tcPr>
            <w:tcW w:w="697" w:type="pct"/>
            <w:noWrap w:val="0"/>
            <w:vAlign w:val="center"/>
          </w:tcPr>
          <w:p w14:paraId="47865540">
            <w:pPr>
              <w:widowControl w:val="0"/>
              <w:autoSpaceDE w:val="0"/>
              <w:autoSpaceDN w:val="0"/>
              <w:ind w:left="0" w:leftChars="0" w:right="-10" w:rightChars="0" w:firstLine="0" w:firstLineChars="0"/>
              <w:jc w:val="center"/>
              <w:rPr>
                <w:rFonts w:hint="default" w:ascii="Times New Roman" w:hAnsi="Times New Roman" w:eastAsia="Times New Roman" w:cs="Times New Roman"/>
                <w:color w:val="FF0000"/>
                <w:sz w:val="21"/>
                <w:szCs w:val="22"/>
                <w:highlight w:val="none"/>
                <w:lang w:val="zh-CN" w:eastAsia="zh-CN" w:bidi="zh-CN"/>
              </w:rPr>
            </w:pPr>
            <w:r>
              <w:rPr>
                <w:rFonts w:hint="default" w:ascii="Times New Roman" w:hAnsi="Times New Roman" w:eastAsia="Times New Roman" w:cs="Times New Roman"/>
                <w:color w:val="FF0000"/>
                <w:sz w:val="21"/>
                <w:szCs w:val="22"/>
                <w:highlight w:val="none"/>
                <w:lang w:val="zh-CN" w:eastAsia="zh-CN" w:bidi="zh-CN"/>
              </w:rPr>
              <w:t>NH</w:t>
            </w:r>
            <w:r>
              <w:rPr>
                <w:rFonts w:hint="default" w:ascii="Times New Roman" w:hAnsi="Times New Roman" w:eastAsia="Times New Roman" w:cs="Times New Roman"/>
                <w:color w:val="FF0000"/>
                <w:sz w:val="21"/>
                <w:szCs w:val="22"/>
                <w:highlight w:val="none"/>
                <w:vertAlign w:val="subscript"/>
                <w:lang w:val="zh-CN" w:eastAsia="zh-CN" w:bidi="zh-CN"/>
              </w:rPr>
              <w:t>3</w:t>
            </w:r>
            <w:r>
              <w:rPr>
                <w:rFonts w:hint="default" w:ascii="Times New Roman" w:hAnsi="Times New Roman" w:eastAsia="宋体" w:cs="Times New Roman"/>
                <w:color w:val="FF0000"/>
                <w:sz w:val="21"/>
                <w:szCs w:val="22"/>
                <w:highlight w:val="none"/>
                <w:lang w:val="zh-CN" w:eastAsia="zh-CN" w:bidi="zh-CN"/>
              </w:rPr>
              <w:t>、</w:t>
            </w:r>
            <w:r>
              <w:rPr>
                <w:rFonts w:hint="default" w:ascii="Times New Roman" w:hAnsi="Times New Roman" w:eastAsia="Times New Roman" w:cs="Times New Roman"/>
                <w:color w:val="FF0000"/>
                <w:sz w:val="21"/>
                <w:szCs w:val="22"/>
                <w:highlight w:val="none"/>
                <w:lang w:val="zh-CN" w:eastAsia="zh-CN" w:bidi="zh-CN"/>
              </w:rPr>
              <w:t>H</w:t>
            </w:r>
            <w:r>
              <w:rPr>
                <w:rFonts w:hint="default" w:ascii="Times New Roman" w:hAnsi="Times New Roman" w:eastAsia="Times New Roman" w:cs="Times New Roman"/>
                <w:color w:val="FF0000"/>
                <w:sz w:val="21"/>
                <w:szCs w:val="22"/>
                <w:highlight w:val="none"/>
                <w:vertAlign w:val="subscript"/>
                <w:lang w:val="zh-CN" w:eastAsia="zh-CN" w:bidi="zh-CN"/>
              </w:rPr>
              <w:t>2</w:t>
            </w:r>
            <w:r>
              <w:rPr>
                <w:rFonts w:hint="default" w:ascii="Times New Roman" w:hAnsi="Times New Roman" w:eastAsia="Times New Roman" w:cs="Times New Roman"/>
                <w:color w:val="FF0000"/>
                <w:sz w:val="21"/>
                <w:szCs w:val="22"/>
                <w:highlight w:val="none"/>
                <w:lang w:val="zh-CN" w:eastAsia="zh-CN" w:bidi="zh-CN"/>
              </w:rPr>
              <w:t>S</w:t>
            </w:r>
            <w:r>
              <w:rPr>
                <w:rFonts w:hint="default" w:ascii="Times New Roman" w:hAnsi="Times New Roman" w:eastAsia="宋体" w:cs="Times New Roman"/>
                <w:color w:val="FF0000"/>
                <w:sz w:val="21"/>
                <w:szCs w:val="22"/>
                <w:highlight w:val="none"/>
                <w:lang w:val="zh-CN" w:eastAsia="zh-CN" w:bidi="zh-CN"/>
              </w:rPr>
              <w:t>、臭气浓度</w:t>
            </w:r>
          </w:p>
        </w:tc>
        <w:tc>
          <w:tcPr>
            <w:tcW w:w="1018" w:type="pct"/>
            <w:noWrap w:val="0"/>
            <w:vAlign w:val="center"/>
          </w:tcPr>
          <w:p w14:paraId="5EEC6542">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en-US" w:eastAsia="zh-CN" w:bidi="zh-CN"/>
              </w:rPr>
              <w:t>DA002排气筒</w:t>
            </w:r>
          </w:p>
        </w:tc>
        <w:tc>
          <w:tcPr>
            <w:tcW w:w="551" w:type="pct"/>
            <w:noWrap w:val="0"/>
            <w:vAlign w:val="center"/>
          </w:tcPr>
          <w:p w14:paraId="1B295AB4">
            <w:pPr>
              <w:widowControl w:val="0"/>
              <w:autoSpaceDE w:val="0"/>
              <w:autoSpaceDN w:val="0"/>
              <w:ind w:left="0" w:leftChars="0" w:right="-10" w:rightChars="0" w:firstLine="0" w:firstLineChars="0"/>
              <w:jc w:val="center"/>
              <w:rPr>
                <w:rFonts w:hint="default" w:ascii="Times New Roman" w:hAnsi="Times New Roman" w:eastAsia="Times New Roman" w:cs="Times New Roman"/>
                <w:color w:val="FF0000"/>
                <w:sz w:val="21"/>
                <w:szCs w:val="22"/>
                <w:highlight w:val="none"/>
                <w:lang w:val="en-US" w:eastAsia="zh-CN" w:bidi="zh-CN"/>
              </w:rPr>
            </w:pPr>
            <w:r>
              <w:rPr>
                <w:rFonts w:hint="default" w:ascii="Times New Roman" w:hAnsi="Times New Roman" w:eastAsia="Times New Roman" w:cs="Times New Roman"/>
                <w:color w:val="FF0000"/>
                <w:sz w:val="21"/>
                <w:szCs w:val="22"/>
                <w:highlight w:val="none"/>
                <w:lang w:val="zh-CN" w:eastAsia="zh-CN" w:bidi="zh-CN"/>
              </w:rPr>
              <w:t>1次/年</w:t>
            </w:r>
          </w:p>
        </w:tc>
        <w:tc>
          <w:tcPr>
            <w:tcW w:w="1958" w:type="pct"/>
            <w:noWrap w:val="0"/>
            <w:vAlign w:val="top"/>
          </w:tcPr>
          <w:p w14:paraId="258C81A9">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eastAsia="宋体" w:cs="Times New Roman"/>
                <w:color w:val="FF0000"/>
                <w:sz w:val="21"/>
                <w:szCs w:val="22"/>
                <w:highlight w:val="none"/>
                <w:lang w:val="en-US" w:eastAsia="zh-CN" w:bidi="zh-CN"/>
              </w:rPr>
              <w:t>《恶臭污染物排放标准》（GB14554-93）表 2 恶臭污染物排放标准值</w:t>
            </w:r>
          </w:p>
        </w:tc>
      </w:tr>
      <w:tr w14:paraId="6C30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369" w:type="pct"/>
            <w:vMerge w:val="continue"/>
            <w:noWrap w:val="0"/>
            <w:vAlign w:val="center"/>
          </w:tcPr>
          <w:p w14:paraId="02DB9F65">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p>
        </w:tc>
        <w:tc>
          <w:tcPr>
            <w:tcW w:w="405" w:type="pct"/>
            <w:noWrap w:val="0"/>
            <w:vAlign w:val="center"/>
          </w:tcPr>
          <w:p w14:paraId="56FC4B0D">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eastAsia="宋体" w:cs="Times New Roman"/>
                <w:color w:val="FF0000"/>
                <w:sz w:val="21"/>
                <w:szCs w:val="22"/>
                <w:highlight w:val="none"/>
                <w:lang w:val="en-US" w:eastAsia="zh-CN" w:bidi="zh-CN"/>
              </w:rPr>
              <w:t>厂界</w:t>
            </w:r>
          </w:p>
        </w:tc>
        <w:tc>
          <w:tcPr>
            <w:tcW w:w="697" w:type="pct"/>
            <w:noWrap w:val="0"/>
            <w:vAlign w:val="center"/>
          </w:tcPr>
          <w:p w14:paraId="24A7CB87">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eastAsia="Times New Roman" w:cs="Times New Roman"/>
                <w:color w:val="FF0000"/>
                <w:sz w:val="21"/>
                <w:szCs w:val="22"/>
                <w:highlight w:val="none"/>
                <w:lang w:val="zh-CN" w:eastAsia="zh-CN" w:bidi="zh-CN"/>
              </w:rPr>
              <w:t>NH</w:t>
            </w:r>
            <w:r>
              <w:rPr>
                <w:rFonts w:hint="default" w:ascii="Times New Roman" w:hAnsi="Times New Roman" w:eastAsia="Times New Roman" w:cs="Times New Roman"/>
                <w:color w:val="FF0000"/>
                <w:sz w:val="21"/>
                <w:szCs w:val="22"/>
                <w:highlight w:val="none"/>
                <w:vertAlign w:val="subscript"/>
                <w:lang w:val="zh-CN" w:eastAsia="zh-CN" w:bidi="zh-CN"/>
              </w:rPr>
              <w:t>3</w:t>
            </w:r>
            <w:r>
              <w:rPr>
                <w:rFonts w:hint="default" w:ascii="Times New Roman" w:hAnsi="Times New Roman" w:eastAsia="宋体" w:cs="Times New Roman"/>
                <w:color w:val="FF0000"/>
                <w:sz w:val="21"/>
                <w:szCs w:val="22"/>
                <w:highlight w:val="none"/>
                <w:lang w:val="zh-CN" w:eastAsia="zh-CN" w:bidi="zh-CN"/>
              </w:rPr>
              <w:t>、</w:t>
            </w:r>
            <w:r>
              <w:rPr>
                <w:rFonts w:hint="default" w:ascii="Times New Roman" w:hAnsi="Times New Roman" w:eastAsia="Times New Roman" w:cs="Times New Roman"/>
                <w:color w:val="FF0000"/>
                <w:sz w:val="21"/>
                <w:szCs w:val="22"/>
                <w:highlight w:val="none"/>
                <w:lang w:val="zh-CN" w:eastAsia="zh-CN" w:bidi="zh-CN"/>
              </w:rPr>
              <w:t>H</w:t>
            </w:r>
            <w:r>
              <w:rPr>
                <w:rFonts w:hint="default" w:ascii="Times New Roman" w:hAnsi="Times New Roman" w:eastAsia="Times New Roman" w:cs="Times New Roman"/>
                <w:color w:val="FF0000"/>
                <w:sz w:val="21"/>
                <w:szCs w:val="22"/>
                <w:highlight w:val="none"/>
                <w:vertAlign w:val="subscript"/>
                <w:lang w:val="zh-CN" w:eastAsia="zh-CN" w:bidi="zh-CN"/>
              </w:rPr>
              <w:t>2</w:t>
            </w:r>
            <w:r>
              <w:rPr>
                <w:rFonts w:hint="default" w:ascii="Times New Roman" w:hAnsi="Times New Roman" w:eastAsia="Times New Roman" w:cs="Times New Roman"/>
                <w:color w:val="FF0000"/>
                <w:sz w:val="21"/>
                <w:szCs w:val="22"/>
                <w:highlight w:val="none"/>
                <w:lang w:val="zh-CN" w:eastAsia="zh-CN" w:bidi="zh-CN"/>
              </w:rPr>
              <w:t>S</w:t>
            </w:r>
            <w:r>
              <w:rPr>
                <w:rFonts w:hint="default" w:ascii="Times New Roman" w:hAnsi="Times New Roman" w:eastAsia="宋体" w:cs="Times New Roman"/>
                <w:color w:val="FF0000"/>
                <w:sz w:val="21"/>
                <w:szCs w:val="22"/>
                <w:highlight w:val="none"/>
                <w:lang w:val="zh-CN" w:eastAsia="zh-CN" w:bidi="zh-CN"/>
              </w:rPr>
              <w:t>、臭气浓度、</w:t>
            </w:r>
            <w:r>
              <w:rPr>
                <w:rFonts w:hint="default" w:ascii="Times New Roman" w:hAnsi="Times New Roman" w:eastAsia="宋体" w:cs="Times New Roman"/>
                <w:color w:val="FF0000"/>
                <w:sz w:val="21"/>
                <w:szCs w:val="22"/>
                <w:highlight w:val="none"/>
                <w:lang w:val="en-US" w:eastAsia="zh-CN" w:bidi="zh-CN"/>
              </w:rPr>
              <w:t>颗粒物</w:t>
            </w:r>
          </w:p>
        </w:tc>
        <w:tc>
          <w:tcPr>
            <w:tcW w:w="1018" w:type="pct"/>
            <w:noWrap w:val="0"/>
            <w:vAlign w:val="center"/>
          </w:tcPr>
          <w:p w14:paraId="63798235">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zh-CN" w:eastAsia="zh-CN" w:bidi="zh-CN"/>
              </w:rPr>
              <w:t>厂界外10m内上风向一个参照点、下风向3个监控点</w:t>
            </w:r>
          </w:p>
        </w:tc>
        <w:tc>
          <w:tcPr>
            <w:tcW w:w="551" w:type="pct"/>
            <w:noWrap w:val="0"/>
            <w:vAlign w:val="center"/>
          </w:tcPr>
          <w:p w14:paraId="10346D96">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en-US" w:eastAsia="zh-CN" w:bidi="zh-CN"/>
              </w:rPr>
              <w:t>1</w:t>
            </w:r>
            <w:r>
              <w:rPr>
                <w:rFonts w:hint="default" w:ascii="Times New Roman" w:hAnsi="Times New Roman" w:eastAsia="宋体" w:cs="Times New Roman"/>
                <w:color w:val="FF0000"/>
                <w:sz w:val="21"/>
                <w:szCs w:val="22"/>
                <w:highlight w:val="none"/>
                <w:lang w:val="zh-CN" w:eastAsia="zh-CN" w:bidi="zh-CN"/>
              </w:rPr>
              <w:t>次</w:t>
            </w:r>
            <w:r>
              <w:rPr>
                <w:rFonts w:hint="default" w:ascii="Times New Roman" w:hAnsi="Times New Roman" w:eastAsia="Times New Roman" w:cs="Times New Roman"/>
                <w:color w:val="FF0000"/>
                <w:sz w:val="21"/>
                <w:szCs w:val="22"/>
                <w:highlight w:val="none"/>
                <w:lang w:val="zh-CN" w:eastAsia="zh-CN" w:bidi="zh-CN"/>
              </w:rPr>
              <w:t>/</w:t>
            </w:r>
            <w:r>
              <w:rPr>
                <w:rFonts w:hint="default" w:ascii="Times New Roman" w:hAnsi="Times New Roman" w:eastAsia="宋体" w:cs="Times New Roman"/>
                <w:color w:val="FF0000"/>
                <w:sz w:val="21"/>
                <w:szCs w:val="22"/>
                <w:highlight w:val="none"/>
                <w:lang w:val="en-US" w:eastAsia="zh-CN" w:bidi="zh-CN"/>
              </w:rPr>
              <w:t>半</w:t>
            </w:r>
            <w:r>
              <w:rPr>
                <w:rFonts w:hint="default" w:ascii="Times New Roman" w:hAnsi="Times New Roman" w:eastAsia="宋体" w:cs="Times New Roman"/>
                <w:color w:val="FF0000"/>
                <w:sz w:val="21"/>
                <w:szCs w:val="22"/>
                <w:highlight w:val="none"/>
                <w:lang w:val="zh-CN" w:eastAsia="zh-CN" w:bidi="zh-CN"/>
              </w:rPr>
              <w:t>年</w:t>
            </w:r>
          </w:p>
        </w:tc>
        <w:tc>
          <w:tcPr>
            <w:tcW w:w="1958" w:type="pct"/>
            <w:noWrap w:val="0"/>
            <w:vAlign w:val="center"/>
          </w:tcPr>
          <w:p w14:paraId="7461F8D5">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eastAsia="宋体" w:cs="Times New Roman"/>
                <w:color w:val="FF0000"/>
                <w:sz w:val="21"/>
                <w:szCs w:val="22"/>
                <w:highlight w:val="none"/>
                <w:lang w:val="en-US" w:eastAsia="zh-CN" w:bidi="zh-CN"/>
              </w:rPr>
              <w:t>《恶臭污染物污染物排放标准》（GB14554-93）和</w:t>
            </w:r>
            <w:r>
              <w:rPr>
                <w:rFonts w:hint="default" w:ascii="Times New Roman" w:hAnsi="Times New Roman" w:eastAsia="宋体" w:cs="Times New Roman"/>
                <w:color w:val="FF0000"/>
                <w:sz w:val="21"/>
                <w:szCs w:val="22"/>
                <w:highlight w:val="none"/>
                <w:lang w:val="zh-CN" w:eastAsia="zh-CN" w:bidi="zh-CN"/>
              </w:rPr>
              <w:t>《大气污染物综合排放标准》（</w:t>
            </w:r>
            <w:r>
              <w:rPr>
                <w:rFonts w:hint="default" w:ascii="Times New Roman" w:hAnsi="Times New Roman" w:eastAsia="Times New Roman" w:cs="Times New Roman"/>
                <w:color w:val="FF0000"/>
                <w:sz w:val="21"/>
                <w:szCs w:val="22"/>
                <w:highlight w:val="none"/>
                <w:lang w:val="zh-CN" w:eastAsia="zh-CN" w:bidi="zh-CN"/>
              </w:rPr>
              <w:t>GB16297-1996</w:t>
            </w:r>
            <w:r>
              <w:rPr>
                <w:rFonts w:hint="default" w:ascii="Times New Roman" w:hAnsi="Times New Roman" w:eastAsia="宋体" w:cs="Times New Roman"/>
                <w:color w:val="FF0000"/>
                <w:sz w:val="21"/>
                <w:szCs w:val="22"/>
                <w:highlight w:val="none"/>
                <w:lang w:val="zh-CN" w:eastAsia="zh-CN" w:bidi="zh-CN"/>
              </w:rPr>
              <w:t>）</w:t>
            </w:r>
          </w:p>
        </w:tc>
      </w:tr>
      <w:tr w14:paraId="3784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369" w:type="pct"/>
            <w:noWrap w:val="0"/>
            <w:vAlign w:val="center"/>
          </w:tcPr>
          <w:p w14:paraId="0F68E78A">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zh-CN" w:eastAsia="zh-CN" w:bidi="zh-CN"/>
              </w:rPr>
              <w:t>噪声</w:t>
            </w:r>
          </w:p>
        </w:tc>
        <w:tc>
          <w:tcPr>
            <w:tcW w:w="405" w:type="pct"/>
            <w:noWrap w:val="0"/>
            <w:vAlign w:val="center"/>
          </w:tcPr>
          <w:p w14:paraId="6A790AA3">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zh-CN" w:eastAsia="zh-CN" w:bidi="zh-CN"/>
              </w:rPr>
              <w:t>场界</w:t>
            </w:r>
          </w:p>
          <w:p w14:paraId="773D9842">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zh-CN" w:eastAsia="zh-CN" w:bidi="zh-CN"/>
              </w:rPr>
              <w:t>噪声</w:t>
            </w:r>
          </w:p>
        </w:tc>
        <w:tc>
          <w:tcPr>
            <w:tcW w:w="697" w:type="pct"/>
            <w:noWrap w:val="0"/>
            <w:vAlign w:val="center"/>
          </w:tcPr>
          <w:p w14:paraId="7138B3DC">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zh-CN" w:eastAsia="zh-CN" w:bidi="zh-CN"/>
              </w:rPr>
              <w:t>连续等效</w:t>
            </w:r>
            <w:r>
              <w:rPr>
                <w:rFonts w:hint="default" w:ascii="Times New Roman" w:hAnsi="Times New Roman" w:eastAsia="Times New Roman" w:cs="Times New Roman"/>
                <w:color w:val="FF0000"/>
                <w:sz w:val="21"/>
                <w:szCs w:val="22"/>
                <w:highlight w:val="none"/>
                <w:lang w:val="zh-CN" w:eastAsia="zh-CN" w:bidi="zh-CN"/>
              </w:rPr>
              <w:t>A</w:t>
            </w:r>
            <w:r>
              <w:rPr>
                <w:rFonts w:hint="default" w:ascii="Times New Roman" w:hAnsi="Times New Roman" w:eastAsia="宋体" w:cs="Times New Roman"/>
                <w:color w:val="FF0000"/>
                <w:sz w:val="21"/>
                <w:szCs w:val="22"/>
                <w:highlight w:val="none"/>
                <w:lang w:val="zh-CN" w:eastAsia="zh-CN" w:bidi="zh-CN"/>
              </w:rPr>
              <w:t>声级</w:t>
            </w:r>
          </w:p>
        </w:tc>
        <w:tc>
          <w:tcPr>
            <w:tcW w:w="1018" w:type="pct"/>
            <w:noWrap w:val="0"/>
            <w:vAlign w:val="center"/>
          </w:tcPr>
          <w:p w14:paraId="18FB5C20">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宋体" w:cs="Times New Roman"/>
                <w:color w:val="FF0000"/>
                <w:sz w:val="21"/>
                <w:szCs w:val="22"/>
                <w:highlight w:val="none"/>
                <w:lang w:val="zh-CN" w:eastAsia="zh-CN" w:bidi="zh-CN"/>
              </w:rPr>
              <w:t>项目区边界外</w:t>
            </w:r>
            <w:r>
              <w:rPr>
                <w:rFonts w:hint="default" w:ascii="Times New Roman" w:hAnsi="Times New Roman" w:eastAsia="Times New Roman" w:cs="Times New Roman"/>
                <w:color w:val="FF0000"/>
                <w:sz w:val="21"/>
                <w:szCs w:val="22"/>
                <w:highlight w:val="none"/>
                <w:lang w:val="zh-CN" w:eastAsia="zh-CN" w:bidi="zh-CN"/>
              </w:rPr>
              <w:t>1m</w:t>
            </w:r>
            <w:r>
              <w:rPr>
                <w:rFonts w:hint="default" w:ascii="Times New Roman" w:hAnsi="Times New Roman" w:eastAsia="宋体" w:cs="Times New Roman"/>
                <w:color w:val="FF0000"/>
                <w:sz w:val="21"/>
                <w:szCs w:val="22"/>
                <w:highlight w:val="none"/>
                <w:lang w:val="zh-CN" w:eastAsia="zh-CN" w:bidi="zh-CN"/>
              </w:rPr>
              <w:t>处</w:t>
            </w:r>
          </w:p>
        </w:tc>
        <w:tc>
          <w:tcPr>
            <w:tcW w:w="551" w:type="pct"/>
            <w:noWrap w:val="0"/>
            <w:vAlign w:val="center"/>
          </w:tcPr>
          <w:p w14:paraId="6307F6EE">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zh-CN" w:eastAsia="zh-CN" w:bidi="zh-CN"/>
              </w:rPr>
            </w:pPr>
            <w:r>
              <w:rPr>
                <w:rFonts w:hint="default" w:ascii="Times New Roman" w:hAnsi="Times New Roman" w:eastAsia="Times New Roman" w:cs="Times New Roman"/>
                <w:color w:val="FF0000"/>
                <w:sz w:val="21"/>
                <w:szCs w:val="22"/>
                <w:highlight w:val="none"/>
                <w:lang w:val="zh-CN" w:eastAsia="zh-CN" w:bidi="zh-CN"/>
              </w:rPr>
              <w:t>1</w:t>
            </w:r>
            <w:r>
              <w:rPr>
                <w:rFonts w:hint="default" w:ascii="Times New Roman" w:hAnsi="Times New Roman" w:eastAsia="宋体" w:cs="Times New Roman"/>
                <w:color w:val="FF0000"/>
                <w:sz w:val="21"/>
                <w:szCs w:val="22"/>
                <w:highlight w:val="none"/>
                <w:lang w:val="en-US" w:eastAsia="zh-CN" w:bidi="zh-CN"/>
              </w:rPr>
              <w:t>季度</w:t>
            </w:r>
            <w:r>
              <w:rPr>
                <w:rFonts w:hint="default" w:ascii="Times New Roman" w:hAnsi="Times New Roman" w:eastAsia="Times New Roman" w:cs="Times New Roman"/>
                <w:color w:val="FF0000"/>
                <w:sz w:val="21"/>
                <w:szCs w:val="22"/>
                <w:highlight w:val="none"/>
                <w:lang w:val="zh-CN" w:eastAsia="zh-CN" w:bidi="zh-CN"/>
              </w:rPr>
              <w:t>/</w:t>
            </w:r>
            <w:r>
              <w:rPr>
                <w:rFonts w:hint="default" w:ascii="Times New Roman" w:hAnsi="Times New Roman" w:eastAsia="宋体" w:cs="Times New Roman"/>
                <w:color w:val="FF0000"/>
                <w:sz w:val="21"/>
                <w:szCs w:val="22"/>
                <w:highlight w:val="none"/>
                <w:lang w:val="zh-CN" w:eastAsia="zh-CN" w:bidi="zh-CN"/>
              </w:rPr>
              <w:t>年</w:t>
            </w:r>
          </w:p>
        </w:tc>
        <w:tc>
          <w:tcPr>
            <w:tcW w:w="1958" w:type="pct"/>
            <w:noWrap w:val="0"/>
            <w:vAlign w:val="center"/>
          </w:tcPr>
          <w:p w14:paraId="459F90FA">
            <w:pPr>
              <w:widowControl w:val="0"/>
              <w:autoSpaceDE w:val="0"/>
              <w:autoSpaceDN w:val="0"/>
              <w:ind w:left="0" w:leftChars="0" w:right="-10" w:rightChars="0" w:firstLine="0" w:firstLineChars="0"/>
              <w:jc w:val="center"/>
              <w:rPr>
                <w:rFonts w:hint="default" w:ascii="Times New Roman" w:hAnsi="Times New Roman" w:eastAsia="宋体" w:cs="Times New Roman"/>
                <w:color w:val="FF0000"/>
                <w:sz w:val="21"/>
                <w:szCs w:val="22"/>
                <w:highlight w:val="none"/>
                <w:lang w:val="en-US" w:eastAsia="zh-CN" w:bidi="zh-CN"/>
              </w:rPr>
            </w:pPr>
            <w:r>
              <w:rPr>
                <w:rFonts w:hint="default" w:ascii="Times New Roman" w:hAnsi="Times New Roman" w:eastAsia="宋体" w:cs="Times New Roman"/>
                <w:color w:val="FF0000"/>
                <w:sz w:val="21"/>
                <w:szCs w:val="22"/>
                <w:highlight w:val="none"/>
                <w:lang w:val="zh-CN" w:eastAsia="zh-CN" w:bidi="zh-CN"/>
              </w:rPr>
              <w:t>《工业企业厂界环境噪声排放标准》（</w:t>
            </w:r>
            <w:r>
              <w:rPr>
                <w:rFonts w:hint="default" w:ascii="Times New Roman" w:hAnsi="Times New Roman" w:eastAsia="Times New Roman" w:cs="Times New Roman"/>
                <w:color w:val="FF0000"/>
                <w:sz w:val="21"/>
                <w:szCs w:val="22"/>
                <w:highlight w:val="none"/>
                <w:lang w:val="zh-CN" w:eastAsia="zh-CN" w:bidi="zh-CN"/>
              </w:rPr>
              <w:t>GB12348-2008</w:t>
            </w:r>
            <w:r>
              <w:rPr>
                <w:rFonts w:hint="default" w:ascii="Times New Roman" w:hAnsi="Times New Roman" w:eastAsia="宋体" w:cs="Times New Roman"/>
                <w:color w:val="FF0000"/>
                <w:sz w:val="21"/>
                <w:szCs w:val="22"/>
                <w:highlight w:val="none"/>
                <w:lang w:val="zh-CN" w:eastAsia="zh-CN" w:bidi="zh-CN"/>
              </w:rPr>
              <w:t>）</w:t>
            </w:r>
            <w:r>
              <w:rPr>
                <w:rFonts w:hint="default" w:ascii="Times New Roman" w:hAnsi="Times New Roman" w:eastAsia="宋体" w:cs="Times New Roman"/>
                <w:color w:val="FF0000"/>
                <w:sz w:val="21"/>
                <w:szCs w:val="22"/>
                <w:highlight w:val="none"/>
                <w:lang w:val="en-US" w:eastAsia="zh-CN" w:bidi="zh-CN"/>
              </w:rPr>
              <w:t>2类标准</w:t>
            </w:r>
          </w:p>
        </w:tc>
      </w:tr>
    </w:tbl>
    <w:p w14:paraId="60007254">
      <w:pPr>
        <w:pStyle w:val="16"/>
        <w:bidi w:val="0"/>
        <w:rPr>
          <w:rFonts w:hint="default" w:ascii="Times New Roman" w:hAnsi="Times New Roman" w:cs="Times New Roman"/>
          <w:color w:val="auto"/>
        </w:rPr>
      </w:pPr>
      <w:r>
        <w:rPr>
          <w:rFonts w:hint="default" w:ascii="Times New Roman" w:hAnsi="Times New Roman" w:cs="Times New Roman"/>
          <w:color w:val="FF0000"/>
        </w:rPr>
        <w:t>本项目环境监测数据分析</w:t>
      </w:r>
      <w:r>
        <w:rPr>
          <w:rFonts w:hint="default" w:ascii="Times New Roman" w:hAnsi="Times New Roman" w:cs="Times New Roman"/>
          <w:color w:val="auto"/>
        </w:rPr>
        <w:t>和处理遵循以下原则：（1）建立合理可</w:t>
      </w:r>
      <w:r>
        <w:rPr>
          <w:rFonts w:hint="default" w:ascii="Times New Roman" w:hAnsi="Times New Roman" w:cs="Times New Roman"/>
          <w:color w:val="auto"/>
          <w:lang w:eastAsia="zh-CN"/>
        </w:rPr>
        <w:t>行的</w:t>
      </w:r>
      <w:r>
        <w:rPr>
          <w:rFonts w:hint="default" w:ascii="Times New Roman" w:hAnsi="Times New Roman" w:cs="Times New Roman"/>
          <w:color w:val="auto"/>
        </w:rPr>
        <w:t>环境监测质量保证措施，保证监测数据客观、公正、准确、可靠、不受行政</w:t>
      </w:r>
      <w:r>
        <w:rPr>
          <w:rFonts w:hint="default" w:ascii="Times New Roman" w:hAnsi="Times New Roman" w:cs="Times New Roman"/>
          <w:color w:val="auto"/>
          <w:lang w:eastAsia="zh-CN"/>
        </w:rPr>
        <w:t>和其他</w:t>
      </w:r>
      <w:r>
        <w:rPr>
          <w:rFonts w:hint="default" w:ascii="Times New Roman" w:hAnsi="Times New Roman" w:cs="Times New Roman"/>
          <w:color w:val="auto"/>
        </w:rPr>
        <w:t>因素的干预；（2）建立环境监测资料档案；（3）定期对监测数据进行综合分析，以掌握废气、废水、噪声等达标排放的情况；（4）监测过</w:t>
      </w:r>
      <w:r>
        <w:rPr>
          <w:rFonts w:hint="default" w:ascii="Times New Roman" w:hAnsi="Times New Roman" w:cs="Times New Roman"/>
          <w:color w:val="auto"/>
          <w:lang w:eastAsia="zh-CN"/>
        </w:rPr>
        <w:t>程中</w:t>
      </w:r>
      <w:r>
        <w:rPr>
          <w:rFonts w:hint="default" w:ascii="Times New Roman" w:hAnsi="Times New Roman" w:cs="Times New Roman"/>
          <w:color w:val="auto"/>
        </w:rPr>
        <w:t>发现某参数有超标异常情况，应当分析原因以及时采取改进或减少污染的控制措施。</w:t>
      </w:r>
    </w:p>
    <w:p w14:paraId="214C8FD6">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污染物排放口（源）挂牌标识</w:t>
      </w:r>
    </w:p>
    <w:p w14:paraId="684B44CE">
      <w:pPr>
        <w:pStyle w:val="16"/>
        <w:bidi w:val="0"/>
        <w:rPr>
          <w:rFonts w:hint="default" w:ascii="Times New Roman" w:hAnsi="Times New Roman" w:cs="Times New Roman"/>
          <w:color w:val="auto"/>
        </w:rPr>
      </w:pPr>
      <w:r>
        <w:rPr>
          <w:rFonts w:hint="default" w:ascii="Times New Roman" w:hAnsi="Times New Roman" w:cs="Times New Roman"/>
          <w:color w:val="auto"/>
        </w:rPr>
        <w:t>本项目应按《环境保护图形标志—排放口（源）》（GB15562.1-1995）、《</w:t>
      </w:r>
      <w:r>
        <w:rPr>
          <w:rFonts w:hint="default" w:ascii="Times New Roman" w:hAnsi="Times New Roman" w:cs="Times New Roman"/>
          <w:color w:val="auto"/>
          <w:lang w:eastAsia="zh-CN"/>
        </w:rPr>
        <w:t>环境保护图形标志固体废物贮存（处置）场</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GB15562.2-</w:t>
      </w:r>
      <w:r>
        <w:rPr>
          <w:rFonts w:hint="default" w:ascii="Times New Roman" w:hAnsi="Times New Roman" w:cs="Times New Roman"/>
          <w:color w:val="auto"/>
          <w:lang w:val="en-US" w:eastAsia="zh-CN"/>
        </w:rPr>
        <w:t>2023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修改单</w:t>
      </w:r>
      <w:r>
        <w:rPr>
          <w:rFonts w:hint="default" w:ascii="Times New Roman" w:hAnsi="Times New Roman" w:cs="Times New Roman"/>
          <w:color w:val="auto"/>
        </w:rPr>
        <w:t>规定的图形，在各气、水、声排污口（源）挂牌标识，做到各排污口（源）的环保标志明显，便于企业管理和公众监督。</w:t>
      </w:r>
    </w:p>
    <w:p w14:paraId="15A8A87A">
      <w:pPr>
        <w:pStyle w:val="16"/>
        <w:bidi w:val="0"/>
        <w:rPr>
          <w:rFonts w:hint="default" w:ascii="Times New Roman" w:hAnsi="Times New Roman" w:cs="Times New Roman"/>
          <w:color w:val="auto"/>
        </w:rPr>
      </w:pPr>
      <w:r>
        <w:rPr>
          <w:rFonts w:hint="default" w:ascii="Times New Roman" w:hAnsi="Times New Roman" w:cs="Times New Roman"/>
          <w:color w:val="auto"/>
        </w:rPr>
        <w:t>列入总量控制污染物的排污口为管理的重点，排污口应便于采样与计量监测，便于日常现场监督检查。排污口位置必须合理确定，按环监</w:t>
      </w:r>
      <w:r>
        <w:rPr>
          <w:rFonts w:hint="default" w:ascii="Times New Roman" w:hAnsi="Times New Roman" w:cs="Times New Roman"/>
          <w:color w:val="auto"/>
          <w:lang w:eastAsia="zh-CN"/>
        </w:rPr>
        <w:t>〔1996〕470号</w:t>
      </w:r>
      <w:r>
        <w:rPr>
          <w:rFonts w:hint="default" w:ascii="Times New Roman" w:hAnsi="Times New Roman" w:cs="Times New Roman"/>
          <w:color w:val="auto"/>
        </w:rPr>
        <w:t>文件要求进行规范化管理。</w:t>
      </w:r>
    </w:p>
    <w:p w14:paraId="58E83DB1">
      <w:pPr>
        <w:pStyle w:val="16"/>
        <w:bidi w:val="0"/>
        <w:rPr>
          <w:rFonts w:hint="default" w:ascii="Times New Roman" w:hAnsi="Times New Roman" w:cs="Times New Roman"/>
          <w:color w:val="auto"/>
        </w:rPr>
      </w:pPr>
      <w:r>
        <w:rPr>
          <w:rFonts w:hint="default" w:ascii="Times New Roman" w:hAnsi="Times New Roman" w:cs="Times New Roman"/>
          <w:color w:val="auto"/>
        </w:rPr>
        <w:t>污染物排放口的环保图形标志牌应设置在靠近采样点的醒目位置处，标志牌设置高度为其上缘距地面约2m。</w:t>
      </w:r>
    </w:p>
    <w:p w14:paraId="2301B557">
      <w:pPr>
        <w:pStyle w:val="16"/>
        <w:bidi w:val="0"/>
        <w:rPr>
          <w:rFonts w:hint="default" w:ascii="Times New Roman" w:hAnsi="Times New Roman" w:cs="Times New Roman"/>
          <w:color w:val="auto"/>
        </w:rPr>
      </w:pPr>
      <w:r>
        <w:rPr>
          <w:rFonts w:hint="default" w:ascii="Times New Roman" w:hAnsi="Times New Roman" w:cs="Times New Roman"/>
          <w:color w:val="auto"/>
        </w:rPr>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14:paraId="1834E643">
      <w:pPr>
        <w:pStyle w:val="16"/>
        <w:bidi w:val="0"/>
        <w:rPr>
          <w:rFonts w:hint="default" w:ascii="Times New Roman" w:hAnsi="Times New Roman" w:cs="Times New Roman"/>
          <w:color w:val="auto"/>
        </w:rPr>
      </w:pPr>
      <w:r>
        <w:rPr>
          <w:rFonts w:hint="default" w:ascii="Times New Roman" w:hAnsi="Times New Roman" w:cs="Times New Roman"/>
          <w:color w:val="auto"/>
        </w:rPr>
        <w:t>环境保护图形标志具体设置图形见表8.</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3至8.2-4</w:t>
      </w:r>
      <w:r>
        <w:rPr>
          <w:rFonts w:hint="default" w:ascii="Times New Roman" w:hAnsi="Times New Roman" w:cs="Times New Roman"/>
          <w:color w:val="auto"/>
        </w:rPr>
        <w:t>。</w:t>
      </w:r>
    </w:p>
    <w:p w14:paraId="38206842">
      <w:pPr>
        <w:pStyle w:val="14"/>
        <w:bidi w:val="0"/>
        <w:rPr>
          <w:rFonts w:hint="default" w:ascii="Times New Roman" w:hAnsi="Times New Roman" w:cs="Times New Roman"/>
          <w:b/>
          <w:bCs w:val="0"/>
          <w:color w:val="auto"/>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color w:val="auto"/>
        </w:rPr>
        <w:tab/>
      </w:r>
      <w:r>
        <w:rPr>
          <w:rFonts w:hint="default" w:ascii="Times New Roman" w:hAnsi="Times New Roman" w:cs="Times New Roman"/>
          <w:color w:val="auto"/>
        </w:rPr>
        <w:t>环境保护图形标志设置图形表</w:t>
      </w:r>
    </w:p>
    <w:tbl>
      <w:tblPr>
        <w:tblStyle w:val="33"/>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143"/>
        <w:gridCol w:w="1803"/>
        <w:gridCol w:w="1803"/>
        <w:gridCol w:w="1944"/>
        <w:gridCol w:w="1839"/>
      </w:tblGrid>
      <w:tr w14:paraId="25DFD5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1378" w:type="dxa"/>
            <w:tcBorders>
              <w:tl2br w:val="nil"/>
              <w:tr2bl w:val="nil"/>
            </w:tcBorders>
            <w:noWrap w:val="0"/>
            <w:vAlign w:val="center"/>
          </w:tcPr>
          <w:p w14:paraId="457ADE15">
            <w:pPr>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排放口</w:t>
            </w:r>
          </w:p>
        </w:tc>
        <w:tc>
          <w:tcPr>
            <w:tcW w:w="1831" w:type="dxa"/>
            <w:tcBorders>
              <w:tl2br w:val="nil"/>
              <w:tr2bl w:val="nil"/>
            </w:tcBorders>
            <w:noWrap w:val="0"/>
            <w:vAlign w:val="center"/>
          </w:tcPr>
          <w:p w14:paraId="5C421BCD">
            <w:pPr>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废水排放口</w:t>
            </w:r>
          </w:p>
        </w:tc>
        <w:tc>
          <w:tcPr>
            <w:tcW w:w="1831" w:type="dxa"/>
            <w:tcBorders>
              <w:tl2br w:val="nil"/>
              <w:tr2bl w:val="nil"/>
            </w:tcBorders>
            <w:noWrap w:val="0"/>
            <w:vAlign w:val="center"/>
          </w:tcPr>
          <w:p w14:paraId="3C2267A6">
            <w:pPr>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废气排放口</w:t>
            </w:r>
          </w:p>
        </w:tc>
        <w:tc>
          <w:tcPr>
            <w:tcW w:w="2018" w:type="dxa"/>
            <w:tcBorders>
              <w:tl2br w:val="nil"/>
              <w:tr2bl w:val="nil"/>
            </w:tcBorders>
            <w:noWrap w:val="0"/>
            <w:vAlign w:val="center"/>
          </w:tcPr>
          <w:p w14:paraId="6796AC23">
            <w:pPr>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噪声排放源</w:t>
            </w:r>
          </w:p>
        </w:tc>
        <w:tc>
          <w:tcPr>
            <w:tcW w:w="1870" w:type="dxa"/>
            <w:tcBorders>
              <w:tl2br w:val="nil"/>
              <w:tr2bl w:val="nil"/>
            </w:tcBorders>
            <w:noWrap w:val="0"/>
            <w:vAlign w:val="center"/>
          </w:tcPr>
          <w:p w14:paraId="0B5624AE">
            <w:pPr>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固体废物</w:t>
            </w:r>
          </w:p>
        </w:tc>
      </w:tr>
      <w:tr w14:paraId="1F1B5F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1378" w:type="dxa"/>
            <w:tcBorders>
              <w:tl2br w:val="nil"/>
              <w:tr2bl w:val="nil"/>
            </w:tcBorders>
            <w:noWrap w:val="0"/>
            <w:vAlign w:val="center"/>
          </w:tcPr>
          <w:p w14:paraId="59BEB17C">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图形符号</w:t>
            </w:r>
          </w:p>
        </w:tc>
        <w:tc>
          <w:tcPr>
            <w:tcW w:w="1831" w:type="dxa"/>
            <w:tcBorders>
              <w:tl2br w:val="nil"/>
              <w:tr2bl w:val="nil"/>
            </w:tcBorders>
            <w:noWrap w:val="0"/>
            <w:vAlign w:val="center"/>
          </w:tcPr>
          <w:p w14:paraId="51AB1AD2">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52500" cy="952500"/>
                  <wp:effectExtent l="0" t="0" r="0" b="0"/>
                  <wp:docPr id="65" name="图片 274"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4" descr="点击看大图及详细资料"/>
                          <pic:cNvPicPr>
                            <a:picLocks noChangeAspect="1"/>
                          </pic:cNvPicPr>
                        </pic:nvPicPr>
                        <pic:blipFill>
                          <a:blip r:embed="rId39"/>
                          <a:stretch>
                            <a:fillRect/>
                          </a:stretch>
                        </pic:blipFill>
                        <pic:spPr>
                          <a:xfrm>
                            <a:off x="0" y="0"/>
                            <a:ext cx="952500" cy="952500"/>
                          </a:xfrm>
                          <a:prstGeom prst="rect">
                            <a:avLst/>
                          </a:prstGeom>
                          <a:noFill/>
                          <a:ln>
                            <a:noFill/>
                          </a:ln>
                        </pic:spPr>
                      </pic:pic>
                    </a:graphicData>
                  </a:graphic>
                </wp:inline>
              </w:drawing>
            </w:r>
          </w:p>
        </w:tc>
        <w:tc>
          <w:tcPr>
            <w:tcW w:w="1831" w:type="dxa"/>
            <w:tcBorders>
              <w:tl2br w:val="nil"/>
              <w:tr2bl w:val="nil"/>
            </w:tcBorders>
            <w:noWrap w:val="0"/>
            <w:vAlign w:val="center"/>
          </w:tcPr>
          <w:p w14:paraId="72096474">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52500" cy="952500"/>
                  <wp:effectExtent l="0" t="0" r="0" b="0"/>
                  <wp:docPr id="66" name="图片 273"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3" descr="点击看大图及详细资料"/>
                          <pic:cNvPicPr>
                            <a:picLocks noChangeAspect="1"/>
                          </pic:cNvPicPr>
                        </pic:nvPicPr>
                        <pic:blipFill>
                          <a:blip r:embed="rId40"/>
                          <a:stretch>
                            <a:fillRect/>
                          </a:stretch>
                        </pic:blipFill>
                        <pic:spPr>
                          <a:xfrm>
                            <a:off x="0" y="0"/>
                            <a:ext cx="952500" cy="952500"/>
                          </a:xfrm>
                          <a:prstGeom prst="rect">
                            <a:avLst/>
                          </a:prstGeom>
                          <a:noFill/>
                          <a:ln>
                            <a:noFill/>
                          </a:ln>
                        </pic:spPr>
                      </pic:pic>
                    </a:graphicData>
                  </a:graphic>
                </wp:inline>
              </w:drawing>
            </w:r>
          </w:p>
        </w:tc>
        <w:tc>
          <w:tcPr>
            <w:tcW w:w="2018" w:type="dxa"/>
            <w:tcBorders>
              <w:tl2br w:val="nil"/>
              <w:tr2bl w:val="nil"/>
            </w:tcBorders>
            <w:noWrap w:val="0"/>
            <w:vAlign w:val="center"/>
          </w:tcPr>
          <w:p w14:paraId="62E966AB">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52500" cy="952500"/>
                  <wp:effectExtent l="0" t="0" r="0" b="0"/>
                  <wp:docPr id="67" name="图片 272"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2" descr="点击看大图及详细资料"/>
                          <pic:cNvPicPr>
                            <a:picLocks noChangeAspect="1"/>
                          </pic:cNvPicPr>
                        </pic:nvPicPr>
                        <pic:blipFill>
                          <a:blip r:embed="rId41"/>
                          <a:stretch>
                            <a:fillRect/>
                          </a:stretch>
                        </pic:blipFill>
                        <pic:spPr>
                          <a:xfrm>
                            <a:off x="0" y="0"/>
                            <a:ext cx="952500" cy="952500"/>
                          </a:xfrm>
                          <a:prstGeom prst="rect">
                            <a:avLst/>
                          </a:prstGeom>
                          <a:noFill/>
                          <a:ln>
                            <a:noFill/>
                          </a:ln>
                        </pic:spPr>
                      </pic:pic>
                    </a:graphicData>
                  </a:graphic>
                </wp:inline>
              </w:drawing>
            </w:r>
          </w:p>
        </w:tc>
        <w:tc>
          <w:tcPr>
            <w:tcW w:w="1870" w:type="dxa"/>
            <w:tcBorders>
              <w:tl2br w:val="nil"/>
              <w:tr2bl w:val="nil"/>
            </w:tcBorders>
            <w:noWrap w:val="0"/>
            <w:vAlign w:val="center"/>
          </w:tcPr>
          <w:p w14:paraId="2C1488A2">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62025" cy="937260"/>
                  <wp:effectExtent l="0" t="0" r="9525" b="15240"/>
                  <wp:docPr id="68" name="图片 271"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1" descr="点击看大图及详细资料"/>
                          <pic:cNvPicPr>
                            <a:picLocks noChangeAspect="1"/>
                          </pic:cNvPicPr>
                        </pic:nvPicPr>
                        <pic:blipFill>
                          <a:blip r:embed="rId42"/>
                          <a:stretch>
                            <a:fillRect/>
                          </a:stretch>
                        </pic:blipFill>
                        <pic:spPr>
                          <a:xfrm>
                            <a:off x="0" y="0"/>
                            <a:ext cx="962025" cy="937260"/>
                          </a:xfrm>
                          <a:prstGeom prst="rect">
                            <a:avLst/>
                          </a:prstGeom>
                          <a:noFill/>
                          <a:ln>
                            <a:noFill/>
                          </a:ln>
                        </pic:spPr>
                      </pic:pic>
                    </a:graphicData>
                  </a:graphic>
                </wp:inline>
              </w:drawing>
            </w:r>
          </w:p>
        </w:tc>
      </w:tr>
      <w:tr w14:paraId="421154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1378" w:type="dxa"/>
            <w:tcBorders>
              <w:tl2br w:val="nil"/>
              <w:tr2bl w:val="nil"/>
            </w:tcBorders>
            <w:noWrap w:val="0"/>
            <w:vAlign w:val="center"/>
          </w:tcPr>
          <w:p w14:paraId="687E7502">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背景颜色</w:t>
            </w:r>
          </w:p>
        </w:tc>
        <w:tc>
          <w:tcPr>
            <w:tcW w:w="7550" w:type="dxa"/>
            <w:gridSpan w:val="4"/>
            <w:tcBorders>
              <w:tl2br w:val="nil"/>
              <w:tr2bl w:val="nil"/>
            </w:tcBorders>
            <w:noWrap w:val="0"/>
            <w:vAlign w:val="center"/>
          </w:tcPr>
          <w:p w14:paraId="7CA87D89">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绿色</w:t>
            </w:r>
          </w:p>
        </w:tc>
      </w:tr>
      <w:tr w14:paraId="2302D6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1378" w:type="dxa"/>
            <w:tcBorders>
              <w:tl2br w:val="nil"/>
              <w:tr2bl w:val="nil"/>
            </w:tcBorders>
            <w:noWrap w:val="0"/>
            <w:vAlign w:val="center"/>
          </w:tcPr>
          <w:p w14:paraId="7CFC37DD">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图形颜色</w:t>
            </w:r>
          </w:p>
        </w:tc>
        <w:tc>
          <w:tcPr>
            <w:tcW w:w="7550" w:type="dxa"/>
            <w:gridSpan w:val="4"/>
            <w:tcBorders>
              <w:tl2br w:val="nil"/>
              <w:tr2bl w:val="nil"/>
            </w:tcBorders>
            <w:noWrap w:val="0"/>
            <w:vAlign w:val="center"/>
          </w:tcPr>
          <w:p w14:paraId="262DF979">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白色</w:t>
            </w:r>
          </w:p>
        </w:tc>
      </w:tr>
    </w:tbl>
    <w:p w14:paraId="63876E5A">
      <w:pPr>
        <w:pStyle w:val="14"/>
        <w:bidi w:val="0"/>
        <w:rPr>
          <w:rFonts w:hint="default" w:ascii="Times New Roman" w:hAnsi="Times New Roman" w:cs="Times New Roman"/>
          <w:lang w:val="zh-CN" w:eastAsia="zh-C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lang w:val="zh-CN" w:eastAsia="zh-CN"/>
        </w:rPr>
        <w:t>排污口警告图形符号</w:t>
      </w:r>
    </w:p>
    <w:tbl>
      <w:tblPr>
        <w:tblStyle w:val="33"/>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303"/>
        <w:gridCol w:w="1716"/>
        <w:gridCol w:w="1847"/>
        <w:gridCol w:w="1850"/>
        <w:gridCol w:w="1816"/>
      </w:tblGrid>
      <w:tr w14:paraId="502AEB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767" w:type="pct"/>
            <w:tcBorders>
              <w:tl2br w:val="nil"/>
              <w:tr2bl w:val="nil"/>
            </w:tcBorders>
            <w:noWrap w:val="0"/>
            <w:vAlign w:val="center"/>
          </w:tcPr>
          <w:p w14:paraId="7D69939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w:t>
            </w:r>
          </w:p>
        </w:tc>
        <w:tc>
          <w:tcPr>
            <w:tcW w:w="993" w:type="pct"/>
            <w:tcBorders>
              <w:tl2br w:val="nil"/>
              <w:tr2bl w:val="nil"/>
            </w:tcBorders>
            <w:noWrap w:val="0"/>
            <w:vAlign w:val="center"/>
          </w:tcPr>
          <w:p w14:paraId="6771F2A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废水排放口</w:t>
            </w:r>
          </w:p>
        </w:tc>
        <w:tc>
          <w:tcPr>
            <w:tcW w:w="1086" w:type="pct"/>
            <w:tcBorders>
              <w:tl2br w:val="nil"/>
              <w:tr2bl w:val="nil"/>
            </w:tcBorders>
            <w:noWrap w:val="0"/>
            <w:vAlign w:val="center"/>
          </w:tcPr>
          <w:p w14:paraId="0E2E2C6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废气排放口</w:t>
            </w:r>
          </w:p>
        </w:tc>
        <w:tc>
          <w:tcPr>
            <w:tcW w:w="1087" w:type="pct"/>
            <w:tcBorders>
              <w:tl2br w:val="nil"/>
              <w:tr2bl w:val="nil"/>
            </w:tcBorders>
            <w:noWrap w:val="0"/>
            <w:vAlign w:val="center"/>
          </w:tcPr>
          <w:p w14:paraId="4027453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噪声排放源</w:t>
            </w:r>
          </w:p>
        </w:tc>
        <w:tc>
          <w:tcPr>
            <w:tcW w:w="1068" w:type="pct"/>
            <w:tcBorders>
              <w:tl2br w:val="nil"/>
              <w:tr2bl w:val="nil"/>
            </w:tcBorders>
            <w:noWrap w:val="0"/>
            <w:vAlign w:val="center"/>
          </w:tcPr>
          <w:p w14:paraId="07D19BB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一般固体废物</w:t>
            </w:r>
          </w:p>
        </w:tc>
      </w:tr>
      <w:tr w14:paraId="6C5C65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618" w:hRule="atLeast"/>
        </w:trPr>
        <w:tc>
          <w:tcPr>
            <w:tcW w:w="767" w:type="pct"/>
            <w:tcBorders>
              <w:tl2br w:val="nil"/>
              <w:tr2bl w:val="nil"/>
            </w:tcBorders>
            <w:noWrap w:val="0"/>
            <w:vAlign w:val="center"/>
          </w:tcPr>
          <w:p w14:paraId="3DD4C361">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图形符号</w:t>
            </w:r>
          </w:p>
        </w:tc>
        <w:tc>
          <w:tcPr>
            <w:tcW w:w="993" w:type="pct"/>
            <w:tcBorders>
              <w:tl2br w:val="nil"/>
              <w:tr2bl w:val="nil"/>
            </w:tcBorders>
            <w:noWrap w:val="0"/>
            <w:vAlign w:val="center"/>
          </w:tcPr>
          <w:p w14:paraId="7C1DE764">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37895" cy="825500"/>
                  <wp:effectExtent l="0" t="0" r="14605" b="12700"/>
                  <wp:docPr id="69" name="图片 284"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84" descr="点击看大图及详细资料"/>
                          <pic:cNvPicPr>
                            <a:picLocks noChangeAspect="1"/>
                          </pic:cNvPicPr>
                        </pic:nvPicPr>
                        <pic:blipFill>
                          <a:blip r:embed="rId43"/>
                          <a:stretch>
                            <a:fillRect/>
                          </a:stretch>
                        </pic:blipFill>
                        <pic:spPr>
                          <a:xfrm>
                            <a:off x="0" y="0"/>
                            <a:ext cx="937895" cy="825500"/>
                          </a:xfrm>
                          <a:prstGeom prst="rect">
                            <a:avLst/>
                          </a:prstGeom>
                          <a:noFill/>
                          <a:ln>
                            <a:noFill/>
                          </a:ln>
                        </pic:spPr>
                      </pic:pic>
                    </a:graphicData>
                  </a:graphic>
                </wp:inline>
              </w:drawing>
            </w:r>
          </w:p>
        </w:tc>
        <w:tc>
          <w:tcPr>
            <w:tcW w:w="1086" w:type="pct"/>
            <w:tcBorders>
              <w:tl2br w:val="nil"/>
              <w:tr2bl w:val="nil"/>
            </w:tcBorders>
            <w:noWrap w:val="0"/>
            <w:vAlign w:val="center"/>
          </w:tcPr>
          <w:p w14:paraId="02079201">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001395" cy="880745"/>
                  <wp:effectExtent l="0" t="0" r="8255" b="14605"/>
                  <wp:docPr id="70" name="图片 283"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3" descr="点击看大图及详细资料"/>
                          <pic:cNvPicPr>
                            <a:picLocks noChangeAspect="1"/>
                          </pic:cNvPicPr>
                        </pic:nvPicPr>
                        <pic:blipFill>
                          <a:blip r:embed="rId44"/>
                          <a:stretch>
                            <a:fillRect/>
                          </a:stretch>
                        </pic:blipFill>
                        <pic:spPr>
                          <a:xfrm>
                            <a:off x="0" y="0"/>
                            <a:ext cx="1001395" cy="880745"/>
                          </a:xfrm>
                          <a:prstGeom prst="rect">
                            <a:avLst/>
                          </a:prstGeom>
                          <a:noFill/>
                          <a:ln>
                            <a:noFill/>
                          </a:ln>
                        </pic:spPr>
                      </pic:pic>
                    </a:graphicData>
                  </a:graphic>
                </wp:inline>
              </w:drawing>
            </w:r>
          </w:p>
        </w:tc>
        <w:tc>
          <w:tcPr>
            <w:tcW w:w="1087" w:type="pct"/>
            <w:tcBorders>
              <w:tl2br w:val="nil"/>
              <w:tr2bl w:val="nil"/>
            </w:tcBorders>
            <w:noWrap w:val="0"/>
            <w:vAlign w:val="center"/>
          </w:tcPr>
          <w:p w14:paraId="149CCF27">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88695" cy="869950"/>
                  <wp:effectExtent l="0" t="0" r="1905" b="6350"/>
                  <wp:docPr id="71" name="图片 282"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2" descr="点击看大图及详细资料"/>
                          <pic:cNvPicPr>
                            <a:picLocks noChangeAspect="1"/>
                          </pic:cNvPicPr>
                        </pic:nvPicPr>
                        <pic:blipFill>
                          <a:blip r:embed="rId45"/>
                          <a:stretch>
                            <a:fillRect/>
                          </a:stretch>
                        </pic:blipFill>
                        <pic:spPr>
                          <a:xfrm>
                            <a:off x="0" y="0"/>
                            <a:ext cx="988695" cy="869950"/>
                          </a:xfrm>
                          <a:prstGeom prst="rect">
                            <a:avLst/>
                          </a:prstGeom>
                          <a:noFill/>
                          <a:ln>
                            <a:noFill/>
                          </a:ln>
                        </pic:spPr>
                      </pic:pic>
                    </a:graphicData>
                  </a:graphic>
                </wp:inline>
              </w:drawing>
            </w:r>
          </w:p>
        </w:tc>
        <w:tc>
          <w:tcPr>
            <w:tcW w:w="1068" w:type="pct"/>
            <w:tcBorders>
              <w:tl2br w:val="nil"/>
              <w:tr2bl w:val="nil"/>
            </w:tcBorders>
            <w:noWrap w:val="0"/>
            <w:vAlign w:val="center"/>
          </w:tcPr>
          <w:p w14:paraId="63B1DB13">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88695" cy="869950"/>
                  <wp:effectExtent l="0" t="0" r="1905" b="6350"/>
                  <wp:docPr id="72" name="图片 281"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1" descr="点击看大图及详细资料"/>
                          <pic:cNvPicPr>
                            <a:picLocks noChangeAspect="1"/>
                          </pic:cNvPicPr>
                        </pic:nvPicPr>
                        <pic:blipFill>
                          <a:blip r:embed="rId46"/>
                          <a:stretch>
                            <a:fillRect/>
                          </a:stretch>
                        </pic:blipFill>
                        <pic:spPr>
                          <a:xfrm>
                            <a:off x="0" y="0"/>
                            <a:ext cx="988695" cy="869950"/>
                          </a:xfrm>
                          <a:prstGeom prst="rect">
                            <a:avLst/>
                          </a:prstGeom>
                          <a:noFill/>
                          <a:ln>
                            <a:noFill/>
                          </a:ln>
                        </pic:spPr>
                      </pic:pic>
                    </a:graphicData>
                  </a:graphic>
                </wp:inline>
              </w:drawing>
            </w:r>
          </w:p>
        </w:tc>
      </w:tr>
    </w:tbl>
    <w:p w14:paraId="674EEB14">
      <w:pPr>
        <w:pStyle w:val="14"/>
        <w:bidi w:val="0"/>
        <w:rPr>
          <w:rFonts w:hint="default" w:ascii="Times New Roman" w:hAnsi="Times New Roman" w:cs="Times New Roman"/>
          <w:color w:val="auto"/>
          <w:lang w:val="zh-CN" w:eastAsia="zh-CN"/>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color w:val="auto"/>
          <w:lang w:val="zh-CN" w:eastAsia="zh-CN"/>
        </w:rPr>
        <w:t>危险废物识别标志符号</w:t>
      </w:r>
    </w:p>
    <w:tbl>
      <w:tblPr>
        <w:tblStyle w:val="33"/>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958"/>
        <w:gridCol w:w="1891"/>
        <w:gridCol w:w="1891"/>
        <w:gridCol w:w="470"/>
        <w:gridCol w:w="1426"/>
        <w:gridCol w:w="1896"/>
      </w:tblGrid>
      <w:tr w14:paraId="5CA15D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562" w:type="pct"/>
            <w:tcBorders>
              <w:tl2br w:val="nil"/>
              <w:tr2bl w:val="nil"/>
            </w:tcBorders>
            <w:noWrap w:val="0"/>
            <w:vAlign w:val="center"/>
          </w:tcPr>
          <w:p w14:paraId="0D6057E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标签</w:t>
            </w:r>
          </w:p>
        </w:tc>
        <w:tc>
          <w:tcPr>
            <w:tcW w:w="1109" w:type="pct"/>
            <w:tcBorders>
              <w:tl2br w:val="nil"/>
              <w:tr2bl w:val="nil"/>
            </w:tcBorders>
            <w:noWrap w:val="0"/>
            <w:vAlign w:val="center"/>
          </w:tcPr>
          <w:p w14:paraId="435531C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危险废物标签</w:t>
            </w:r>
          </w:p>
        </w:tc>
        <w:tc>
          <w:tcPr>
            <w:tcW w:w="1109" w:type="pct"/>
            <w:tcBorders>
              <w:tl2br w:val="nil"/>
              <w:tr2bl w:val="nil"/>
            </w:tcBorders>
            <w:noWrap w:val="0"/>
            <w:vAlign w:val="center"/>
          </w:tcPr>
          <w:p w14:paraId="3ADDF15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腐蚀性图形</w:t>
            </w:r>
          </w:p>
        </w:tc>
        <w:tc>
          <w:tcPr>
            <w:tcW w:w="1109" w:type="pct"/>
            <w:gridSpan w:val="2"/>
            <w:tcBorders>
              <w:tl2br w:val="nil"/>
              <w:tr2bl w:val="nil"/>
            </w:tcBorders>
            <w:noWrap w:val="0"/>
            <w:vAlign w:val="center"/>
          </w:tcPr>
          <w:p w14:paraId="55181AD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毒性</w:t>
            </w:r>
          </w:p>
        </w:tc>
        <w:tc>
          <w:tcPr>
            <w:tcW w:w="1110" w:type="pct"/>
            <w:tcBorders>
              <w:tl2br w:val="nil"/>
              <w:tr2bl w:val="nil"/>
            </w:tcBorders>
            <w:noWrap w:val="0"/>
            <w:vAlign w:val="center"/>
          </w:tcPr>
          <w:p w14:paraId="4232D2A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易燃</w:t>
            </w:r>
          </w:p>
        </w:tc>
      </w:tr>
      <w:tr w14:paraId="308277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618" w:hRule="atLeast"/>
        </w:trPr>
        <w:tc>
          <w:tcPr>
            <w:tcW w:w="562" w:type="pct"/>
            <w:tcBorders>
              <w:tl2br w:val="nil"/>
              <w:tr2bl w:val="nil"/>
            </w:tcBorders>
            <w:noWrap w:val="0"/>
            <w:vAlign w:val="center"/>
          </w:tcPr>
          <w:p w14:paraId="73EDF0E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图形</w:t>
            </w:r>
          </w:p>
          <w:p w14:paraId="024A63A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符号</w:t>
            </w:r>
          </w:p>
        </w:tc>
        <w:tc>
          <w:tcPr>
            <w:tcW w:w="1109" w:type="pct"/>
            <w:tcBorders>
              <w:tl2br w:val="nil"/>
              <w:tr2bl w:val="nil"/>
            </w:tcBorders>
            <w:noWrap w:val="0"/>
            <w:vAlign w:val="center"/>
          </w:tcPr>
          <w:p w14:paraId="7A6DC7E1">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024890" cy="1024890"/>
                  <wp:effectExtent l="0" t="0" r="3810" b="3810"/>
                  <wp:docPr id="73" name="图片 51" descr="I:\国家标准\标准\固废标准\危险废物识别标志设置技术规范\W02023051559121769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descr="I:\国家标准\标准\固废标准\危险废物识别标志设置技术规范\W020230515591217696563.jpg"/>
                          <pic:cNvPicPr>
                            <a:picLocks noChangeAspect="1"/>
                          </pic:cNvPicPr>
                        </pic:nvPicPr>
                        <pic:blipFill>
                          <a:blip r:embed="rId47"/>
                          <a:stretch>
                            <a:fillRect/>
                          </a:stretch>
                        </pic:blipFill>
                        <pic:spPr>
                          <a:xfrm>
                            <a:off x="0" y="0"/>
                            <a:ext cx="1024890" cy="1024890"/>
                          </a:xfrm>
                          <a:prstGeom prst="rect">
                            <a:avLst/>
                          </a:prstGeom>
                          <a:noFill/>
                          <a:ln>
                            <a:noFill/>
                          </a:ln>
                        </pic:spPr>
                      </pic:pic>
                    </a:graphicData>
                  </a:graphic>
                </wp:inline>
              </w:drawing>
            </w:r>
          </w:p>
        </w:tc>
        <w:tc>
          <w:tcPr>
            <w:tcW w:w="1109" w:type="pct"/>
            <w:tcBorders>
              <w:tl2br w:val="nil"/>
              <w:tr2bl w:val="nil"/>
            </w:tcBorders>
            <w:noWrap w:val="0"/>
            <w:vAlign w:val="center"/>
          </w:tcPr>
          <w:p w14:paraId="7CADCF5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75360" cy="985520"/>
                  <wp:effectExtent l="0" t="0" r="15240" b="5080"/>
                  <wp:docPr id="74" name="图片 52" descr="I:\国家标准\标准\固废标准\危险废物识别标志设置技术规范\W02023051559121951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2" descr="I:\国家标准\标准\固废标准\危险废物识别标志设置技术规范\W020230515591219515222.jpg"/>
                          <pic:cNvPicPr>
                            <a:picLocks noChangeAspect="1"/>
                          </pic:cNvPicPr>
                        </pic:nvPicPr>
                        <pic:blipFill>
                          <a:blip r:embed="rId48"/>
                          <a:stretch>
                            <a:fillRect/>
                          </a:stretch>
                        </pic:blipFill>
                        <pic:spPr>
                          <a:xfrm>
                            <a:off x="0" y="0"/>
                            <a:ext cx="975360" cy="985520"/>
                          </a:xfrm>
                          <a:prstGeom prst="rect">
                            <a:avLst/>
                          </a:prstGeom>
                          <a:noFill/>
                          <a:ln>
                            <a:noFill/>
                          </a:ln>
                        </pic:spPr>
                      </pic:pic>
                    </a:graphicData>
                  </a:graphic>
                </wp:inline>
              </w:drawing>
            </w:r>
          </w:p>
        </w:tc>
        <w:tc>
          <w:tcPr>
            <w:tcW w:w="1109" w:type="pct"/>
            <w:gridSpan w:val="2"/>
            <w:tcBorders>
              <w:tl2br w:val="nil"/>
              <w:tr2bl w:val="nil"/>
            </w:tcBorders>
            <w:noWrap w:val="0"/>
            <w:vAlign w:val="center"/>
          </w:tcPr>
          <w:p w14:paraId="00FEFD7B">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052830" cy="982980"/>
                  <wp:effectExtent l="0" t="0" r="13970" b="7620"/>
                  <wp:docPr id="7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4"/>
                          <pic:cNvPicPr>
                            <a:picLocks noChangeAspect="1"/>
                          </pic:cNvPicPr>
                        </pic:nvPicPr>
                        <pic:blipFill>
                          <a:blip r:embed="rId49"/>
                          <a:stretch>
                            <a:fillRect/>
                          </a:stretch>
                        </pic:blipFill>
                        <pic:spPr>
                          <a:xfrm>
                            <a:off x="0" y="0"/>
                            <a:ext cx="1052830" cy="982980"/>
                          </a:xfrm>
                          <a:prstGeom prst="rect">
                            <a:avLst/>
                          </a:prstGeom>
                          <a:noFill/>
                          <a:ln>
                            <a:noFill/>
                          </a:ln>
                        </pic:spPr>
                      </pic:pic>
                    </a:graphicData>
                  </a:graphic>
                </wp:inline>
              </w:drawing>
            </w:r>
          </w:p>
        </w:tc>
        <w:tc>
          <w:tcPr>
            <w:tcW w:w="1110" w:type="pct"/>
            <w:tcBorders>
              <w:tl2br w:val="nil"/>
              <w:tr2bl w:val="nil"/>
            </w:tcBorders>
            <w:noWrap w:val="0"/>
            <w:vAlign w:val="center"/>
          </w:tcPr>
          <w:p w14:paraId="7543C14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80440" cy="993775"/>
                  <wp:effectExtent l="0" t="0" r="10160" b="15875"/>
                  <wp:docPr id="7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6"/>
                          <pic:cNvPicPr>
                            <a:picLocks noChangeAspect="1"/>
                          </pic:cNvPicPr>
                        </pic:nvPicPr>
                        <pic:blipFill>
                          <a:blip r:embed="rId50"/>
                          <a:stretch>
                            <a:fillRect/>
                          </a:stretch>
                        </pic:blipFill>
                        <pic:spPr>
                          <a:xfrm>
                            <a:off x="0" y="0"/>
                            <a:ext cx="980440" cy="993775"/>
                          </a:xfrm>
                          <a:prstGeom prst="rect">
                            <a:avLst/>
                          </a:prstGeom>
                          <a:noFill/>
                          <a:ln>
                            <a:noFill/>
                          </a:ln>
                        </pic:spPr>
                      </pic:pic>
                    </a:graphicData>
                  </a:graphic>
                </wp:inline>
              </w:drawing>
            </w:r>
          </w:p>
        </w:tc>
      </w:tr>
      <w:tr w14:paraId="6F4A01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562" w:type="pct"/>
            <w:tcBorders>
              <w:tl2br w:val="nil"/>
              <w:tr2bl w:val="nil"/>
            </w:tcBorders>
            <w:noWrap w:val="0"/>
            <w:vAlign w:val="center"/>
          </w:tcPr>
          <w:p w14:paraId="30D9DF5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标签</w:t>
            </w:r>
          </w:p>
        </w:tc>
        <w:tc>
          <w:tcPr>
            <w:tcW w:w="1109" w:type="pct"/>
            <w:tcBorders>
              <w:tl2br w:val="nil"/>
              <w:tr2bl w:val="nil"/>
            </w:tcBorders>
            <w:noWrap w:val="0"/>
            <w:vAlign w:val="center"/>
          </w:tcPr>
          <w:p w14:paraId="633DE32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反应性</w:t>
            </w:r>
          </w:p>
        </w:tc>
        <w:tc>
          <w:tcPr>
            <w:tcW w:w="1384" w:type="pct"/>
            <w:gridSpan w:val="2"/>
            <w:tcBorders>
              <w:tl2br w:val="nil"/>
              <w:tr2bl w:val="nil"/>
            </w:tcBorders>
            <w:noWrap w:val="0"/>
            <w:vAlign w:val="center"/>
          </w:tcPr>
          <w:p w14:paraId="6E36623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分区标志</w:t>
            </w:r>
          </w:p>
        </w:tc>
        <w:tc>
          <w:tcPr>
            <w:tcW w:w="1945" w:type="pct"/>
            <w:gridSpan w:val="2"/>
            <w:tcBorders>
              <w:tl2br w:val="nil"/>
              <w:tr2bl w:val="nil"/>
            </w:tcBorders>
            <w:noWrap w:val="0"/>
            <w:vAlign w:val="center"/>
          </w:tcPr>
          <w:p w14:paraId="2789D5D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贮存设施标志</w:t>
            </w:r>
          </w:p>
        </w:tc>
      </w:tr>
      <w:tr w14:paraId="31EC91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449" w:hRule="atLeast"/>
        </w:trPr>
        <w:tc>
          <w:tcPr>
            <w:tcW w:w="562" w:type="pct"/>
            <w:tcBorders>
              <w:tl2br w:val="nil"/>
              <w:tr2bl w:val="nil"/>
            </w:tcBorders>
            <w:noWrap w:val="0"/>
            <w:vAlign w:val="center"/>
          </w:tcPr>
          <w:p w14:paraId="7BCDCD8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图形</w:t>
            </w:r>
          </w:p>
          <w:p w14:paraId="42795F7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符号</w:t>
            </w:r>
          </w:p>
        </w:tc>
        <w:tc>
          <w:tcPr>
            <w:tcW w:w="1109" w:type="pct"/>
            <w:tcBorders>
              <w:tl2br w:val="nil"/>
              <w:tr2bl w:val="nil"/>
            </w:tcBorders>
            <w:noWrap w:val="0"/>
            <w:vAlign w:val="center"/>
          </w:tcPr>
          <w:p w14:paraId="520934B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941705" cy="899795"/>
                  <wp:effectExtent l="0" t="0" r="10795" b="14605"/>
                  <wp:docPr id="7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7"/>
                          <pic:cNvPicPr>
                            <a:picLocks noChangeAspect="1"/>
                          </pic:cNvPicPr>
                        </pic:nvPicPr>
                        <pic:blipFill>
                          <a:blip r:embed="rId51"/>
                          <a:stretch>
                            <a:fillRect/>
                          </a:stretch>
                        </pic:blipFill>
                        <pic:spPr>
                          <a:xfrm>
                            <a:off x="0" y="0"/>
                            <a:ext cx="941705" cy="899795"/>
                          </a:xfrm>
                          <a:prstGeom prst="rect">
                            <a:avLst/>
                          </a:prstGeom>
                          <a:noFill/>
                          <a:ln>
                            <a:noFill/>
                          </a:ln>
                        </pic:spPr>
                      </pic:pic>
                    </a:graphicData>
                  </a:graphic>
                </wp:inline>
              </w:drawing>
            </w:r>
          </w:p>
        </w:tc>
        <w:tc>
          <w:tcPr>
            <w:tcW w:w="1384" w:type="pct"/>
            <w:gridSpan w:val="2"/>
            <w:tcBorders>
              <w:tl2br w:val="nil"/>
              <w:tr2bl w:val="nil"/>
            </w:tcBorders>
            <w:noWrap w:val="0"/>
            <w:vAlign w:val="center"/>
          </w:tcPr>
          <w:p w14:paraId="07736F8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892175" cy="892175"/>
                  <wp:effectExtent l="0" t="0" r="3175" b="3175"/>
                  <wp:docPr id="78" name="图片 59" descr="I:\国家标准\标准\固废标准\危险废物识别标志设置技术规范\W0202305155912213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9" descr="I:\国家标准\标准\固废标准\危险废物识别标志设置技术规范\W020230515591221300736.jpg"/>
                          <pic:cNvPicPr>
                            <a:picLocks noChangeAspect="1"/>
                          </pic:cNvPicPr>
                        </pic:nvPicPr>
                        <pic:blipFill>
                          <a:blip r:embed="rId52"/>
                          <a:stretch>
                            <a:fillRect/>
                          </a:stretch>
                        </pic:blipFill>
                        <pic:spPr>
                          <a:xfrm>
                            <a:off x="0" y="0"/>
                            <a:ext cx="892175" cy="892175"/>
                          </a:xfrm>
                          <a:prstGeom prst="rect">
                            <a:avLst/>
                          </a:prstGeom>
                          <a:noFill/>
                          <a:ln>
                            <a:noFill/>
                          </a:ln>
                        </pic:spPr>
                      </pic:pic>
                    </a:graphicData>
                  </a:graphic>
                </wp:inline>
              </w:drawing>
            </w:r>
          </w:p>
        </w:tc>
        <w:tc>
          <w:tcPr>
            <w:tcW w:w="1945" w:type="pct"/>
            <w:gridSpan w:val="2"/>
            <w:tcBorders>
              <w:tl2br w:val="nil"/>
              <w:tr2bl w:val="nil"/>
            </w:tcBorders>
            <w:noWrap w:val="0"/>
            <w:vAlign w:val="center"/>
          </w:tcPr>
          <w:p w14:paraId="14A2638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475740" cy="935990"/>
                  <wp:effectExtent l="0" t="0" r="10160" b="16510"/>
                  <wp:docPr id="79" name="图片 60" descr="I:\国家标准\标准\固废标准\危险废物识别标志设置技术规范\W020230515591221879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0" descr="I:\国家标准\标准\固废标准\危险废物识别标志设置技术规范\W020230515591221879653.jpg"/>
                          <pic:cNvPicPr>
                            <a:picLocks noChangeAspect="1"/>
                          </pic:cNvPicPr>
                        </pic:nvPicPr>
                        <pic:blipFill>
                          <a:blip r:embed="rId53"/>
                          <a:stretch>
                            <a:fillRect/>
                          </a:stretch>
                        </pic:blipFill>
                        <pic:spPr>
                          <a:xfrm>
                            <a:off x="0" y="0"/>
                            <a:ext cx="1475740" cy="935990"/>
                          </a:xfrm>
                          <a:prstGeom prst="rect">
                            <a:avLst/>
                          </a:prstGeom>
                          <a:noFill/>
                          <a:ln>
                            <a:noFill/>
                          </a:ln>
                        </pic:spPr>
                      </pic:pic>
                    </a:graphicData>
                  </a:graphic>
                </wp:inline>
              </w:drawing>
            </w:r>
          </w:p>
        </w:tc>
      </w:tr>
    </w:tbl>
    <w:p w14:paraId="38F53610">
      <w:pPr>
        <w:pStyle w:val="3"/>
        <w:bidi w:val="0"/>
        <w:rPr>
          <w:rFonts w:hint="default" w:ascii="Times New Roman" w:hAnsi="Times New Roman" w:cs="Times New Roman"/>
          <w:color w:val="auto"/>
          <w:lang w:val="zh-CN" w:eastAsia="zh-CN"/>
        </w:rPr>
      </w:pPr>
      <w:bookmarkStart w:id="179" w:name="_TOC_250016"/>
      <w:bookmarkEnd w:id="179"/>
      <w:bookmarkStart w:id="180" w:name="_Toc49815022"/>
      <w:bookmarkStart w:id="181" w:name="_Toc20664"/>
      <w:bookmarkStart w:id="182" w:name="_Toc32177"/>
      <w:bookmarkStart w:id="183" w:name="_Toc19725"/>
      <w:bookmarkStart w:id="184" w:name="_Toc11886"/>
      <w:bookmarkStart w:id="185" w:name="_Toc10591"/>
      <w:bookmarkStart w:id="186" w:name="_Toc7237"/>
      <w:bookmarkStart w:id="187" w:name="_Toc13643"/>
      <w:bookmarkStart w:id="188" w:name="_Toc28309"/>
      <w:bookmarkStart w:id="189" w:name="_Toc8493"/>
      <w:r>
        <w:rPr>
          <w:rFonts w:hint="default" w:ascii="Times New Roman" w:hAnsi="Times New Roman" w:cs="Times New Roman"/>
          <w:color w:val="auto"/>
          <w:lang w:val="zh-CN" w:eastAsia="zh-CN"/>
        </w:rPr>
        <w:t>排污许可管理</w:t>
      </w:r>
      <w:bookmarkEnd w:id="180"/>
      <w:bookmarkEnd w:id="181"/>
      <w:bookmarkEnd w:id="182"/>
      <w:bookmarkEnd w:id="183"/>
      <w:bookmarkEnd w:id="184"/>
      <w:bookmarkEnd w:id="185"/>
      <w:bookmarkEnd w:id="186"/>
      <w:bookmarkEnd w:id="187"/>
      <w:bookmarkEnd w:id="188"/>
    </w:p>
    <w:p w14:paraId="58B84CF8">
      <w:pPr>
        <w:widowControl w:val="0"/>
        <w:autoSpaceDE w:val="0"/>
        <w:autoSpaceDN w:val="0"/>
        <w:spacing w:line="360" w:lineRule="auto"/>
        <w:ind w:firstLine="480" w:firstLineChars="20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根据《固定污染源排污许可分类管理名录（2019年版）》（</w:t>
      </w:r>
      <w:r>
        <w:rPr>
          <w:rFonts w:hint="default" w:ascii="Times New Roman" w:hAnsi="Times New Roman" w:eastAsia="宋体" w:cs="Times New Roman"/>
          <w:color w:val="auto"/>
          <w:kern w:val="0"/>
          <w:sz w:val="24"/>
          <w:szCs w:val="24"/>
          <w:highlight w:val="none"/>
          <w:lang w:eastAsia="zh-CN"/>
        </w:rPr>
        <w:t>生态环境部</w:t>
      </w:r>
      <w:r>
        <w:rPr>
          <w:rFonts w:hint="default" w:ascii="Times New Roman" w:hAnsi="Times New Roman" w:eastAsia="宋体" w:cs="Times New Roman"/>
          <w:color w:val="auto"/>
          <w:kern w:val="0"/>
          <w:sz w:val="24"/>
          <w:szCs w:val="24"/>
          <w:highlight w:val="none"/>
        </w:rPr>
        <w:t>令第11号），本项目属于</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一、畜牧业03</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中的</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1牲畜养殖031</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中的</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无污水排放口的规模化畜禽养殖场、养殖小区</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，属于实施登记管理的行业。根据规定</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新建排污单位应当在启动生产设施或者发生实际排污之前申请取得排污许可证或者填报排污登记表。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建设单位在发生实际排污之前尽快取得排污许可证或者填报排污登记表</w:t>
      </w:r>
      <w:r>
        <w:rPr>
          <w:rFonts w:hint="default" w:ascii="Times New Roman" w:hAnsi="Times New Roman" w:eastAsia="宋体" w:cs="Times New Roman"/>
          <w:color w:val="auto"/>
          <w:kern w:val="0"/>
          <w:sz w:val="24"/>
          <w:szCs w:val="24"/>
          <w:highlight w:val="none"/>
          <w:lang w:eastAsia="zh-CN"/>
        </w:rPr>
        <w:t>。</w:t>
      </w:r>
    </w:p>
    <w:p w14:paraId="07626F76">
      <w:pPr>
        <w:widowControl w:val="0"/>
        <w:autoSpaceDE w:val="0"/>
        <w:autoSpaceDN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建设单位应落实污染物排放控制措施和其他各项环境管理要求，确保污染物排放种类、浓度和排放量等达到许可要求，不断提高污染治理和环境管理水平，自觉接受监督检查。</w:t>
      </w:r>
    </w:p>
    <w:p w14:paraId="71CBEFF1">
      <w:pPr>
        <w:pStyle w:val="3"/>
        <w:bidi w:val="0"/>
        <w:rPr>
          <w:rFonts w:hint="default" w:ascii="Times New Roman" w:hAnsi="Times New Roman" w:cs="Times New Roman"/>
          <w:color w:val="auto"/>
          <w:lang w:val="en-US" w:eastAsia="zh-CN"/>
        </w:rPr>
      </w:pPr>
      <w:bookmarkStart w:id="190" w:name="_Toc18974"/>
      <w:r>
        <w:rPr>
          <w:rFonts w:hint="default" w:ascii="Times New Roman" w:hAnsi="Times New Roman" w:cs="Times New Roman"/>
          <w:color w:val="auto"/>
          <w:lang w:val="en-US" w:eastAsia="zh-CN"/>
        </w:rPr>
        <w:t>竣工环境保护验收</w:t>
      </w:r>
      <w:bookmarkEnd w:id="189"/>
      <w:bookmarkEnd w:id="190"/>
    </w:p>
    <w:p w14:paraId="3C0FA633">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竣工验收管理及要求</w:t>
      </w:r>
    </w:p>
    <w:p w14:paraId="1E98D795">
      <w:pPr>
        <w:pStyle w:val="16"/>
        <w:bidi w:val="0"/>
        <w:rPr>
          <w:rFonts w:hint="default" w:ascii="Times New Roman" w:hAnsi="Times New Roman" w:cs="Times New Roman"/>
          <w:color w:val="auto"/>
        </w:rPr>
      </w:pPr>
      <w:r>
        <w:rPr>
          <w:rFonts w:hint="default" w:ascii="Times New Roman" w:hAnsi="Times New Roman" w:cs="Times New Roman"/>
          <w:color w:val="auto"/>
        </w:rPr>
        <w:t>《国务院关于修改〈建设项目环境保护管理条例〉的决定》（国务院第682号令）第十七条：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第十九条：编制环境影响报告书、环境影响报告表的建设项目，其配套建设的环境保护设施经验收合格，方可正式投入生产或者使用；未经验收合格或者验收不合格的，不得投入生产或者使用。</w:t>
      </w:r>
    </w:p>
    <w:p w14:paraId="2DF23192">
      <w:pPr>
        <w:pStyle w:val="4"/>
        <w:bidi w:val="0"/>
        <w:rPr>
          <w:rFonts w:hint="default" w:ascii="Times New Roman" w:hAnsi="Times New Roman" w:cs="Times New Roman"/>
          <w:color w:val="auto"/>
          <w:lang w:val="en-US"/>
        </w:rPr>
      </w:pPr>
      <w:r>
        <w:rPr>
          <w:rFonts w:hint="default" w:ascii="Times New Roman" w:hAnsi="Times New Roman" w:cs="Times New Roman"/>
          <w:color w:val="auto"/>
          <w:lang w:val="en-US"/>
        </w:rPr>
        <w:t>环保竣工验收</w:t>
      </w:r>
    </w:p>
    <w:p w14:paraId="375C61CF">
      <w:pPr>
        <w:pStyle w:val="16"/>
        <w:bidi w:val="0"/>
        <w:rPr>
          <w:rFonts w:hint="default" w:ascii="Times New Roman" w:hAnsi="Times New Roman" w:cs="Times New Roman"/>
          <w:color w:val="auto"/>
        </w:rPr>
      </w:pPr>
      <w:r>
        <w:rPr>
          <w:rFonts w:hint="default" w:ascii="Times New Roman" w:hAnsi="Times New Roman" w:cs="Times New Roman"/>
          <w:color w:val="auto"/>
        </w:rPr>
        <w:t>根据建设项目环境管理的要求，建设项目在投入生产或者使用前，依据环评文件及其审批意见，自行或委托第三方机构编制建设项目环境保护设施竣工验收报告，向社会公开并向</w:t>
      </w:r>
      <w:r>
        <w:rPr>
          <w:rFonts w:hint="default" w:ascii="Times New Roman" w:hAnsi="Times New Roman" w:cs="Times New Roman"/>
          <w:color w:val="auto"/>
          <w:lang w:eastAsia="zh-CN"/>
        </w:rPr>
        <w:t>生态环境部门</w:t>
      </w:r>
      <w:r>
        <w:rPr>
          <w:rFonts w:hint="default" w:ascii="Times New Roman" w:hAnsi="Times New Roman" w:cs="Times New Roman"/>
          <w:color w:val="auto"/>
        </w:rPr>
        <w:t>备案。</w:t>
      </w:r>
    </w:p>
    <w:p w14:paraId="4DCA1A5F">
      <w:pPr>
        <w:pStyle w:val="16"/>
        <w:bidi w:val="0"/>
        <w:rPr>
          <w:rFonts w:hint="default" w:ascii="Times New Roman" w:hAnsi="Times New Roman" w:cs="Times New Roman"/>
          <w:color w:val="auto"/>
        </w:rPr>
      </w:pPr>
      <w:r>
        <w:rPr>
          <w:rFonts w:hint="default" w:ascii="Times New Roman" w:hAnsi="Times New Roman" w:cs="Times New Roman"/>
          <w:color w:val="auto"/>
        </w:rPr>
        <w:t>本项目竣工环境保护验收内容见表8.</w:t>
      </w:r>
      <w:r>
        <w:rPr>
          <w:rFonts w:hint="default" w:ascii="Times New Roman" w:hAnsi="Times New Roman" w:cs="Times New Roman"/>
          <w:color w:val="auto"/>
          <w:lang w:val="en-US" w:eastAsia="zh-CN"/>
        </w:rPr>
        <w:t>3</w:t>
      </w:r>
      <w:r>
        <w:rPr>
          <w:rFonts w:hint="default" w:ascii="Times New Roman" w:hAnsi="Times New Roman" w:cs="Times New Roman"/>
          <w:color w:val="auto"/>
        </w:rPr>
        <w:t>-1。</w:t>
      </w:r>
    </w:p>
    <w:p w14:paraId="2AE83DBF">
      <w:pPr>
        <w:pStyle w:val="14"/>
        <w:bidi w:val="0"/>
        <w:rPr>
          <w:rFonts w:hint="default" w:ascii="Times New Roman" w:hAnsi="Times New Roman" w:cs="Times New Roman"/>
          <w:color w:val="FF0000"/>
        </w:rPr>
      </w:pPr>
      <w:r>
        <w:rPr>
          <w:rFonts w:hint="default" w:ascii="Times New Roman" w:hAnsi="Times New Roman" w:cs="Times New Roman"/>
          <w:color w:val="FF0000"/>
          <w:lang w:val="en-US" w:eastAsia="zh-CN"/>
        </w:rPr>
        <w:t>表</w:t>
      </w:r>
      <w:r>
        <w:rPr>
          <w:rFonts w:hint="default" w:ascii="Times New Roman" w:hAnsi="Times New Roman" w:cs="Times New Roman"/>
          <w:color w:val="FF0000"/>
        </w:rPr>
        <w:t>8.</w:t>
      </w:r>
      <w:r>
        <w:rPr>
          <w:rFonts w:hint="default" w:ascii="Times New Roman" w:hAnsi="Times New Roman" w:cs="Times New Roman"/>
          <w:color w:val="FF0000"/>
          <w:lang w:val="en-US" w:eastAsia="zh-CN"/>
        </w:rPr>
        <w:t>3</w:t>
      </w:r>
      <w:r>
        <w:rPr>
          <w:rFonts w:hint="default" w:ascii="Times New Roman" w:hAnsi="Times New Roman" w:cs="Times New Roman"/>
          <w:color w:val="FF0000"/>
        </w:rPr>
        <w:t>-1</w:t>
      </w:r>
      <w:r>
        <w:rPr>
          <w:rFonts w:hint="default" w:ascii="Times New Roman" w:hAnsi="Times New Roman" w:cs="Times New Roman"/>
          <w:color w:val="FF0000"/>
        </w:rPr>
        <w:tab/>
      </w:r>
      <w:r>
        <w:rPr>
          <w:rFonts w:hint="default" w:ascii="Times New Roman" w:hAnsi="Times New Roman" w:cs="Times New Roman"/>
          <w:color w:val="FF0000"/>
        </w:rPr>
        <w:t>环境保护“三同时”验收一览表</w:t>
      </w:r>
    </w:p>
    <w:tbl>
      <w:tblPr>
        <w:tblStyle w:val="33"/>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1320"/>
        <w:gridCol w:w="3401"/>
        <w:gridCol w:w="3130"/>
      </w:tblGrid>
      <w:tr w14:paraId="23A8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5309" w:type="dxa"/>
            <w:gridSpan w:val="3"/>
            <w:noWrap w:val="0"/>
            <w:vAlign w:val="center"/>
          </w:tcPr>
          <w:p w14:paraId="541C337F">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验收清单</w:t>
            </w:r>
          </w:p>
        </w:tc>
        <w:tc>
          <w:tcPr>
            <w:tcW w:w="3130" w:type="dxa"/>
            <w:vMerge w:val="restart"/>
            <w:noWrap w:val="0"/>
            <w:vAlign w:val="center"/>
          </w:tcPr>
          <w:p w14:paraId="0722E766">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验收标准</w:t>
            </w:r>
          </w:p>
        </w:tc>
      </w:tr>
      <w:tr w14:paraId="5C6A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trPr>
        <w:tc>
          <w:tcPr>
            <w:tcW w:w="588" w:type="dxa"/>
            <w:noWrap w:val="0"/>
            <w:vAlign w:val="center"/>
          </w:tcPr>
          <w:p w14:paraId="34C958A2">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分类</w:t>
            </w:r>
          </w:p>
        </w:tc>
        <w:tc>
          <w:tcPr>
            <w:tcW w:w="1320" w:type="dxa"/>
            <w:noWrap w:val="0"/>
            <w:vAlign w:val="center"/>
          </w:tcPr>
          <w:p w14:paraId="53AA2CCF">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项目</w:t>
            </w:r>
          </w:p>
        </w:tc>
        <w:tc>
          <w:tcPr>
            <w:tcW w:w="3401" w:type="dxa"/>
            <w:noWrap w:val="0"/>
            <w:vAlign w:val="center"/>
          </w:tcPr>
          <w:p w14:paraId="5D899C9B">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治理措施</w:t>
            </w:r>
          </w:p>
        </w:tc>
        <w:tc>
          <w:tcPr>
            <w:tcW w:w="3130" w:type="dxa"/>
            <w:vMerge w:val="continue"/>
            <w:noWrap w:val="0"/>
            <w:vAlign w:val="center"/>
          </w:tcPr>
          <w:p w14:paraId="6A74875F">
            <w:pPr>
              <w:ind w:left="0" w:leftChars="0" w:right="-10" w:rightChars="0" w:firstLine="0" w:firstLineChars="0"/>
              <w:jc w:val="center"/>
              <w:rPr>
                <w:rFonts w:hint="default" w:ascii="Times New Roman" w:hAnsi="Times New Roman" w:cs="Times New Roman"/>
                <w:color w:val="FF0000"/>
                <w:sz w:val="21"/>
                <w:szCs w:val="21"/>
                <w:highlight w:val="none"/>
              </w:rPr>
            </w:pPr>
          </w:p>
        </w:tc>
      </w:tr>
      <w:tr w14:paraId="2CD8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 w:hRule="atLeast"/>
        </w:trPr>
        <w:tc>
          <w:tcPr>
            <w:tcW w:w="588" w:type="dxa"/>
            <w:noWrap w:val="0"/>
            <w:vAlign w:val="center"/>
          </w:tcPr>
          <w:p w14:paraId="436E77A0">
            <w:pPr>
              <w:pStyle w:val="69"/>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lang w:val="en-US" w:eastAsia="zh-CN"/>
              </w:rPr>
              <w:t>养殖场</w:t>
            </w:r>
            <w:r>
              <w:rPr>
                <w:rFonts w:hint="default" w:ascii="Times New Roman" w:hAnsi="Times New Roman" w:cs="Times New Roman"/>
                <w:color w:val="FF0000"/>
                <w:sz w:val="21"/>
                <w:szCs w:val="21"/>
                <w:highlight w:val="none"/>
              </w:rPr>
              <w:t>污水治理</w:t>
            </w:r>
          </w:p>
        </w:tc>
        <w:tc>
          <w:tcPr>
            <w:tcW w:w="1320" w:type="dxa"/>
            <w:noWrap w:val="0"/>
            <w:vAlign w:val="center"/>
          </w:tcPr>
          <w:p w14:paraId="0C9754A1">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养殖废水</w:t>
            </w:r>
          </w:p>
        </w:tc>
        <w:tc>
          <w:tcPr>
            <w:tcW w:w="3401" w:type="dxa"/>
            <w:noWrap w:val="0"/>
            <w:vAlign w:val="center"/>
          </w:tcPr>
          <w:p w14:paraId="13C1B52C">
            <w:pPr>
              <w:pStyle w:val="69"/>
              <w:ind w:left="0" w:leftChars="0" w:right="-10" w:rightChars="0"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废水主要为鸡舍粪便收集设施（</w:t>
            </w:r>
            <w:r>
              <w:rPr>
                <w:rFonts w:hint="eastAsia" w:ascii="Times New Roman" w:hAnsi="Times New Roman" w:cs="Times New Roman"/>
                <w:color w:val="FF0000"/>
                <w:sz w:val="21"/>
                <w:szCs w:val="21"/>
                <w:highlight w:val="none"/>
                <w:lang w:val="en-US" w:eastAsia="zh-CN"/>
              </w:rPr>
              <w:t>粪便传送带</w:t>
            </w:r>
            <w:r>
              <w:rPr>
                <w:rFonts w:hint="default" w:ascii="Times New Roman" w:hAnsi="Times New Roman" w:eastAsia="宋体" w:cs="Times New Roman"/>
                <w:color w:val="FF0000"/>
                <w:sz w:val="21"/>
                <w:szCs w:val="21"/>
                <w:highlight w:val="none"/>
                <w:lang w:val="en-US" w:eastAsia="zh-CN"/>
              </w:rPr>
              <w:t>和清粪机）清洗废水和工作人员生活污水，鸡舍粪便收集设施（</w:t>
            </w:r>
            <w:r>
              <w:rPr>
                <w:rFonts w:hint="eastAsia" w:ascii="Times New Roman" w:hAnsi="Times New Roman" w:cs="Times New Roman"/>
                <w:color w:val="FF0000"/>
                <w:sz w:val="21"/>
                <w:szCs w:val="21"/>
                <w:highlight w:val="none"/>
                <w:lang w:val="en-US" w:eastAsia="zh-CN"/>
              </w:rPr>
              <w:t>粪便传送带</w:t>
            </w:r>
            <w:r>
              <w:rPr>
                <w:rFonts w:hint="default" w:ascii="Times New Roman" w:hAnsi="Times New Roman" w:eastAsia="宋体" w:cs="Times New Roman"/>
                <w:color w:val="FF0000"/>
                <w:sz w:val="21"/>
                <w:szCs w:val="21"/>
                <w:highlight w:val="none"/>
                <w:lang w:val="en-US" w:eastAsia="zh-CN"/>
              </w:rPr>
              <w:t>和清粪机）清洗废水和工作人员生活污水进入废水收集池容积100m</w:t>
            </w:r>
            <w:r>
              <w:rPr>
                <w:rFonts w:hint="default" w:ascii="Times New Roman" w:hAnsi="Times New Roman" w:eastAsia="宋体" w:cs="Times New Roman"/>
                <w:color w:val="FF0000"/>
                <w:sz w:val="21"/>
                <w:szCs w:val="21"/>
                <w:highlight w:val="none"/>
                <w:vertAlign w:val="superscript"/>
                <w:lang w:val="en-US" w:eastAsia="zh-CN"/>
              </w:rPr>
              <w:t>3</w:t>
            </w:r>
            <w:r>
              <w:rPr>
                <w:rFonts w:hint="default" w:ascii="Times New Roman" w:hAnsi="Times New Roman" w:eastAsia="宋体" w:cs="Times New Roman"/>
                <w:color w:val="FF0000"/>
                <w:sz w:val="21"/>
                <w:szCs w:val="21"/>
                <w:highlight w:val="none"/>
                <w:lang w:val="en-US" w:eastAsia="zh-CN"/>
              </w:rPr>
              <w:t>，上设封盖。用于粪便堆肥，增加有机肥湿度</w:t>
            </w:r>
          </w:p>
        </w:tc>
        <w:tc>
          <w:tcPr>
            <w:tcW w:w="3130" w:type="dxa"/>
            <w:noWrap w:val="0"/>
            <w:vAlign w:val="center"/>
          </w:tcPr>
          <w:p w14:paraId="2005563F">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资源化利用</w:t>
            </w:r>
          </w:p>
        </w:tc>
      </w:tr>
      <w:tr w14:paraId="1655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588" w:type="dxa"/>
            <w:vMerge w:val="restart"/>
            <w:noWrap w:val="0"/>
            <w:vAlign w:val="center"/>
          </w:tcPr>
          <w:p w14:paraId="1B7059DC">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lang w:val="en-US" w:eastAsia="zh-CN"/>
              </w:rPr>
              <w:t>养殖场</w:t>
            </w:r>
            <w:r>
              <w:rPr>
                <w:rFonts w:hint="default" w:ascii="Times New Roman" w:hAnsi="Times New Roman" w:cs="Times New Roman"/>
                <w:color w:val="FF0000"/>
                <w:sz w:val="21"/>
                <w:szCs w:val="21"/>
                <w:highlight w:val="none"/>
              </w:rPr>
              <w:t>大气治理</w:t>
            </w:r>
          </w:p>
        </w:tc>
        <w:tc>
          <w:tcPr>
            <w:tcW w:w="1320" w:type="dxa"/>
            <w:noWrap w:val="0"/>
            <w:vAlign w:val="center"/>
          </w:tcPr>
          <w:p w14:paraId="31286930">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饲料加工</w:t>
            </w:r>
          </w:p>
        </w:tc>
        <w:tc>
          <w:tcPr>
            <w:tcW w:w="3401" w:type="dxa"/>
            <w:noWrap w:val="0"/>
            <w:vAlign w:val="center"/>
          </w:tcPr>
          <w:p w14:paraId="43093E34">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highlight w:val="none"/>
                <w:lang w:val="en-US" w:eastAsia="zh-CN"/>
              </w:rPr>
              <w:t>袋式除尘器+15m排气筒</w:t>
            </w:r>
          </w:p>
        </w:tc>
        <w:tc>
          <w:tcPr>
            <w:tcW w:w="3130" w:type="dxa"/>
            <w:noWrap w:val="0"/>
            <w:vAlign w:val="center"/>
          </w:tcPr>
          <w:p w14:paraId="3E36B95C">
            <w:pPr>
              <w:widowControl w:val="0"/>
              <w:autoSpaceDE w:val="0"/>
              <w:autoSpaceDN w:val="0"/>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eastAsia="宋体" w:cs="Times New Roman"/>
                <w:color w:val="FF0000"/>
                <w:sz w:val="21"/>
                <w:szCs w:val="22"/>
                <w:highlight w:val="none"/>
                <w:lang w:val="zh-CN" w:eastAsia="zh-CN" w:bidi="zh-CN"/>
              </w:rPr>
              <w:t>《大气污染物综合排放标准》（GB16297-1996）</w:t>
            </w:r>
            <w:r>
              <w:rPr>
                <w:rFonts w:hint="default" w:ascii="Times New Roman" w:hAnsi="Times New Roman" w:eastAsia="宋体" w:cs="Times New Roman"/>
                <w:color w:val="FF0000"/>
                <w:sz w:val="21"/>
                <w:szCs w:val="22"/>
                <w:highlight w:val="none"/>
                <w:lang w:val="en-US" w:eastAsia="zh-CN" w:bidi="zh-CN"/>
              </w:rPr>
              <w:t>表 2 有组织污染物排放标准值</w:t>
            </w:r>
          </w:p>
        </w:tc>
      </w:tr>
      <w:tr w14:paraId="123E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588" w:type="dxa"/>
            <w:vMerge w:val="continue"/>
            <w:noWrap w:val="0"/>
            <w:vAlign w:val="center"/>
          </w:tcPr>
          <w:p w14:paraId="4D2572A3">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p>
        </w:tc>
        <w:tc>
          <w:tcPr>
            <w:tcW w:w="1320" w:type="dxa"/>
            <w:noWrap w:val="0"/>
            <w:vAlign w:val="center"/>
          </w:tcPr>
          <w:p w14:paraId="5D3EF364">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鸡粪发酵处理场</w:t>
            </w:r>
          </w:p>
        </w:tc>
        <w:tc>
          <w:tcPr>
            <w:tcW w:w="3401" w:type="dxa"/>
            <w:noWrap w:val="0"/>
            <w:vAlign w:val="center"/>
          </w:tcPr>
          <w:p w14:paraId="57973323">
            <w:pPr>
              <w:pStyle w:val="69"/>
              <w:keepNext w:val="0"/>
              <w:keepLines w:val="0"/>
              <w:pageBreakBefore w:val="0"/>
              <w:kinsoku/>
              <w:wordWrap/>
              <w:overflowPunct/>
              <w:topLinePunct w:val="0"/>
              <w:autoSpaceDE w:val="0"/>
              <w:autoSpaceDN w:val="0"/>
              <w:bidi w:val="0"/>
              <w:adjustRightInd/>
              <w:snapToGrid/>
              <w:spacing w:line="240" w:lineRule="auto"/>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highlight w:val="none"/>
                <w:lang w:val="en-US" w:eastAsia="zh-CN"/>
              </w:rPr>
              <w:t>生物过滤除臭系统+15m排气筒</w:t>
            </w:r>
          </w:p>
        </w:tc>
        <w:tc>
          <w:tcPr>
            <w:tcW w:w="3130" w:type="dxa"/>
            <w:noWrap w:val="0"/>
            <w:vAlign w:val="top"/>
          </w:tcPr>
          <w:p w14:paraId="706969D4">
            <w:pPr>
              <w:widowControl w:val="0"/>
              <w:autoSpaceDE w:val="0"/>
              <w:autoSpaceDN w:val="0"/>
              <w:ind w:left="0" w:leftChars="0" w:right="-10" w:rightChars="0"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eastAsia="宋体" w:cs="Times New Roman"/>
                <w:color w:val="FF0000"/>
                <w:sz w:val="21"/>
                <w:szCs w:val="22"/>
                <w:highlight w:val="none"/>
                <w:lang w:val="en-US" w:eastAsia="zh-CN" w:bidi="zh-CN"/>
              </w:rPr>
              <w:t>《恶臭污染物排放标准》（GB14554-93）表 2 恶臭污染物排放标准值</w:t>
            </w:r>
          </w:p>
        </w:tc>
      </w:tr>
      <w:tr w14:paraId="204A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588" w:type="dxa"/>
            <w:vMerge w:val="continue"/>
            <w:noWrap w:val="0"/>
            <w:vAlign w:val="center"/>
          </w:tcPr>
          <w:p w14:paraId="3B4C096F">
            <w:pPr>
              <w:pStyle w:val="69"/>
              <w:ind w:left="0" w:leftChars="0" w:right="-10" w:rightChars="0" w:firstLine="0" w:firstLineChars="0"/>
              <w:rPr>
                <w:rFonts w:hint="default" w:ascii="Times New Roman" w:hAnsi="Times New Roman" w:cs="Times New Roman"/>
                <w:color w:val="FF0000"/>
                <w:sz w:val="21"/>
                <w:szCs w:val="21"/>
                <w:highlight w:val="none"/>
              </w:rPr>
            </w:pPr>
          </w:p>
        </w:tc>
        <w:tc>
          <w:tcPr>
            <w:tcW w:w="1320" w:type="dxa"/>
            <w:noWrap w:val="0"/>
            <w:vAlign w:val="center"/>
          </w:tcPr>
          <w:p w14:paraId="388FBCCF">
            <w:pPr>
              <w:pStyle w:val="69"/>
              <w:ind w:left="0" w:leftChars="0" w:right="-10" w:rightChars="0" w:firstLine="0" w:firstLineChars="0"/>
              <w:rPr>
                <w:rFonts w:hint="default" w:ascii="Times New Roman" w:hAnsi="Times New Roman" w:eastAsia="宋体" w:cs="Times New Roman"/>
                <w:color w:val="FF0000"/>
                <w:sz w:val="21"/>
                <w:szCs w:val="21"/>
                <w:highlight w:val="none"/>
                <w:lang w:eastAsia="zh-CN"/>
              </w:rPr>
            </w:pPr>
            <w:r>
              <w:rPr>
                <w:rFonts w:hint="default" w:ascii="Times New Roman" w:hAnsi="Times New Roman" w:cs="Times New Roman"/>
                <w:color w:val="FF0000"/>
                <w:sz w:val="21"/>
                <w:szCs w:val="21"/>
                <w:highlight w:val="none"/>
                <w:lang w:eastAsia="zh-CN"/>
              </w:rPr>
              <w:t>鸡舍</w:t>
            </w:r>
          </w:p>
        </w:tc>
        <w:tc>
          <w:tcPr>
            <w:tcW w:w="3401" w:type="dxa"/>
            <w:noWrap w:val="0"/>
            <w:vAlign w:val="center"/>
          </w:tcPr>
          <w:p w14:paraId="533AFC2E">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及时清理、生物除臭</w:t>
            </w:r>
          </w:p>
        </w:tc>
        <w:tc>
          <w:tcPr>
            <w:tcW w:w="3130" w:type="dxa"/>
            <w:vMerge w:val="restart"/>
            <w:noWrap w:val="0"/>
            <w:vAlign w:val="center"/>
          </w:tcPr>
          <w:p w14:paraId="44B1399E">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《恶臭污染物排放标准》</w:t>
            </w:r>
          </w:p>
          <w:p w14:paraId="4AC6A112">
            <w:pPr>
              <w:pStyle w:val="69"/>
              <w:ind w:left="0" w:leftChars="0" w:right="-10" w:rightChars="0" w:firstLine="0" w:firstLineChars="0"/>
              <w:rPr>
                <w:rFonts w:hint="default" w:ascii="Times New Roman" w:hAnsi="Times New Roman" w:eastAsia="宋体" w:cs="Times New Roman"/>
                <w:color w:val="FF0000"/>
                <w:sz w:val="21"/>
                <w:szCs w:val="21"/>
                <w:highlight w:val="none"/>
                <w:lang w:eastAsia="zh-CN"/>
              </w:rPr>
            </w:pPr>
            <w:r>
              <w:rPr>
                <w:rFonts w:hint="default" w:ascii="Times New Roman" w:hAnsi="Times New Roman" w:cs="Times New Roman"/>
                <w:color w:val="FF0000"/>
                <w:sz w:val="21"/>
                <w:szCs w:val="21"/>
                <w:highlight w:val="none"/>
              </w:rPr>
              <w:t>（GB14554-93）</w:t>
            </w:r>
            <w:r>
              <w:rPr>
                <w:rFonts w:hint="default" w:ascii="Times New Roman" w:hAnsi="Times New Roman" w:cs="Times New Roman"/>
                <w:color w:val="FF0000"/>
                <w:sz w:val="21"/>
                <w:szCs w:val="21"/>
                <w:highlight w:val="none"/>
                <w:lang w:eastAsia="zh-CN"/>
              </w:rPr>
              <w:t>、《畜禽养殖业污染物排放标准》（GB18596-2001）表7集约化畜禽养殖业恶臭污染物排放标准</w:t>
            </w:r>
          </w:p>
        </w:tc>
      </w:tr>
      <w:tr w14:paraId="05B6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588" w:type="dxa"/>
            <w:vMerge w:val="continue"/>
            <w:noWrap w:val="0"/>
            <w:vAlign w:val="center"/>
          </w:tcPr>
          <w:p w14:paraId="62368FBA">
            <w:pPr>
              <w:pStyle w:val="69"/>
              <w:ind w:left="0" w:leftChars="0" w:right="-10" w:rightChars="0" w:firstLine="0" w:firstLineChars="0"/>
              <w:rPr>
                <w:rFonts w:hint="default" w:ascii="Times New Roman" w:hAnsi="Times New Roman" w:cs="Times New Roman"/>
                <w:color w:val="FF0000"/>
                <w:sz w:val="21"/>
                <w:szCs w:val="21"/>
                <w:highlight w:val="none"/>
              </w:rPr>
            </w:pPr>
          </w:p>
        </w:tc>
        <w:tc>
          <w:tcPr>
            <w:tcW w:w="1320" w:type="dxa"/>
            <w:noWrap w:val="0"/>
            <w:vAlign w:val="center"/>
          </w:tcPr>
          <w:p w14:paraId="62E44944">
            <w:pPr>
              <w:pStyle w:val="69"/>
              <w:ind w:left="0" w:leftChars="0" w:right="-10" w:rightChars="0" w:firstLine="0" w:firstLineChars="0"/>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eastAsia="zh-CN"/>
              </w:rPr>
              <w:t>废水收集池</w:t>
            </w:r>
          </w:p>
        </w:tc>
        <w:tc>
          <w:tcPr>
            <w:tcW w:w="3401" w:type="dxa"/>
            <w:noWrap w:val="0"/>
            <w:vAlign w:val="center"/>
          </w:tcPr>
          <w:p w14:paraId="18ECA54F">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封闭、生物除臭等</w:t>
            </w:r>
          </w:p>
        </w:tc>
        <w:tc>
          <w:tcPr>
            <w:tcW w:w="3130" w:type="dxa"/>
            <w:vMerge w:val="continue"/>
            <w:noWrap w:val="0"/>
            <w:vAlign w:val="center"/>
          </w:tcPr>
          <w:p w14:paraId="090794D8">
            <w:pPr>
              <w:pStyle w:val="69"/>
              <w:ind w:left="0" w:leftChars="0" w:right="-10" w:rightChars="0" w:firstLine="0" w:firstLineChars="0"/>
              <w:rPr>
                <w:rFonts w:hint="default" w:ascii="Times New Roman" w:hAnsi="Times New Roman" w:cs="Times New Roman"/>
                <w:color w:val="FF0000"/>
                <w:sz w:val="21"/>
                <w:szCs w:val="21"/>
                <w:highlight w:val="none"/>
              </w:rPr>
            </w:pPr>
          </w:p>
        </w:tc>
      </w:tr>
      <w:tr w14:paraId="558D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588" w:type="dxa"/>
            <w:vMerge w:val="continue"/>
            <w:noWrap w:val="0"/>
            <w:vAlign w:val="center"/>
          </w:tcPr>
          <w:p w14:paraId="44B72DAB">
            <w:pPr>
              <w:pStyle w:val="69"/>
              <w:ind w:left="0" w:leftChars="0" w:right="-10" w:rightChars="0" w:firstLine="0" w:firstLineChars="0"/>
              <w:rPr>
                <w:rFonts w:hint="default" w:ascii="Times New Roman" w:hAnsi="Times New Roman" w:cs="Times New Roman"/>
                <w:color w:val="FF0000"/>
                <w:sz w:val="21"/>
                <w:szCs w:val="21"/>
                <w:highlight w:val="none"/>
              </w:rPr>
            </w:pPr>
          </w:p>
        </w:tc>
        <w:tc>
          <w:tcPr>
            <w:tcW w:w="1320" w:type="dxa"/>
            <w:noWrap w:val="0"/>
            <w:vAlign w:val="center"/>
          </w:tcPr>
          <w:p w14:paraId="2405C704">
            <w:pPr>
              <w:pStyle w:val="69"/>
              <w:ind w:left="0" w:leftChars="0" w:right="-10" w:rightChars="0" w:firstLine="0" w:firstLineChars="0"/>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餐饮油烟</w:t>
            </w:r>
          </w:p>
        </w:tc>
        <w:tc>
          <w:tcPr>
            <w:tcW w:w="3401" w:type="dxa"/>
            <w:noWrap w:val="0"/>
            <w:vAlign w:val="center"/>
          </w:tcPr>
          <w:p w14:paraId="252BC597">
            <w:pPr>
              <w:pStyle w:val="69"/>
              <w:spacing w:line="249" w:lineRule="auto"/>
              <w:ind w:right="87" w:hanging="5"/>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rPr>
              <w:t>油烟净化</w:t>
            </w:r>
            <w:r>
              <w:rPr>
                <w:rFonts w:hint="default" w:ascii="Times New Roman" w:hAnsi="Times New Roman" w:cs="Times New Roman"/>
                <w:color w:val="FF0000"/>
                <w:sz w:val="21"/>
                <w:szCs w:val="21"/>
                <w:highlight w:val="none"/>
                <w:lang w:val="en-US" w:eastAsia="zh-CN"/>
              </w:rPr>
              <w:t>器</w:t>
            </w:r>
          </w:p>
        </w:tc>
        <w:tc>
          <w:tcPr>
            <w:tcW w:w="3130" w:type="dxa"/>
            <w:noWrap w:val="0"/>
            <w:vAlign w:val="center"/>
          </w:tcPr>
          <w:p w14:paraId="10E0E60F">
            <w:pPr>
              <w:pStyle w:val="69"/>
              <w:ind w:right="92" w:right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满足《饮食业油烟排放标准（试行）》（GB18483-2001）中2.0mg/m</w:t>
            </w:r>
            <w:r>
              <w:rPr>
                <w:rFonts w:hint="default" w:ascii="Times New Roman" w:hAnsi="Times New Roman" w:cs="Times New Roman"/>
                <w:color w:val="FF0000"/>
                <w:sz w:val="21"/>
                <w:szCs w:val="21"/>
                <w:highlight w:val="none"/>
                <w:vertAlign w:val="superscript"/>
              </w:rPr>
              <w:t>3</w:t>
            </w:r>
            <w:r>
              <w:rPr>
                <w:rFonts w:hint="default" w:ascii="Times New Roman" w:hAnsi="Times New Roman" w:cs="Times New Roman"/>
                <w:color w:val="FF0000"/>
                <w:sz w:val="21"/>
                <w:szCs w:val="21"/>
                <w:highlight w:val="none"/>
              </w:rPr>
              <w:t>的标准</w:t>
            </w:r>
          </w:p>
        </w:tc>
      </w:tr>
      <w:tr w14:paraId="0D52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588" w:type="dxa"/>
            <w:noWrap w:val="0"/>
            <w:vAlign w:val="center"/>
          </w:tcPr>
          <w:p w14:paraId="04EEED6F">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绿化</w:t>
            </w:r>
          </w:p>
        </w:tc>
        <w:tc>
          <w:tcPr>
            <w:tcW w:w="1320" w:type="dxa"/>
            <w:noWrap w:val="0"/>
            <w:vAlign w:val="center"/>
          </w:tcPr>
          <w:p w14:paraId="782C531C">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场内绿化</w:t>
            </w:r>
          </w:p>
        </w:tc>
        <w:tc>
          <w:tcPr>
            <w:tcW w:w="3401" w:type="dxa"/>
            <w:noWrap w:val="0"/>
            <w:vAlign w:val="center"/>
          </w:tcPr>
          <w:p w14:paraId="37DB849F">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场区内种植花草树木，绿化隔离带</w:t>
            </w:r>
          </w:p>
        </w:tc>
        <w:tc>
          <w:tcPr>
            <w:tcW w:w="3130" w:type="dxa"/>
            <w:noWrap w:val="0"/>
            <w:vAlign w:val="center"/>
          </w:tcPr>
          <w:p w14:paraId="6CE21507">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r>
      <w:tr w14:paraId="634F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88" w:type="dxa"/>
            <w:vMerge w:val="restart"/>
            <w:noWrap w:val="0"/>
            <w:vAlign w:val="center"/>
          </w:tcPr>
          <w:p w14:paraId="2F41082C">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lang w:val="en-US" w:eastAsia="zh-CN"/>
              </w:rPr>
              <w:t>养殖场</w:t>
            </w:r>
            <w:r>
              <w:rPr>
                <w:rFonts w:hint="default" w:ascii="Times New Roman" w:hAnsi="Times New Roman" w:cs="Times New Roman"/>
                <w:color w:val="FF0000"/>
                <w:sz w:val="21"/>
                <w:szCs w:val="21"/>
                <w:highlight w:val="none"/>
              </w:rPr>
              <w:t>固废</w:t>
            </w:r>
          </w:p>
        </w:tc>
        <w:tc>
          <w:tcPr>
            <w:tcW w:w="1320" w:type="dxa"/>
            <w:noWrap w:val="0"/>
            <w:vAlign w:val="center"/>
          </w:tcPr>
          <w:p w14:paraId="2156BC94">
            <w:pPr>
              <w:pStyle w:val="69"/>
              <w:ind w:left="0" w:leftChars="0" w:right="-10" w:rightChars="0" w:firstLine="0" w:firstLineChars="0"/>
              <w:rPr>
                <w:rFonts w:hint="default" w:ascii="Times New Roman" w:hAnsi="Times New Roman" w:eastAsia="宋体" w:cs="Times New Roman"/>
                <w:color w:val="FF0000"/>
                <w:sz w:val="21"/>
                <w:szCs w:val="21"/>
                <w:highlight w:val="none"/>
                <w:lang w:val="zh-CN" w:eastAsia="zh-CN" w:bidi="zh-CN"/>
              </w:rPr>
            </w:pPr>
            <w:r>
              <w:rPr>
                <w:rFonts w:hint="default" w:ascii="Times New Roman" w:hAnsi="Times New Roman" w:eastAsia="宋体" w:cs="Times New Roman"/>
                <w:color w:val="FF0000"/>
                <w:sz w:val="21"/>
                <w:szCs w:val="21"/>
                <w:highlight w:val="none"/>
                <w:lang w:eastAsia="zh-CN"/>
              </w:rPr>
              <w:t>鸡粪</w:t>
            </w:r>
          </w:p>
        </w:tc>
        <w:tc>
          <w:tcPr>
            <w:tcW w:w="3401" w:type="dxa"/>
            <w:noWrap w:val="0"/>
            <w:vAlign w:val="center"/>
          </w:tcPr>
          <w:p w14:paraId="55E861AF">
            <w:pPr>
              <w:pStyle w:val="69"/>
              <w:ind w:left="0" w:leftChars="0" w:right="-10" w:rightChars="0" w:firstLine="0" w:firstLineChars="0"/>
              <w:rPr>
                <w:rFonts w:hint="default" w:ascii="Times New Roman" w:hAnsi="Times New Roman" w:eastAsia="宋体" w:cs="Times New Roman"/>
                <w:color w:val="FF0000"/>
                <w:sz w:val="21"/>
                <w:szCs w:val="21"/>
                <w:highlight w:val="none"/>
                <w:lang w:val="zh-CN" w:eastAsia="zh-CN"/>
              </w:rPr>
            </w:pPr>
            <w:r>
              <w:rPr>
                <w:rFonts w:hint="default" w:ascii="Times New Roman" w:hAnsi="Times New Roman" w:cs="Times New Roman"/>
                <w:color w:val="FF0000"/>
                <w:sz w:val="21"/>
                <w:szCs w:val="21"/>
                <w:lang w:val="en-US" w:eastAsia="zh-CN"/>
              </w:rPr>
              <w:t>每栋鸡舍均设自动清粪系统，鸡舍内设横斜向</w:t>
            </w:r>
            <w:r>
              <w:rPr>
                <w:rFonts w:hint="eastAsia" w:ascii="Times New Roman" w:hAnsi="Times New Roman" w:cs="Times New Roman"/>
                <w:color w:val="FF0000"/>
                <w:sz w:val="21"/>
                <w:szCs w:val="21"/>
                <w:lang w:val="en-US" w:eastAsia="zh-CN"/>
              </w:rPr>
              <w:t>粪便传送带</w:t>
            </w:r>
            <w:r>
              <w:rPr>
                <w:rFonts w:hint="default" w:ascii="Times New Roman" w:hAnsi="Times New Roman" w:cs="Times New Roman"/>
                <w:color w:val="FF0000"/>
                <w:sz w:val="21"/>
                <w:szCs w:val="21"/>
                <w:lang w:val="en-US" w:eastAsia="zh-CN"/>
              </w:rPr>
              <w:t>，鸡排出的粪便主要通过清粪机进入横向</w:t>
            </w:r>
            <w:r>
              <w:rPr>
                <w:rFonts w:hint="eastAsia" w:ascii="Times New Roman" w:hAnsi="Times New Roman" w:cs="Times New Roman"/>
                <w:color w:val="FF0000"/>
                <w:sz w:val="21"/>
                <w:szCs w:val="21"/>
                <w:lang w:val="en-US" w:eastAsia="zh-CN"/>
              </w:rPr>
              <w:t>粪便传送带</w:t>
            </w:r>
            <w:r>
              <w:rPr>
                <w:rFonts w:hint="default" w:ascii="Times New Roman" w:hAnsi="Times New Roman" w:cs="Times New Roman"/>
                <w:color w:val="FF0000"/>
                <w:sz w:val="21"/>
                <w:szCs w:val="21"/>
                <w:lang w:val="en-US" w:eastAsia="zh-CN"/>
              </w:rPr>
              <w:t>内，传输至清粪房再通过斜向</w:t>
            </w:r>
            <w:r>
              <w:rPr>
                <w:rFonts w:hint="eastAsia" w:ascii="Times New Roman" w:hAnsi="Times New Roman" w:cs="Times New Roman"/>
                <w:color w:val="FF0000"/>
                <w:sz w:val="21"/>
                <w:szCs w:val="21"/>
                <w:lang w:val="en-US" w:eastAsia="zh-CN"/>
              </w:rPr>
              <w:t>粪便传送带</w:t>
            </w:r>
            <w:r>
              <w:rPr>
                <w:rFonts w:hint="default" w:ascii="Times New Roman" w:hAnsi="Times New Roman" w:cs="Times New Roman"/>
                <w:color w:val="FF0000"/>
                <w:sz w:val="21"/>
                <w:szCs w:val="21"/>
                <w:lang w:val="en-US" w:eastAsia="zh-CN"/>
              </w:rPr>
              <w:t>进入鸡粪发酵处理场，</w:t>
            </w:r>
            <w:r>
              <w:rPr>
                <w:rFonts w:hint="default" w:ascii="Times New Roman" w:hAnsi="Times New Roman" w:cs="Times New Roman"/>
                <w:color w:val="FF0000"/>
                <w:lang w:val="en-US"/>
              </w:rPr>
              <w:t>发酵处理后，</w:t>
            </w:r>
            <w:r>
              <w:rPr>
                <w:rFonts w:hint="default" w:ascii="Times New Roman" w:hAnsi="Times New Roman" w:cs="Times New Roman"/>
                <w:color w:val="FF0000"/>
                <w:lang w:val="en-US" w:eastAsia="zh-CN"/>
              </w:rPr>
              <w:t>外售农户综合利用</w:t>
            </w:r>
            <w:r>
              <w:rPr>
                <w:rFonts w:hint="default" w:ascii="Times New Roman" w:hAnsi="Times New Roman" w:cs="Times New Roman"/>
                <w:color w:val="FF0000"/>
                <w:sz w:val="21"/>
                <w:szCs w:val="21"/>
                <w:lang w:val="en-US" w:eastAsia="zh-CN"/>
              </w:rPr>
              <w:t>。</w:t>
            </w:r>
          </w:p>
        </w:tc>
        <w:tc>
          <w:tcPr>
            <w:tcW w:w="3130" w:type="dxa"/>
            <w:noWrap w:val="0"/>
            <w:vAlign w:val="center"/>
          </w:tcPr>
          <w:p w14:paraId="65D534AB">
            <w:pPr>
              <w:pStyle w:val="69"/>
              <w:ind w:left="0" w:leftChars="0" w:right="-10" w:rightChars="0" w:firstLine="0" w:firstLineChars="0"/>
              <w:rPr>
                <w:rFonts w:hint="default" w:ascii="Times New Roman" w:hAnsi="Times New Roman" w:eastAsia="宋体" w:cs="Times New Roman"/>
                <w:color w:val="FF0000"/>
                <w:sz w:val="21"/>
                <w:szCs w:val="21"/>
                <w:highlight w:val="none"/>
                <w:lang w:val="zh-CN" w:eastAsia="zh-CN" w:bidi="zh-CN"/>
              </w:rPr>
            </w:pPr>
            <w:r>
              <w:rPr>
                <w:rFonts w:hint="default" w:ascii="Times New Roman" w:hAnsi="Times New Roman" w:eastAsia="宋体" w:cs="Times New Roman"/>
                <w:color w:val="FF0000"/>
                <w:sz w:val="21"/>
                <w:szCs w:val="21"/>
                <w:highlight w:val="none"/>
                <w:lang w:val="zh-CN" w:eastAsia="zh-CN" w:bidi="zh-CN"/>
              </w:rPr>
              <w:t>《畜禽养殖业污染物排放标准》（GB18596-2001）中“畜禽养殖业废渣无害化环境标准”</w:t>
            </w:r>
          </w:p>
        </w:tc>
      </w:tr>
      <w:tr w14:paraId="288D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88" w:type="dxa"/>
            <w:vMerge w:val="continue"/>
            <w:noWrap w:val="0"/>
            <w:vAlign w:val="center"/>
          </w:tcPr>
          <w:p w14:paraId="35292093">
            <w:pPr>
              <w:pStyle w:val="69"/>
              <w:ind w:left="0" w:leftChars="0" w:right="-10" w:rightChars="0" w:firstLine="0" w:firstLineChars="0"/>
              <w:rPr>
                <w:rFonts w:hint="default" w:ascii="Times New Roman" w:hAnsi="Times New Roman" w:cs="Times New Roman"/>
                <w:color w:val="FF0000"/>
                <w:sz w:val="21"/>
                <w:szCs w:val="21"/>
                <w:highlight w:val="none"/>
              </w:rPr>
            </w:pPr>
          </w:p>
        </w:tc>
        <w:tc>
          <w:tcPr>
            <w:tcW w:w="1320" w:type="dxa"/>
            <w:noWrap w:val="0"/>
            <w:vAlign w:val="center"/>
          </w:tcPr>
          <w:p w14:paraId="7CA7E584">
            <w:pPr>
              <w:pStyle w:val="69"/>
              <w:ind w:left="0" w:leftChars="0" w:right="-10" w:rightChars="0" w:firstLine="0" w:firstLineChars="0"/>
              <w:rPr>
                <w:rFonts w:hint="default" w:ascii="Times New Roman" w:hAnsi="Times New Roman" w:eastAsia="宋体" w:cs="Times New Roman"/>
                <w:color w:val="FF0000"/>
                <w:sz w:val="21"/>
                <w:szCs w:val="21"/>
                <w:highlight w:val="none"/>
                <w:lang w:val="en-US" w:eastAsia="zh-CN" w:bidi="zh-CN"/>
              </w:rPr>
            </w:pPr>
            <w:r>
              <w:rPr>
                <w:rFonts w:hint="default" w:ascii="Times New Roman" w:hAnsi="Times New Roman" w:cs="Times New Roman"/>
                <w:color w:val="FF0000"/>
                <w:sz w:val="21"/>
                <w:szCs w:val="21"/>
                <w:highlight w:val="none"/>
                <w:lang w:eastAsia="zh-CN"/>
              </w:rPr>
              <w:t>病死鸡</w:t>
            </w:r>
          </w:p>
        </w:tc>
        <w:tc>
          <w:tcPr>
            <w:tcW w:w="3401" w:type="dxa"/>
            <w:noWrap w:val="0"/>
            <w:vAlign w:val="center"/>
          </w:tcPr>
          <w:p w14:paraId="294FEAB8">
            <w:pPr>
              <w:pStyle w:val="69"/>
              <w:ind w:left="0" w:leftChars="0" w:right="-10" w:rightChars="0" w:firstLine="0" w:firstLineChars="0"/>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21"/>
                <w:szCs w:val="21"/>
                <w:highlight w:val="none"/>
                <w:lang w:val="en-US" w:eastAsia="zh-CN"/>
              </w:rPr>
              <w:t>安全填埋</w:t>
            </w:r>
          </w:p>
        </w:tc>
        <w:tc>
          <w:tcPr>
            <w:tcW w:w="3130" w:type="dxa"/>
            <w:noWrap w:val="0"/>
            <w:vAlign w:val="center"/>
          </w:tcPr>
          <w:p w14:paraId="3A5E9153">
            <w:pPr>
              <w:pStyle w:val="69"/>
              <w:ind w:left="0" w:leftChars="0" w:right="-10" w:rightChars="0" w:firstLine="0" w:firstLineChars="0"/>
              <w:rPr>
                <w:rFonts w:hint="default" w:ascii="Times New Roman" w:hAnsi="Times New Roman" w:eastAsia="宋体" w:cs="Times New Roman"/>
                <w:color w:val="FF0000"/>
                <w:sz w:val="21"/>
                <w:szCs w:val="21"/>
                <w:highlight w:val="none"/>
                <w:lang w:val="zh-CN" w:eastAsia="zh-CN" w:bidi="zh-CN"/>
              </w:rPr>
            </w:pPr>
            <w:r>
              <w:rPr>
                <w:rFonts w:hint="default" w:ascii="Times New Roman" w:hAnsi="Times New Roman" w:cs="Times New Roman"/>
                <w:color w:val="FF0000"/>
                <w:sz w:val="21"/>
                <w:szCs w:val="21"/>
                <w:highlight w:val="none"/>
              </w:rPr>
              <w:t>《病死及病害动物无害化处理技术规范》（农医发</w:t>
            </w:r>
            <w:r>
              <w:rPr>
                <w:rFonts w:hint="default" w:ascii="Times New Roman" w:hAnsi="Times New Roman" w:cs="Times New Roman"/>
                <w:color w:val="FF0000"/>
                <w:sz w:val="21"/>
                <w:szCs w:val="21"/>
                <w:highlight w:val="none"/>
                <w:lang w:eastAsia="zh-CN"/>
              </w:rPr>
              <w:t>〔2017〕</w:t>
            </w:r>
            <w:r>
              <w:rPr>
                <w:rFonts w:hint="default" w:ascii="Times New Roman" w:hAnsi="Times New Roman" w:cs="Times New Roman"/>
                <w:color w:val="FF0000"/>
                <w:sz w:val="21"/>
                <w:szCs w:val="21"/>
                <w:highlight w:val="none"/>
              </w:rPr>
              <w:t>25号）</w:t>
            </w:r>
            <w:r>
              <w:rPr>
                <w:rFonts w:hint="default" w:ascii="Times New Roman" w:hAnsi="Times New Roman" w:cs="Times New Roman"/>
                <w:color w:val="FF0000"/>
                <w:sz w:val="21"/>
                <w:szCs w:val="21"/>
                <w:highlight w:val="none"/>
                <w:lang w:eastAsia="zh-CN"/>
              </w:rPr>
              <w:t>；</w:t>
            </w:r>
            <w:r>
              <w:rPr>
                <w:rFonts w:hint="default" w:ascii="Times New Roman" w:hAnsi="Times New Roman" w:cs="Times New Roman"/>
                <w:color w:val="FF0000"/>
                <w:sz w:val="21"/>
                <w:szCs w:val="21"/>
                <w:highlight w:val="none"/>
              </w:rPr>
              <w:t>《畜禽养殖业污染物排放标准》（GB18596-2001）</w:t>
            </w:r>
          </w:p>
        </w:tc>
      </w:tr>
      <w:tr w14:paraId="4C47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88" w:type="dxa"/>
            <w:vMerge w:val="continue"/>
            <w:noWrap w:val="0"/>
            <w:vAlign w:val="center"/>
          </w:tcPr>
          <w:p w14:paraId="02F9AA1E">
            <w:pPr>
              <w:pStyle w:val="69"/>
              <w:ind w:left="0" w:leftChars="0" w:right="-10" w:rightChars="0" w:firstLine="0" w:firstLineChars="0"/>
              <w:rPr>
                <w:rFonts w:hint="default" w:ascii="Times New Roman" w:hAnsi="Times New Roman" w:cs="Times New Roman"/>
                <w:color w:val="FF0000"/>
                <w:sz w:val="21"/>
                <w:szCs w:val="21"/>
                <w:highlight w:val="none"/>
              </w:rPr>
            </w:pPr>
          </w:p>
        </w:tc>
        <w:tc>
          <w:tcPr>
            <w:tcW w:w="1320" w:type="dxa"/>
            <w:noWrap w:val="0"/>
            <w:vAlign w:val="center"/>
          </w:tcPr>
          <w:p w14:paraId="1BB56A8A">
            <w:pPr>
              <w:pStyle w:val="69"/>
              <w:rPr>
                <w:rFonts w:hint="default" w:ascii="Times New Roman" w:hAnsi="Times New Roman" w:eastAsia="宋体" w:cs="Times New Roman"/>
                <w:color w:val="FF0000"/>
                <w:sz w:val="21"/>
                <w:szCs w:val="21"/>
                <w:highlight w:val="none"/>
                <w:lang w:val="zh-CN" w:eastAsia="zh-CN" w:bidi="zh-CN"/>
              </w:rPr>
            </w:pPr>
            <w:r>
              <w:rPr>
                <w:rFonts w:hint="default" w:ascii="Times New Roman" w:hAnsi="Times New Roman" w:cs="Times New Roman"/>
                <w:color w:val="FF0000"/>
                <w:sz w:val="21"/>
                <w:szCs w:val="21"/>
                <w:highlight w:val="none"/>
                <w:lang w:val="en-US" w:eastAsia="zh-CN"/>
              </w:rPr>
              <w:t>原辅材料</w:t>
            </w:r>
            <w:r>
              <w:rPr>
                <w:rFonts w:hint="default" w:ascii="Times New Roman" w:hAnsi="Times New Roman" w:cs="Times New Roman"/>
                <w:color w:val="FF0000"/>
                <w:sz w:val="21"/>
                <w:szCs w:val="21"/>
                <w:highlight w:val="none"/>
              </w:rPr>
              <w:t>包装物</w:t>
            </w:r>
          </w:p>
        </w:tc>
        <w:tc>
          <w:tcPr>
            <w:tcW w:w="3401" w:type="dxa"/>
            <w:noWrap w:val="0"/>
            <w:vAlign w:val="center"/>
          </w:tcPr>
          <w:p w14:paraId="4B4318C0">
            <w:pPr>
              <w:pStyle w:val="69"/>
              <w:ind w:left="0" w:leftChars="0" w:right="-10" w:rightChars="0" w:firstLine="0" w:firstLineChars="0"/>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由饲料原料厂家回收利用或外售。</w:t>
            </w:r>
          </w:p>
        </w:tc>
        <w:tc>
          <w:tcPr>
            <w:tcW w:w="3130" w:type="dxa"/>
            <w:noWrap w:val="0"/>
            <w:vAlign w:val="center"/>
          </w:tcPr>
          <w:p w14:paraId="4CE50988">
            <w:pPr>
              <w:pStyle w:val="69"/>
              <w:rPr>
                <w:rFonts w:hint="default" w:ascii="Times New Roman" w:hAnsi="Times New Roman" w:eastAsia="宋体" w:cs="Times New Roman"/>
                <w:color w:val="FF0000"/>
                <w:sz w:val="21"/>
                <w:szCs w:val="21"/>
                <w:highlight w:val="none"/>
                <w:lang w:val="zh-CN" w:eastAsia="zh-CN" w:bidi="zh-CN"/>
              </w:rPr>
            </w:pPr>
            <w:r>
              <w:rPr>
                <w:rFonts w:hint="default" w:ascii="Times New Roman" w:hAnsi="Times New Roman" w:cs="Times New Roman"/>
                <w:color w:val="FF0000"/>
                <w:sz w:val="21"/>
                <w:szCs w:val="21"/>
                <w:highlight w:val="none"/>
              </w:rPr>
              <w:t>综合利用</w:t>
            </w:r>
          </w:p>
        </w:tc>
      </w:tr>
      <w:tr w14:paraId="36BB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88" w:type="dxa"/>
            <w:vMerge w:val="continue"/>
            <w:noWrap w:val="0"/>
            <w:vAlign w:val="center"/>
          </w:tcPr>
          <w:p w14:paraId="60CE7FEF">
            <w:pPr>
              <w:pStyle w:val="69"/>
              <w:ind w:left="0" w:leftChars="0" w:right="-10" w:rightChars="0" w:firstLine="0" w:firstLineChars="0"/>
              <w:rPr>
                <w:rFonts w:hint="default" w:ascii="Times New Roman" w:hAnsi="Times New Roman" w:cs="Times New Roman"/>
                <w:color w:val="FF0000"/>
                <w:sz w:val="21"/>
                <w:szCs w:val="21"/>
                <w:highlight w:val="none"/>
              </w:rPr>
            </w:pPr>
          </w:p>
        </w:tc>
        <w:tc>
          <w:tcPr>
            <w:tcW w:w="1320" w:type="dxa"/>
            <w:noWrap w:val="0"/>
            <w:vAlign w:val="center"/>
          </w:tcPr>
          <w:p w14:paraId="0DF3D130">
            <w:pPr>
              <w:pStyle w:val="69"/>
              <w:ind w:left="0" w:leftChars="0" w:right="-10" w:rightChars="0" w:firstLine="0" w:firstLineChars="0"/>
              <w:rPr>
                <w:rFonts w:hint="default" w:ascii="Times New Roman" w:hAnsi="Times New Roman" w:eastAsia="宋体" w:cs="Times New Roman"/>
                <w:color w:val="FF0000"/>
                <w:sz w:val="21"/>
                <w:szCs w:val="21"/>
                <w:highlight w:val="none"/>
                <w:lang w:val="zh-CN" w:eastAsia="zh-CN" w:bidi="zh-CN"/>
              </w:rPr>
            </w:pPr>
            <w:r>
              <w:rPr>
                <w:rFonts w:hint="default" w:ascii="Times New Roman" w:hAnsi="Times New Roman" w:cs="Times New Roman"/>
                <w:color w:val="FF0000"/>
                <w:sz w:val="21"/>
                <w:szCs w:val="21"/>
                <w:highlight w:val="none"/>
              </w:rPr>
              <w:t>生活垃圾</w:t>
            </w:r>
          </w:p>
        </w:tc>
        <w:tc>
          <w:tcPr>
            <w:tcW w:w="3401" w:type="dxa"/>
            <w:noWrap w:val="0"/>
            <w:vAlign w:val="center"/>
          </w:tcPr>
          <w:p w14:paraId="27B891F1">
            <w:pPr>
              <w:pStyle w:val="69"/>
              <w:ind w:left="0" w:leftChars="0" w:right="-10" w:rightChars="0" w:firstLine="0" w:firstLineChars="0"/>
              <w:rPr>
                <w:rFonts w:hint="default" w:ascii="Times New Roman" w:hAnsi="Times New Roman" w:eastAsia="宋体" w:cs="Times New Roman"/>
                <w:color w:val="FF0000"/>
                <w:sz w:val="21"/>
                <w:szCs w:val="21"/>
                <w:highlight w:val="none"/>
                <w:lang w:val="zh-CN" w:eastAsia="zh-CN"/>
              </w:rPr>
            </w:pPr>
            <w:r>
              <w:rPr>
                <w:rFonts w:hint="default" w:ascii="Times New Roman" w:hAnsi="Times New Roman" w:eastAsia="宋体" w:cs="Times New Roman"/>
                <w:color w:val="FF0000"/>
                <w:sz w:val="21"/>
                <w:szCs w:val="21"/>
                <w:highlight w:val="none"/>
              </w:rPr>
              <w:t>由环卫部门定期清运</w:t>
            </w:r>
          </w:p>
        </w:tc>
        <w:tc>
          <w:tcPr>
            <w:tcW w:w="3130" w:type="dxa"/>
            <w:noWrap w:val="0"/>
            <w:vAlign w:val="center"/>
          </w:tcPr>
          <w:p w14:paraId="6DA284A1">
            <w:pPr>
              <w:pStyle w:val="69"/>
              <w:ind w:left="0" w:leftChars="0" w:right="-10" w:rightChars="0" w:firstLine="0" w:firstLineChars="0"/>
              <w:rPr>
                <w:rFonts w:hint="default" w:ascii="Times New Roman" w:hAnsi="Times New Roman" w:eastAsia="宋体" w:cs="Times New Roman"/>
                <w:color w:val="FF0000"/>
                <w:sz w:val="21"/>
                <w:szCs w:val="21"/>
                <w:highlight w:val="none"/>
                <w:lang w:val="zh-CN" w:eastAsia="zh-CN" w:bidi="zh-CN"/>
              </w:rPr>
            </w:pPr>
            <w:r>
              <w:rPr>
                <w:rFonts w:hint="default" w:ascii="Times New Roman" w:hAnsi="Times New Roman" w:cs="Times New Roman"/>
                <w:color w:val="FF0000"/>
                <w:sz w:val="21"/>
                <w:szCs w:val="21"/>
                <w:highlight w:val="none"/>
              </w:rPr>
              <w:t>保持场区及周围环境整洁</w:t>
            </w:r>
          </w:p>
        </w:tc>
      </w:tr>
      <w:tr w14:paraId="3867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588" w:type="dxa"/>
            <w:vMerge w:val="continue"/>
            <w:noWrap w:val="0"/>
            <w:vAlign w:val="center"/>
          </w:tcPr>
          <w:p w14:paraId="04307F8F">
            <w:pPr>
              <w:pStyle w:val="69"/>
              <w:ind w:left="0" w:leftChars="0" w:right="-10" w:rightChars="0" w:firstLine="0" w:firstLineChars="0"/>
              <w:rPr>
                <w:rFonts w:hint="default" w:ascii="Times New Roman" w:hAnsi="Times New Roman" w:cs="Times New Roman"/>
                <w:color w:val="FF0000"/>
                <w:sz w:val="21"/>
                <w:szCs w:val="21"/>
                <w:highlight w:val="none"/>
              </w:rPr>
            </w:pPr>
          </w:p>
        </w:tc>
        <w:tc>
          <w:tcPr>
            <w:tcW w:w="1320" w:type="dxa"/>
            <w:noWrap w:val="0"/>
            <w:vAlign w:val="center"/>
          </w:tcPr>
          <w:p w14:paraId="5A497DC0">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兽用医疗废物</w:t>
            </w:r>
          </w:p>
        </w:tc>
        <w:tc>
          <w:tcPr>
            <w:tcW w:w="3401" w:type="dxa"/>
            <w:noWrap w:val="0"/>
            <w:vAlign w:val="center"/>
          </w:tcPr>
          <w:p w14:paraId="73BD15E7">
            <w:pPr>
              <w:pStyle w:val="69"/>
              <w:ind w:left="0" w:leftChars="0" w:right="-10" w:rightChars="0" w:firstLine="0" w:firstLineChars="0"/>
              <w:rPr>
                <w:rFonts w:hint="default" w:ascii="Times New Roman" w:hAnsi="Times New Roman" w:eastAsia="宋体" w:cs="Times New Roman"/>
                <w:color w:val="FF0000"/>
                <w:sz w:val="21"/>
                <w:szCs w:val="21"/>
                <w:highlight w:val="none"/>
              </w:rPr>
            </w:pPr>
            <w:r>
              <w:rPr>
                <w:rFonts w:hint="default" w:ascii="Times New Roman" w:hAnsi="Times New Roman" w:cs="Times New Roman"/>
                <w:color w:val="FF0000"/>
                <w:sz w:val="21"/>
                <w:szCs w:val="21"/>
              </w:rPr>
              <w:t>暂存于医疗废物暂存间，运营单位将防疫废物煮沸后作为生活垃圾交环卫部门统一处理</w:t>
            </w:r>
          </w:p>
        </w:tc>
        <w:tc>
          <w:tcPr>
            <w:tcW w:w="3130" w:type="dxa"/>
            <w:noWrap w:val="0"/>
            <w:vAlign w:val="center"/>
          </w:tcPr>
          <w:p w14:paraId="5253D507">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参照《医疗废物管理条例》（20</w:t>
            </w:r>
            <w:r>
              <w:rPr>
                <w:rFonts w:hint="default" w:ascii="Times New Roman" w:hAnsi="Times New Roman" w:cs="Times New Roman"/>
                <w:color w:val="FF0000"/>
                <w:sz w:val="21"/>
                <w:szCs w:val="21"/>
                <w:highlight w:val="none"/>
                <w:lang w:val="en-US" w:eastAsia="zh-CN"/>
              </w:rPr>
              <w:t>11年修订</w:t>
            </w:r>
            <w:r>
              <w:rPr>
                <w:rFonts w:hint="default" w:ascii="Times New Roman" w:hAnsi="Times New Roman" w:cs="Times New Roman"/>
                <w:color w:val="FF0000"/>
                <w:sz w:val="21"/>
                <w:szCs w:val="21"/>
                <w:highlight w:val="none"/>
              </w:rPr>
              <w:t>）和《危险废物贮存污染控制标准》（GB18597-20</w:t>
            </w:r>
            <w:r>
              <w:rPr>
                <w:rFonts w:hint="default" w:ascii="Times New Roman" w:hAnsi="Times New Roman" w:cs="Times New Roman"/>
                <w:color w:val="FF0000"/>
                <w:sz w:val="21"/>
                <w:szCs w:val="21"/>
                <w:highlight w:val="none"/>
                <w:lang w:val="en-US" w:eastAsia="zh-CN"/>
              </w:rPr>
              <w:t>23</w:t>
            </w:r>
            <w:r>
              <w:rPr>
                <w:rFonts w:hint="default" w:ascii="Times New Roman" w:hAnsi="Times New Roman" w:cs="Times New Roman"/>
                <w:color w:val="FF0000"/>
                <w:sz w:val="21"/>
                <w:szCs w:val="21"/>
                <w:highlight w:val="none"/>
              </w:rPr>
              <w:t>）中的相应要求。</w:t>
            </w:r>
          </w:p>
        </w:tc>
      </w:tr>
      <w:tr w14:paraId="6BEE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588" w:type="dxa"/>
            <w:noWrap w:val="0"/>
            <w:vAlign w:val="center"/>
          </w:tcPr>
          <w:p w14:paraId="5727C961">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lang w:val="en-US" w:eastAsia="zh-CN"/>
              </w:rPr>
              <w:t>养殖场</w:t>
            </w:r>
            <w:r>
              <w:rPr>
                <w:rFonts w:hint="default" w:ascii="Times New Roman" w:hAnsi="Times New Roman" w:cs="Times New Roman"/>
                <w:color w:val="FF0000"/>
                <w:sz w:val="21"/>
                <w:szCs w:val="21"/>
                <w:highlight w:val="none"/>
              </w:rPr>
              <w:t>噪声</w:t>
            </w:r>
          </w:p>
        </w:tc>
        <w:tc>
          <w:tcPr>
            <w:tcW w:w="1320" w:type="dxa"/>
            <w:noWrap w:val="0"/>
            <w:vAlign w:val="center"/>
          </w:tcPr>
          <w:p w14:paraId="1F8E1A08">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粪便处理区机械设备</w:t>
            </w:r>
          </w:p>
        </w:tc>
        <w:tc>
          <w:tcPr>
            <w:tcW w:w="3401" w:type="dxa"/>
            <w:noWrap w:val="0"/>
            <w:vAlign w:val="center"/>
          </w:tcPr>
          <w:p w14:paraId="4DE8FAC8">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减振措施</w:t>
            </w:r>
          </w:p>
        </w:tc>
        <w:tc>
          <w:tcPr>
            <w:tcW w:w="3130" w:type="dxa"/>
            <w:noWrap w:val="0"/>
            <w:vAlign w:val="center"/>
          </w:tcPr>
          <w:p w14:paraId="6BB7520F">
            <w:pPr>
              <w:pStyle w:val="69"/>
              <w:ind w:left="0" w:leftChars="0" w:right="-10" w:rightChars="0"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《工业企业厂界环境噪声排放标准》（GB12348-2008）中2类标准</w:t>
            </w:r>
          </w:p>
        </w:tc>
      </w:tr>
      <w:tr w14:paraId="4575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588" w:type="dxa"/>
            <w:noWrap w:val="0"/>
            <w:vAlign w:val="center"/>
          </w:tcPr>
          <w:p w14:paraId="01581AE9">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地下水</w:t>
            </w:r>
          </w:p>
        </w:tc>
        <w:tc>
          <w:tcPr>
            <w:tcW w:w="1320" w:type="dxa"/>
            <w:noWrap w:val="0"/>
            <w:vAlign w:val="center"/>
          </w:tcPr>
          <w:p w14:paraId="75CBCF94">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养殖场地下水井</w:t>
            </w:r>
          </w:p>
        </w:tc>
        <w:tc>
          <w:tcPr>
            <w:tcW w:w="3401" w:type="dxa"/>
            <w:noWrap w:val="0"/>
            <w:vAlign w:val="center"/>
          </w:tcPr>
          <w:p w14:paraId="66BF5B37">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pH、总硬度、溶解性总固体、铁、锰、锌、挥发性酚类、耗氧量、氨氮、硫化物、总大肠菌群、细菌总数、亚硝酸盐、硝酸盐、氰化物、氟化物、汞、砷、镉、铬（六价）、铅及八大离子</w:t>
            </w:r>
          </w:p>
        </w:tc>
        <w:tc>
          <w:tcPr>
            <w:tcW w:w="3130" w:type="dxa"/>
            <w:noWrap w:val="0"/>
            <w:vAlign w:val="center"/>
          </w:tcPr>
          <w:p w14:paraId="4950AD32">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《地下水质量标准》（GB/T14848-2017）Ⅲ类标准限值</w:t>
            </w:r>
          </w:p>
        </w:tc>
      </w:tr>
      <w:tr w14:paraId="4B37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trPr>
        <w:tc>
          <w:tcPr>
            <w:tcW w:w="588" w:type="dxa"/>
            <w:noWrap w:val="0"/>
            <w:vAlign w:val="center"/>
          </w:tcPr>
          <w:p w14:paraId="10D9A27B">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大气</w:t>
            </w:r>
          </w:p>
        </w:tc>
        <w:tc>
          <w:tcPr>
            <w:tcW w:w="1320" w:type="dxa"/>
            <w:noWrap w:val="0"/>
            <w:vAlign w:val="center"/>
          </w:tcPr>
          <w:p w14:paraId="3B1356E8">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养殖场场区</w:t>
            </w:r>
          </w:p>
        </w:tc>
        <w:tc>
          <w:tcPr>
            <w:tcW w:w="3401" w:type="dxa"/>
            <w:noWrap w:val="0"/>
            <w:vAlign w:val="center"/>
          </w:tcPr>
          <w:p w14:paraId="76CE8EDF">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NH</w:t>
            </w:r>
            <w:r>
              <w:rPr>
                <w:rFonts w:hint="default" w:ascii="Times New Roman" w:hAnsi="Times New Roman" w:cs="Times New Roman"/>
                <w:color w:val="FF0000"/>
                <w:sz w:val="21"/>
                <w:szCs w:val="21"/>
                <w:highlight w:val="none"/>
                <w:vertAlign w:val="subscript"/>
                <w:lang w:val="en-US" w:eastAsia="zh-CN"/>
              </w:rPr>
              <w:t>3</w:t>
            </w:r>
            <w:r>
              <w:rPr>
                <w:rFonts w:hint="default" w:ascii="Times New Roman" w:hAnsi="Times New Roman" w:cs="Times New Roman"/>
                <w:color w:val="FF0000"/>
                <w:sz w:val="21"/>
                <w:szCs w:val="21"/>
                <w:highlight w:val="none"/>
                <w:lang w:val="en-US" w:eastAsia="zh-CN"/>
              </w:rPr>
              <w:t>、H</w:t>
            </w:r>
            <w:r>
              <w:rPr>
                <w:rFonts w:hint="default" w:ascii="Times New Roman" w:hAnsi="Times New Roman" w:cs="Times New Roman"/>
                <w:color w:val="FF0000"/>
                <w:sz w:val="21"/>
                <w:szCs w:val="21"/>
                <w:highlight w:val="none"/>
                <w:vertAlign w:val="subscript"/>
                <w:lang w:val="en-US" w:eastAsia="zh-CN"/>
              </w:rPr>
              <w:t>2</w:t>
            </w:r>
            <w:r>
              <w:rPr>
                <w:rFonts w:hint="default" w:ascii="Times New Roman" w:hAnsi="Times New Roman" w:cs="Times New Roman"/>
                <w:color w:val="FF0000"/>
                <w:sz w:val="21"/>
                <w:szCs w:val="21"/>
                <w:highlight w:val="none"/>
                <w:lang w:val="en-US" w:eastAsia="zh-CN"/>
              </w:rPr>
              <w:t>S、TSP、恶臭浓度</w:t>
            </w:r>
          </w:p>
        </w:tc>
        <w:tc>
          <w:tcPr>
            <w:tcW w:w="3130" w:type="dxa"/>
            <w:noWrap w:val="0"/>
            <w:vAlign w:val="center"/>
          </w:tcPr>
          <w:p w14:paraId="0872B615">
            <w:pPr>
              <w:pStyle w:val="69"/>
              <w:ind w:left="0" w:leftChars="0" w:right="-10" w:rightChars="0" w:firstLine="0" w:firstLineChar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《畜禽养殖产地环境评价规范》（HJ568-2010）中表5畜禽养殖场和养殖小区环境空气质量评价指标限值。</w:t>
            </w:r>
          </w:p>
        </w:tc>
      </w:tr>
      <w:tr w14:paraId="18F1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588" w:type="dxa"/>
            <w:noWrap w:val="0"/>
            <w:vAlign w:val="center"/>
          </w:tcPr>
          <w:p w14:paraId="1B0CD135">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土壤</w:t>
            </w:r>
          </w:p>
        </w:tc>
        <w:tc>
          <w:tcPr>
            <w:tcW w:w="1320" w:type="dxa"/>
            <w:noWrap w:val="0"/>
            <w:vAlign w:val="center"/>
          </w:tcPr>
          <w:p w14:paraId="504D9DB9">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养殖场场区</w:t>
            </w:r>
          </w:p>
        </w:tc>
        <w:tc>
          <w:tcPr>
            <w:tcW w:w="3401" w:type="dxa"/>
            <w:noWrap w:val="0"/>
            <w:vAlign w:val="center"/>
          </w:tcPr>
          <w:p w14:paraId="6C76CA97">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砷、镉、铬、铜、铅、汞、镍、锌、pH、六六六、滴滴涕</w:t>
            </w:r>
          </w:p>
        </w:tc>
        <w:tc>
          <w:tcPr>
            <w:tcW w:w="3130" w:type="dxa"/>
            <w:noWrap w:val="0"/>
            <w:vAlign w:val="center"/>
          </w:tcPr>
          <w:p w14:paraId="3AC8F239">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《畜禽养殖产地环境评价规范》（HJ568-2010）中表4放牧区和畜禽养殖场、养殖小区土壤环境质量评价指标限值要求</w:t>
            </w:r>
          </w:p>
        </w:tc>
      </w:tr>
      <w:tr w14:paraId="266F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588" w:type="dxa"/>
            <w:noWrap w:val="0"/>
            <w:vAlign w:val="center"/>
          </w:tcPr>
          <w:p w14:paraId="063336A4">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1320" w:type="dxa"/>
            <w:noWrap w:val="0"/>
            <w:vAlign w:val="center"/>
          </w:tcPr>
          <w:p w14:paraId="1D52BF7E">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养殖场厂界</w:t>
            </w:r>
          </w:p>
        </w:tc>
        <w:tc>
          <w:tcPr>
            <w:tcW w:w="3401" w:type="dxa"/>
            <w:noWrap w:val="0"/>
            <w:vAlign w:val="center"/>
          </w:tcPr>
          <w:p w14:paraId="32947278">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厂界噪声</w:t>
            </w:r>
          </w:p>
        </w:tc>
        <w:tc>
          <w:tcPr>
            <w:tcW w:w="3130" w:type="dxa"/>
            <w:noWrap w:val="0"/>
            <w:vAlign w:val="center"/>
          </w:tcPr>
          <w:p w14:paraId="2C4542A6">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《畜禽养殖产地环境评价规范》（HJ568-2010）中表5畜禽养殖场和养殖小区环境空气质量评价指标限值</w:t>
            </w:r>
          </w:p>
        </w:tc>
      </w:tr>
      <w:tr w14:paraId="6950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588" w:type="dxa"/>
            <w:noWrap w:val="0"/>
            <w:vAlign w:val="center"/>
          </w:tcPr>
          <w:p w14:paraId="4359F986">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w:t>
            </w:r>
          </w:p>
        </w:tc>
        <w:tc>
          <w:tcPr>
            <w:tcW w:w="1320" w:type="dxa"/>
            <w:noWrap w:val="0"/>
            <w:vAlign w:val="center"/>
          </w:tcPr>
          <w:p w14:paraId="49C9296C">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排污口</w:t>
            </w:r>
          </w:p>
        </w:tc>
        <w:tc>
          <w:tcPr>
            <w:tcW w:w="3401" w:type="dxa"/>
            <w:noWrap w:val="0"/>
            <w:vAlign w:val="center"/>
          </w:tcPr>
          <w:p w14:paraId="55AF8875">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排污口规范化</w:t>
            </w:r>
          </w:p>
        </w:tc>
        <w:tc>
          <w:tcPr>
            <w:tcW w:w="3130" w:type="dxa"/>
            <w:noWrap w:val="0"/>
            <w:vAlign w:val="center"/>
          </w:tcPr>
          <w:p w14:paraId="3FC8BED8">
            <w:pPr>
              <w:pStyle w:val="69"/>
              <w:ind w:left="0" w:leftChars="0" w:right="-10" w:righ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规范化设计</w:t>
            </w:r>
          </w:p>
        </w:tc>
      </w:tr>
    </w:tbl>
    <w:p w14:paraId="116A91A9">
      <w:pPr>
        <w:pStyle w:val="3"/>
        <w:bidi w:val="0"/>
        <w:rPr>
          <w:rFonts w:hint="default" w:ascii="Times New Roman" w:hAnsi="Times New Roman" w:cs="Times New Roman"/>
          <w:color w:val="auto"/>
          <w:lang w:val="en-US" w:eastAsia="zh-CN"/>
        </w:rPr>
      </w:pPr>
      <w:bookmarkStart w:id="191" w:name="_Toc7771"/>
      <w:bookmarkStart w:id="192" w:name="_Toc11070"/>
      <w:bookmarkStart w:id="193" w:name="_Toc19595"/>
      <w:r>
        <w:rPr>
          <w:rFonts w:hint="default" w:ascii="Times New Roman" w:hAnsi="Times New Roman" w:cs="Times New Roman"/>
          <w:color w:val="auto"/>
          <w:lang w:val="en-US" w:eastAsia="zh-CN"/>
        </w:rPr>
        <w:t>污染物排放清单</w:t>
      </w:r>
      <w:bookmarkEnd w:id="191"/>
      <w:bookmarkEnd w:id="192"/>
      <w:bookmarkEnd w:id="193"/>
    </w:p>
    <w:p w14:paraId="06FEEE9D">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本项目污染源排放清单详见下表。</w:t>
      </w:r>
    </w:p>
    <w:p w14:paraId="3CE9F2EB">
      <w:pPr>
        <w:pStyle w:val="16"/>
        <w:bidi w:val="0"/>
        <w:rPr>
          <w:rFonts w:hint="default" w:ascii="Times New Roman" w:hAnsi="Times New Roman" w:cs="Times New Roman"/>
          <w:color w:val="auto"/>
          <w:lang w:val="en-US" w:eastAsia="zh-CN"/>
        </w:rPr>
        <w:sectPr>
          <w:pgSz w:w="11910" w:h="16840"/>
          <w:pgMar w:top="1440" w:right="1797" w:bottom="1417" w:left="1797" w:header="896" w:footer="1236" w:gutter="0"/>
          <w:pgBorders>
            <w:top w:val="none" w:sz="0" w:space="0"/>
            <w:left w:val="none" w:sz="0" w:space="0"/>
            <w:bottom w:val="none" w:sz="0" w:space="0"/>
            <w:right w:val="none" w:sz="0" w:space="0"/>
          </w:pgBorders>
          <w:pgNumType w:fmt="decimal"/>
          <w:cols w:space="720" w:num="1"/>
          <w:rtlGutter w:val="0"/>
          <w:docGrid w:linePitch="0" w:charSpace="0"/>
        </w:sectPr>
      </w:pPr>
    </w:p>
    <w:p w14:paraId="7D5CFF3F">
      <w:pPr>
        <w:pStyle w:val="14"/>
        <w:bidi w:val="0"/>
        <w:rPr>
          <w:rFonts w:hint="default" w:ascii="Times New Roman" w:hAnsi="Times New Roman" w:cs="Times New Roman"/>
          <w:color w:val="auto"/>
        </w:rPr>
      </w:pPr>
      <w:r>
        <w:rPr>
          <w:rFonts w:hint="default" w:ascii="Times New Roman" w:hAnsi="Times New Roman" w:cs="Times New Roman"/>
          <w:color w:val="auto"/>
        </w:rPr>
        <w:t>8.</w:t>
      </w:r>
      <w:r>
        <w:rPr>
          <w:rFonts w:hint="default" w:ascii="Times New Roman" w:hAnsi="Times New Roman" w:cs="Times New Roman"/>
          <w:color w:val="auto"/>
          <w:lang w:val="en-US" w:eastAsia="zh-CN"/>
        </w:rPr>
        <w:t>4</w:t>
      </w:r>
      <w:r>
        <w:rPr>
          <w:rFonts w:hint="default" w:ascii="Times New Roman" w:hAnsi="Times New Roman" w:cs="Times New Roman"/>
          <w:color w:val="auto"/>
        </w:rPr>
        <w:t>-1本项目污染物排放清单</w:t>
      </w:r>
    </w:p>
    <w:tbl>
      <w:tblPr>
        <w:tblStyle w:val="33"/>
        <w:tblW w:w="51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7"/>
        <w:gridCol w:w="454"/>
        <w:gridCol w:w="773"/>
        <w:gridCol w:w="778"/>
        <w:gridCol w:w="830"/>
        <w:gridCol w:w="597"/>
        <w:gridCol w:w="3065"/>
        <w:gridCol w:w="1126"/>
        <w:gridCol w:w="973"/>
        <w:gridCol w:w="1230"/>
        <w:gridCol w:w="3026"/>
        <w:gridCol w:w="1034"/>
      </w:tblGrid>
      <w:tr w14:paraId="47769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2" w:type="pct"/>
            <w:vMerge w:val="restart"/>
            <w:noWrap w:val="0"/>
            <w:vAlign w:val="center"/>
          </w:tcPr>
          <w:p w14:paraId="4FC1E268">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污染物类型</w:t>
            </w:r>
          </w:p>
        </w:tc>
        <w:tc>
          <w:tcPr>
            <w:tcW w:w="422" w:type="pct"/>
            <w:gridSpan w:val="2"/>
            <w:vMerge w:val="restart"/>
            <w:noWrap w:val="0"/>
            <w:vAlign w:val="center"/>
          </w:tcPr>
          <w:p w14:paraId="372382FC">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267" w:type="pct"/>
            <w:vMerge w:val="restart"/>
            <w:noWrap w:val="0"/>
            <w:vAlign w:val="center"/>
          </w:tcPr>
          <w:p w14:paraId="5352E12C">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产污环节</w:t>
            </w:r>
          </w:p>
        </w:tc>
        <w:tc>
          <w:tcPr>
            <w:tcW w:w="285" w:type="pct"/>
            <w:vMerge w:val="restart"/>
            <w:noWrap w:val="0"/>
            <w:vAlign w:val="center"/>
          </w:tcPr>
          <w:p w14:paraId="76F5545E">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污染物类型</w:t>
            </w:r>
          </w:p>
        </w:tc>
        <w:tc>
          <w:tcPr>
            <w:tcW w:w="205" w:type="pct"/>
            <w:vMerge w:val="restart"/>
            <w:noWrap w:val="0"/>
            <w:vAlign w:val="center"/>
          </w:tcPr>
          <w:p w14:paraId="605C748A">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w:t>
            </w:r>
          </w:p>
          <w:p w14:paraId="64312C58">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形式</w:t>
            </w:r>
          </w:p>
        </w:tc>
        <w:tc>
          <w:tcPr>
            <w:tcW w:w="1054" w:type="pct"/>
            <w:vMerge w:val="restart"/>
            <w:noWrap w:val="0"/>
            <w:vAlign w:val="center"/>
          </w:tcPr>
          <w:p w14:paraId="62917D4A">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拟采取的环境保护措施</w:t>
            </w:r>
          </w:p>
        </w:tc>
        <w:tc>
          <w:tcPr>
            <w:tcW w:w="387" w:type="pct"/>
            <w:vMerge w:val="restart"/>
            <w:noWrap w:val="0"/>
            <w:vAlign w:val="center"/>
          </w:tcPr>
          <w:p w14:paraId="0725D256">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50331859">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334" w:type="pct"/>
            <w:vMerge w:val="restart"/>
            <w:noWrap w:val="0"/>
            <w:vAlign w:val="center"/>
          </w:tcPr>
          <w:p w14:paraId="29E08AB9">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p>
          <w:p w14:paraId="2B729C73">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423" w:type="pct"/>
            <w:noWrap w:val="0"/>
            <w:vAlign w:val="center"/>
          </w:tcPr>
          <w:p w14:paraId="0B6F36AC">
            <w:pPr>
              <w:pStyle w:val="69"/>
              <w:spacing w:line="220"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排放标准</w:t>
            </w:r>
          </w:p>
        </w:tc>
        <w:tc>
          <w:tcPr>
            <w:tcW w:w="1040" w:type="pct"/>
            <w:vMerge w:val="restart"/>
            <w:noWrap w:val="0"/>
            <w:vAlign w:val="center"/>
          </w:tcPr>
          <w:p w14:paraId="744B68B5">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355" w:type="pct"/>
            <w:vMerge w:val="restart"/>
            <w:noWrap w:val="0"/>
            <w:vAlign w:val="center"/>
          </w:tcPr>
          <w:p w14:paraId="0C5E3A1D">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r>
      <w:tr w14:paraId="7CC8B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2" w:type="pct"/>
            <w:vMerge w:val="continue"/>
            <w:tcBorders>
              <w:top w:val="nil"/>
            </w:tcBorders>
            <w:noWrap w:val="0"/>
            <w:vAlign w:val="center"/>
          </w:tcPr>
          <w:p w14:paraId="3460CA0C">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422" w:type="pct"/>
            <w:gridSpan w:val="2"/>
            <w:vMerge w:val="continue"/>
            <w:tcBorders>
              <w:top w:val="nil"/>
            </w:tcBorders>
            <w:noWrap w:val="0"/>
            <w:vAlign w:val="center"/>
          </w:tcPr>
          <w:p w14:paraId="3B776381">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67" w:type="pct"/>
            <w:vMerge w:val="continue"/>
            <w:tcBorders>
              <w:top w:val="nil"/>
            </w:tcBorders>
            <w:noWrap w:val="0"/>
            <w:vAlign w:val="center"/>
          </w:tcPr>
          <w:p w14:paraId="5EF0888F">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vMerge w:val="continue"/>
            <w:tcBorders>
              <w:top w:val="nil"/>
            </w:tcBorders>
            <w:noWrap w:val="0"/>
            <w:vAlign w:val="center"/>
          </w:tcPr>
          <w:p w14:paraId="3EF7FD5A">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05" w:type="pct"/>
            <w:vMerge w:val="continue"/>
            <w:tcBorders>
              <w:top w:val="nil"/>
            </w:tcBorders>
            <w:noWrap w:val="0"/>
            <w:vAlign w:val="center"/>
          </w:tcPr>
          <w:p w14:paraId="615A2152">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054" w:type="pct"/>
            <w:vMerge w:val="continue"/>
            <w:tcBorders>
              <w:top w:val="nil"/>
            </w:tcBorders>
            <w:noWrap w:val="0"/>
            <w:vAlign w:val="center"/>
          </w:tcPr>
          <w:p w14:paraId="0EDD5D62">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87" w:type="pct"/>
            <w:vMerge w:val="continue"/>
            <w:tcBorders>
              <w:top w:val="nil"/>
            </w:tcBorders>
            <w:noWrap w:val="0"/>
            <w:vAlign w:val="center"/>
          </w:tcPr>
          <w:p w14:paraId="44AA7D21">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34" w:type="pct"/>
            <w:vMerge w:val="continue"/>
            <w:tcBorders>
              <w:top w:val="nil"/>
            </w:tcBorders>
            <w:noWrap w:val="0"/>
            <w:vAlign w:val="center"/>
          </w:tcPr>
          <w:p w14:paraId="2AD40206">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423" w:type="pct"/>
            <w:noWrap w:val="0"/>
            <w:vAlign w:val="center"/>
          </w:tcPr>
          <w:p w14:paraId="175A281E">
            <w:pPr>
              <w:pStyle w:val="69"/>
              <w:spacing w:line="237"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w:t>
            </w:r>
          </w:p>
          <w:p w14:paraId="594FD6BD">
            <w:pPr>
              <w:pStyle w:val="69"/>
              <w:spacing w:line="224"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040" w:type="pct"/>
            <w:vMerge w:val="continue"/>
            <w:tcBorders>
              <w:top w:val="nil"/>
            </w:tcBorders>
            <w:noWrap w:val="0"/>
            <w:vAlign w:val="center"/>
          </w:tcPr>
          <w:p w14:paraId="22FA8823">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55" w:type="pct"/>
            <w:vMerge w:val="continue"/>
            <w:tcBorders>
              <w:top w:val="nil"/>
            </w:tcBorders>
            <w:noWrap w:val="0"/>
            <w:vAlign w:val="center"/>
          </w:tcPr>
          <w:p w14:paraId="20F2D3EC">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r>
      <w:tr w14:paraId="7269A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222" w:type="pct"/>
            <w:vMerge w:val="restart"/>
            <w:tcBorders>
              <w:top w:val="nil"/>
            </w:tcBorders>
            <w:noWrap w:val="0"/>
            <w:vAlign w:val="center"/>
          </w:tcPr>
          <w:p w14:paraId="3A8E4752">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p w14:paraId="7E7F4568">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56" w:type="pct"/>
            <w:vMerge w:val="restart"/>
            <w:tcBorders>
              <w:top w:val="nil"/>
            </w:tcBorders>
            <w:noWrap w:val="0"/>
            <w:vAlign w:val="center"/>
          </w:tcPr>
          <w:p w14:paraId="62D026DC">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养殖场</w:t>
            </w:r>
          </w:p>
        </w:tc>
        <w:tc>
          <w:tcPr>
            <w:tcW w:w="266" w:type="pct"/>
            <w:vMerge w:val="restart"/>
            <w:tcBorders>
              <w:top w:val="nil"/>
            </w:tcBorders>
            <w:noWrap w:val="0"/>
            <w:vAlign w:val="center"/>
          </w:tcPr>
          <w:p w14:paraId="3F9408DA">
            <w:pPr>
              <w:pStyle w:val="69"/>
              <w:spacing w:line="252" w:lineRule="exact"/>
              <w:ind w:left="-79" w:leftChars="-36" w:right="-93"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饲料加工</w:t>
            </w:r>
          </w:p>
        </w:tc>
        <w:tc>
          <w:tcPr>
            <w:tcW w:w="267" w:type="pct"/>
            <w:vMerge w:val="restart"/>
            <w:tcBorders>
              <w:top w:val="nil"/>
            </w:tcBorders>
            <w:noWrap w:val="0"/>
            <w:vAlign w:val="center"/>
          </w:tcPr>
          <w:p w14:paraId="64273460">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粉碎搅拌</w:t>
            </w:r>
          </w:p>
        </w:tc>
        <w:tc>
          <w:tcPr>
            <w:tcW w:w="285" w:type="pct"/>
            <w:vMerge w:val="restart"/>
            <w:tcBorders>
              <w:top w:val="nil"/>
            </w:tcBorders>
            <w:noWrap w:val="0"/>
            <w:vAlign w:val="center"/>
          </w:tcPr>
          <w:p w14:paraId="7C8CEB2F">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205" w:type="pct"/>
            <w:tcBorders>
              <w:top w:val="nil"/>
            </w:tcBorders>
            <w:noWrap w:val="0"/>
            <w:vAlign w:val="center"/>
          </w:tcPr>
          <w:p w14:paraId="129B290E">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1054" w:type="pct"/>
            <w:tcBorders>
              <w:top w:val="nil"/>
            </w:tcBorders>
            <w:noWrap w:val="0"/>
            <w:vAlign w:val="center"/>
          </w:tcPr>
          <w:p w14:paraId="7D4D1304">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粉碎、搅拌设备运行时保持</w:t>
            </w:r>
            <w:r>
              <w:rPr>
                <w:rFonts w:hint="default" w:ascii="Times New Roman" w:hAnsi="Times New Roman" w:eastAsia="宋体" w:cs="Times New Roman"/>
                <w:color w:val="auto"/>
                <w:sz w:val="21"/>
                <w:szCs w:val="21"/>
                <w:highlight w:val="none"/>
                <w:lang w:eastAsia="zh-CN"/>
              </w:rPr>
              <w:t>封闭</w:t>
            </w:r>
            <w:r>
              <w:rPr>
                <w:rFonts w:hint="default" w:ascii="Times New Roman" w:hAnsi="Times New Roman" w:eastAsia="宋体" w:cs="Times New Roman"/>
                <w:color w:val="auto"/>
                <w:sz w:val="21"/>
                <w:szCs w:val="21"/>
                <w:highlight w:val="none"/>
              </w:rPr>
              <w:t>，并通过负压吸风收集粉尘，保证粉尘100%被收集。但粉碎机及配料仓粉尘沉降室上设置有换气口，主要作用是为了使沉降室中的气压平衡，换气口设备自带设置脉冲布袋除尘器</w:t>
            </w:r>
            <w:r>
              <w:rPr>
                <w:rFonts w:hint="default" w:ascii="Times New Roman" w:hAnsi="Times New Roman" w:eastAsia="宋体" w:cs="Times New Roman"/>
                <w:color w:val="auto"/>
                <w:sz w:val="21"/>
                <w:szCs w:val="21"/>
                <w:highlight w:val="none"/>
                <w:lang w:val="en-US" w:eastAsia="zh-CN"/>
              </w:rPr>
              <w:t>处理后经1根15米排气筒（DA001）排放</w:t>
            </w:r>
          </w:p>
        </w:tc>
        <w:tc>
          <w:tcPr>
            <w:tcW w:w="387" w:type="pct"/>
            <w:tcBorders>
              <w:top w:val="nil"/>
            </w:tcBorders>
            <w:noWrap w:val="0"/>
            <w:vAlign w:val="center"/>
          </w:tcPr>
          <w:p w14:paraId="0DFF0135">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26.71</w:t>
            </w:r>
          </w:p>
        </w:tc>
        <w:tc>
          <w:tcPr>
            <w:tcW w:w="334" w:type="pct"/>
            <w:tcBorders>
              <w:top w:val="nil"/>
            </w:tcBorders>
            <w:noWrap w:val="0"/>
            <w:vAlign w:val="center"/>
          </w:tcPr>
          <w:p w14:paraId="3B323B06">
            <w:pPr>
              <w:spacing w:before="55" w:line="195" w:lineRule="auto"/>
              <w:jc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0.078</w:t>
            </w:r>
          </w:p>
        </w:tc>
        <w:tc>
          <w:tcPr>
            <w:tcW w:w="423" w:type="pct"/>
            <w:noWrap w:val="0"/>
            <w:vAlign w:val="center"/>
          </w:tcPr>
          <w:p w14:paraId="4001A7DF">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1040" w:type="pct"/>
            <w:vMerge w:val="restart"/>
            <w:tcBorders>
              <w:top w:val="nil"/>
            </w:tcBorders>
            <w:noWrap w:val="0"/>
            <w:vAlign w:val="center"/>
          </w:tcPr>
          <w:p w14:paraId="64E4153C">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highlight w:val="none"/>
              </w:rPr>
              <w:t>《大气污染物综合排放标准》（GB16297-1996）表2二级标准限值</w:t>
            </w:r>
          </w:p>
        </w:tc>
        <w:tc>
          <w:tcPr>
            <w:tcW w:w="355" w:type="pct"/>
            <w:tcBorders>
              <w:top w:val="nil"/>
            </w:tcBorders>
            <w:noWrap w:val="0"/>
            <w:vAlign w:val="center"/>
          </w:tcPr>
          <w:p w14:paraId="29C598BF">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5D52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222" w:type="pct"/>
            <w:vMerge w:val="continue"/>
            <w:noWrap w:val="0"/>
            <w:vAlign w:val="center"/>
          </w:tcPr>
          <w:p w14:paraId="3792DF33">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2CD2009D">
            <w:pPr>
              <w:pStyle w:val="69"/>
              <w:spacing w:line="252" w:lineRule="exact"/>
              <w:ind w:left="-79" w:leftChars="-36" w:right="-93" w:rightChars="0" w:firstLine="0" w:firstLineChars="0"/>
              <w:rPr>
                <w:rFonts w:hint="default" w:ascii="Times New Roman" w:hAnsi="Times New Roman" w:cs="Times New Roman"/>
                <w:color w:val="auto"/>
                <w:sz w:val="21"/>
                <w:szCs w:val="21"/>
                <w:highlight w:val="none"/>
                <w:lang w:val="en-US" w:eastAsia="zh-CN"/>
              </w:rPr>
            </w:pPr>
          </w:p>
        </w:tc>
        <w:tc>
          <w:tcPr>
            <w:tcW w:w="266" w:type="pct"/>
            <w:vMerge w:val="continue"/>
            <w:noWrap w:val="0"/>
            <w:vAlign w:val="center"/>
          </w:tcPr>
          <w:p w14:paraId="6BC47D69">
            <w:pPr>
              <w:pStyle w:val="69"/>
              <w:spacing w:line="252" w:lineRule="exact"/>
              <w:ind w:left="-79" w:leftChars="-36" w:right="-93" w:rightChars="0" w:firstLine="0" w:firstLineChars="0"/>
              <w:rPr>
                <w:rFonts w:hint="default" w:ascii="Times New Roman" w:hAnsi="Times New Roman" w:cs="Times New Roman"/>
                <w:color w:val="auto"/>
                <w:sz w:val="21"/>
                <w:szCs w:val="21"/>
                <w:highlight w:val="none"/>
                <w:lang w:val="en-US" w:eastAsia="zh-CN"/>
              </w:rPr>
            </w:pPr>
          </w:p>
        </w:tc>
        <w:tc>
          <w:tcPr>
            <w:tcW w:w="267" w:type="pct"/>
            <w:vMerge w:val="continue"/>
            <w:noWrap w:val="0"/>
            <w:vAlign w:val="center"/>
          </w:tcPr>
          <w:p w14:paraId="60C581F3">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rPr>
            </w:pPr>
          </w:p>
        </w:tc>
        <w:tc>
          <w:tcPr>
            <w:tcW w:w="285" w:type="pct"/>
            <w:vMerge w:val="continue"/>
            <w:noWrap w:val="0"/>
            <w:vAlign w:val="center"/>
          </w:tcPr>
          <w:p w14:paraId="62F8C99D">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rPr>
            </w:pPr>
          </w:p>
        </w:tc>
        <w:tc>
          <w:tcPr>
            <w:tcW w:w="205" w:type="pct"/>
            <w:tcBorders>
              <w:top w:val="nil"/>
            </w:tcBorders>
            <w:noWrap w:val="0"/>
            <w:vAlign w:val="center"/>
          </w:tcPr>
          <w:p w14:paraId="01302E0A">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1054" w:type="pct"/>
            <w:tcBorders>
              <w:top w:val="nil"/>
            </w:tcBorders>
            <w:noWrap w:val="0"/>
            <w:vAlign w:val="center"/>
          </w:tcPr>
          <w:p w14:paraId="5903C761">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7" w:type="pct"/>
            <w:tcBorders>
              <w:top w:val="nil"/>
            </w:tcBorders>
            <w:noWrap w:val="0"/>
            <w:vAlign w:val="center"/>
          </w:tcPr>
          <w:p w14:paraId="5D5BB9CE">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4" w:type="pct"/>
            <w:tcBorders>
              <w:top w:val="nil"/>
            </w:tcBorders>
            <w:noWrap w:val="0"/>
            <w:vAlign w:val="center"/>
          </w:tcPr>
          <w:p w14:paraId="626FE0F4">
            <w:pPr>
              <w:spacing w:before="55" w:line="195" w:lineRule="auto"/>
              <w:jc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0.086</w:t>
            </w:r>
          </w:p>
        </w:tc>
        <w:tc>
          <w:tcPr>
            <w:tcW w:w="423" w:type="pct"/>
            <w:noWrap w:val="0"/>
            <w:vAlign w:val="center"/>
          </w:tcPr>
          <w:p w14:paraId="2FCA27FF">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040" w:type="pct"/>
            <w:vMerge w:val="continue"/>
            <w:noWrap w:val="0"/>
            <w:vAlign w:val="center"/>
          </w:tcPr>
          <w:p w14:paraId="2ADB43A2">
            <w:pPr>
              <w:pStyle w:val="69"/>
              <w:spacing w:line="255" w:lineRule="exact"/>
              <w:ind w:left="0" w:leftChars="0" w:right="-10" w:rightChars="0" w:firstLine="0" w:firstLineChars="0"/>
              <w:rPr>
                <w:rFonts w:hint="default" w:ascii="Times New Roman" w:hAnsi="Times New Roman" w:cs="Times New Roman"/>
                <w:color w:val="auto"/>
                <w:sz w:val="21"/>
                <w:highlight w:val="none"/>
              </w:rPr>
            </w:pPr>
          </w:p>
        </w:tc>
        <w:tc>
          <w:tcPr>
            <w:tcW w:w="355" w:type="pct"/>
            <w:tcBorders>
              <w:top w:val="nil"/>
            </w:tcBorders>
            <w:noWrap w:val="0"/>
            <w:vAlign w:val="center"/>
          </w:tcPr>
          <w:p w14:paraId="629FBE20">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F7E2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22" w:type="pct"/>
            <w:vMerge w:val="continue"/>
            <w:noWrap w:val="0"/>
            <w:vAlign w:val="center"/>
          </w:tcPr>
          <w:p w14:paraId="1606F8EF">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3600DA97">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rPr>
            </w:pPr>
          </w:p>
        </w:tc>
        <w:tc>
          <w:tcPr>
            <w:tcW w:w="266" w:type="pct"/>
            <w:vMerge w:val="restart"/>
            <w:tcBorders>
              <w:top w:val="nil"/>
            </w:tcBorders>
            <w:noWrap w:val="0"/>
            <w:vAlign w:val="center"/>
          </w:tcPr>
          <w:p w14:paraId="6EE19A6E">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鸡舍</w:t>
            </w:r>
          </w:p>
        </w:tc>
        <w:tc>
          <w:tcPr>
            <w:tcW w:w="267" w:type="pct"/>
            <w:vMerge w:val="restart"/>
            <w:tcBorders>
              <w:top w:val="nil"/>
            </w:tcBorders>
            <w:noWrap w:val="0"/>
            <w:vAlign w:val="center"/>
          </w:tcPr>
          <w:p w14:paraId="2BAB9FE0">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养殖</w:t>
            </w:r>
          </w:p>
        </w:tc>
        <w:tc>
          <w:tcPr>
            <w:tcW w:w="285" w:type="pct"/>
            <w:tcBorders>
              <w:top w:val="nil"/>
            </w:tcBorders>
            <w:noWrap w:val="0"/>
            <w:vAlign w:val="center"/>
          </w:tcPr>
          <w:p w14:paraId="3131EA8B">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205" w:type="pct"/>
            <w:vMerge w:val="restart"/>
            <w:tcBorders>
              <w:top w:val="nil"/>
            </w:tcBorders>
            <w:noWrap w:val="0"/>
            <w:vAlign w:val="center"/>
          </w:tcPr>
          <w:p w14:paraId="21FDBBC8">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054" w:type="pct"/>
            <w:vMerge w:val="restart"/>
            <w:tcBorders>
              <w:top w:val="nil"/>
            </w:tcBorders>
            <w:noWrap w:val="0"/>
            <w:vAlign w:val="center"/>
          </w:tcPr>
          <w:p w14:paraId="54F0BFBD">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生物除臭、绿化隔离</w:t>
            </w:r>
          </w:p>
        </w:tc>
        <w:tc>
          <w:tcPr>
            <w:tcW w:w="387" w:type="pct"/>
            <w:tcBorders>
              <w:top w:val="nil"/>
            </w:tcBorders>
            <w:noWrap w:val="0"/>
            <w:vAlign w:val="center"/>
          </w:tcPr>
          <w:p w14:paraId="29883A8B">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4" w:type="pct"/>
            <w:tcBorders>
              <w:top w:val="nil"/>
            </w:tcBorders>
            <w:noWrap w:val="0"/>
            <w:vAlign w:val="center"/>
          </w:tcPr>
          <w:p w14:paraId="7E726183">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bidi="zh-CN"/>
              </w:rPr>
            </w:pPr>
            <w:r>
              <w:rPr>
                <w:rFonts w:hint="default" w:ascii="Times New Roman" w:hAnsi="Times New Roman" w:eastAsia="宋体" w:cs="Times New Roman"/>
                <w:i w:val="0"/>
                <w:iCs w:val="0"/>
                <w:color w:val="FF0000"/>
                <w:kern w:val="0"/>
                <w:sz w:val="21"/>
                <w:szCs w:val="21"/>
                <w:u w:val="none"/>
                <w:lang w:val="en-US" w:eastAsia="zh-CN" w:bidi="ar"/>
              </w:rPr>
              <w:t>0.657</w:t>
            </w:r>
          </w:p>
        </w:tc>
        <w:tc>
          <w:tcPr>
            <w:tcW w:w="423" w:type="pct"/>
            <w:noWrap w:val="0"/>
            <w:vAlign w:val="center"/>
          </w:tcPr>
          <w:p w14:paraId="0C0CCABB">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040" w:type="pct"/>
            <w:vMerge w:val="restart"/>
            <w:tcBorders>
              <w:top w:val="nil"/>
            </w:tcBorders>
            <w:noWrap w:val="0"/>
            <w:vAlign w:val="center"/>
          </w:tcPr>
          <w:p w14:paraId="698FE0B9">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w:t>
            </w:r>
          </w:p>
          <w:p w14:paraId="16665309">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（GB14554-93）臭气浓度执行《畜禽养殖业污染物排放标准》</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GB18596-2001</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表7集约化畜禽养殖业恶臭污染物排放标准</w:t>
            </w:r>
          </w:p>
        </w:tc>
        <w:tc>
          <w:tcPr>
            <w:tcW w:w="355" w:type="pct"/>
            <w:vMerge w:val="restart"/>
            <w:tcBorders>
              <w:top w:val="nil"/>
            </w:tcBorders>
            <w:noWrap w:val="0"/>
            <w:vAlign w:val="center"/>
          </w:tcPr>
          <w:p w14:paraId="5855E15B">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9246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jc w:val="center"/>
        </w:trPr>
        <w:tc>
          <w:tcPr>
            <w:tcW w:w="222" w:type="pct"/>
            <w:vMerge w:val="continue"/>
            <w:noWrap w:val="0"/>
            <w:vAlign w:val="center"/>
          </w:tcPr>
          <w:p w14:paraId="6602A45F">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2E98A117">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rPr>
            </w:pPr>
          </w:p>
        </w:tc>
        <w:tc>
          <w:tcPr>
            <w:tcW w:w="266" w:type="pct"/>
            <w:vMerge w:val="continue"/>
            <w:noWrap w:val="0"/>
            <w:vAlign w:val="center"/>
          </w:tcPr>
          <w:p w14:paraId="4D6B5123">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43AA4E1E">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noWrap w:val="0"/>
            <w:vAlign w:val="center"/>
          </w:tcPr>
          <w:p w14:paraId="3D62D720">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205" w:type="pct"/>
            <w:vMerge w:val="continue"/>
            <w:noWrap w:val="0"/>
            <w:vAlign w:val="center"/>
          </w:tcPr>
          <w:p w14:paraId="6BA77D2C">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054" w:type="pct"/>
            <w:vMerge w:val="continue"/>
            <w:noWrap w:val="0"/>
            <w:vAlign w:val="center"/>
          </w:tcPr>
          <w:p w14:paraId="208CD741">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87" w:type="pct"/>
            <w:noWrap w:val="0"/>
            <w:vAlign w:val="center"/>
          </w:tcPr>
          <w:p w14:paraId="3DE94FFB">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4" w:type="pct"/>
            <w:noWrap w:val="0"/>
            <w:vAlign w:val="center"/>
          </w:tcPr>
          <w:p w14:paraId="7F955D35">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bidi="zh-CN"/>
              </w:rPr>
            </w:pPr>
            <w:r>
              <w:rPr>
                <w:rFonts w:hint="default" w:ascii="Times New Roman" w:hAnsi="Times New Roman" w:eastAsia="宋体" w:cs="Times New Roman"/>
                <w:i w:val="0"/>
                <w:iCs w:val="0"/>
                <w:color w:val="FF0000"/>
                <w:kern w:val="0"/>
                <w:sz w:val="21"/>
                <w:szCs w:val="21"/>
                <w:u w:val="none"/>
                <w:lang w:val="en-US" w:eastAsia="zh-CN" w:bidi="ar"/>
              </w:rPr>
              <w:t>0.0657</w:t>
            </w:r>
          </w:p>
        </w:tc>
        <w:tc>
          <w:tcPr>
            <w:tcW w:w="423" w:type="pct"/>
            <w:noWrap w:val="0"/>
            <w:vAlign w:val="center"/>
          </w:tcPr>
          <w:p w14:paraId="6A735984">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1040" w:type="pct"/>
            <w:vMerge w:val="continue"/>
            <w:noWrap w:val="0"/>
            <w:vAlign w:val="center"/>
          </w:tcPr>
          <w:p w14:paraId="5618E771">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55" w:type="pct"/>
            <w:vMerge w:val="continue"/>
            <w:noWrap w:val="0"/>
            <w:vAlign w:val="center"/>
          </w:tcPr>
          <w:p w14:paraId="002422DE">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r>
      <w:tr w14:paraId="72DE6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222" w:type="pct"/>
            <w:vMerge w:val="continue"/>
            <w:noWrap w:val="0"/>
            <w:vAlign w:val="center"/>
          </w:tcPr>
          <w:p w14:paraId="6A10FDB0">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6EEAD67E">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rPr>
            </w:pPr>
          </w:p>
        </w:tc>
        <w:tc>
          <w:tcPr>
            <w:tcW w:w="266" w:type="pct"/>
            <w:vMerge w:val="restart"/>
            <w:tcBorders>
              <w:top w:val="nil"/>
            </w:tcBorders>
            <w:noWrap w:val="0"/>
            <w:vAlign w:val="center"/>
          </w:tcPr>
          <w:p w14:paraId="36C12B76">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鸡粪发酵处理场</w:t>
            </w:r>
          </w:p>
        </w:tc>
        <w:tc>
          <w:tcPr>
            <w:tcW w:w="267" w:type="pct"/>
            <w:vMerge w:val="restart"/>
            <w:tcBorders>
              <w:top w:val="nil"/>
            </w:tcBorders>
            <w:noWrap w:val="0"/>
            <w:vAlign w:val="center"/>
          </w:tcPr>
          <w:p w14:paraId="15C95569">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堆肥</w:t>
            </w:r>
          </w:p>
        </w:tc>
        <w:tc>
          <w:tcPr>
            <w:tcW w:w="285" w:type="pct"/>
            <w:noWrap w:val="0"/>
            <w:vAlign w:val="center"/>
          </w:tcPr>
          <w:p w14:paraId="7961D364">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205" w:type="pct"/>
            <w:vMerge w:val="restart"/>
            <w:tcBorders>
              <w:top w:val="nil"/>
            </w:tcBorders>
            <w:noWrap w:val="0"/>
            <w:vAlign w:val="center"/>
          </w:tcPr>
          <w:p w14:paraId="06306B9B">
            <w:pPr>
              <w:ind w:left="0" w:leftChars="0" w:right="-1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有组织</w:t>
            </w:r>
          </w:p>
        </w:tc>
        <w:tc>
          <w:tcPr>
            <w:tcW w:w="1054" w:type="pct"/>
            <w:vMerge w:val="restart"/>
            <w:tcBorders>
              <w:top w:val="nil"/>
            </w:tcBorders>
            <w:noWrap w:val="0"/>
            <w:vAlign w:val="center"/>
          </w:tcPr>
          <w:p w14:paraId="1B73DFE5">
            <w:pPr>
              <w:ind w:left="0" w:leftChars="0" w:right="-1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FF0000"/>
                <w:sz w:val="21"/>
                <w:szCs w:val="22"/>
                <w:highlight w:val="none"/>
                <w:lang w:val="en-US" w:eastAsia="zh-CN" w:bidi="zh-CN"/>
              </w:rPr>
              <w:t>生物过滤除臭系统</w:t>
            </w:r>
            <w:r>
              <w:rPr>
                <w:rFonts w:hint="default" w:ascii="Times New Roman" w:hAnsi="Times New Roman" w:eastAsia="宋体" w:cs="Times New Roman"/>
                <w:color w:val="auto"/>
                <w:sz w:val="21"/>
                <w:szCs w:val="21"/>
                <w:highlight w:val="none"/>
                <w:lang w:val="en-US" w:eastAsia="zh-CN"/>
              </w:rPr>
              <w:t>处理后经1根15米排气筒（DA002）排放</w:t>
            </w:r>
          </w:p>
        </w:tc>
        <w:tc>
          <w:tcPr>
            <w:tcW w:w="387" w:type="pct"/>
            <w:tcBorders>
              <w:bottom w:val="single" w:color="auto" w:sz="4" w:space="0"/>
            </w:tcBorders>
            <w:noWrap w:val="0"/>
            <w:vAlign w:val="center"/>
          </w:tcPr>
          <w:p w14:paraId="725B5EFC">
            <w:pPr>
              <w:ind w:left="-119" w:leftChars="-54" w:right="-109"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FF0000"/>
                <w:sz w:val="21"/>
                <w:szCs w:val="22"/>
                <w:highlight w:val="none"/>
                <w:lang w:val="en-US" w:eastAsia="zh-CN" w:bidi="zh-CN"/>
              </w:rPr>
              <w:t>0.017</w:t>
            </w:r>
          </w:p>
        </w:tc>
        <w:tc>
          <w:tcPr>
            <w:tcW w:w="334" w:type="pct"/>
            <w:tcBorders>
              <w:bottom w:val="single" w:color="auto" w:sz="4" w:space="0"/>
            </w:tcBorders>
            <w:noWrap w:val="0"/>
            <w:vAlign w:val="center"/>
          </w:tcPr>
          <w:p w14:paraId="6832D1EA">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0.015</w:t>
            </w:r>
          </w:p>
        </w:tc>
        <w:tc>
          <w:tcPr>
            <w:tcW w:w="1230" w:type="dxa"/>
            <w:tcBorders>
              <w:bottom w:val="single" w:color="auto" w:sz="4" w:space="0"/>
            </w:tcBorders>
            <w:noWrap w:val="0"/>
            <w:vAlign w:val="center"/>
          </w:tcPr>
          <w:p w14:paraId="5B8B9A1B">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0.33</w:t>
            </w:r>
            <w:r>
              <w:rPr>
                <w:rFonts w:hint="default" w:ascii="Times New Roman" w:hAnsi="Times New Roman" w:eastAsia="宋体" w:cs="Times New Roman"/>
                <w:color w:val="auto"/>
                <w:sz w:val="21"/>
                <w:szCs w:val="21"/>
                <w:highlight w:val="none"/>
                <w:lang w:val="en-US" w:eastAsia="zh-CN"/>
              </w:rPr>
              <w:t>kg/h</w:t>
            </w:r>
          </w:p>
        </w:tc>
        <w:tc>
          <w:tcPr>
            <w:tcW w:w="1040" w:type="pct"/>
            <w:vMerge w:val="restart"/>
            <w:tcBorders>
              <w:top w:val="nil"/>
            </w:tcBorders>
            <w:noWrap w:val="0"/>
            <w:vAlign w:val="center"/>
          </w:tcPr>
          <w:p w14:paraId="33FDA6F5">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w:t>
            </w:r>
          </w:p>
          <w:p w14:paraId="5442760D">
            <w:pPr>
              <w:ind w:left="0" w:leftChars="0" w:right="-1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（GB14554-93）</w:t>
            </w:r>
          </w:p>
        </w:tc>
        <w:tc>
          <w:tcPr>
            <w:tcW w:w="355" w:type="pct"/>
            <w:tcBorders>
              <w:top w:val="nil"/>
            </w:tcBorders>
            <w:noWrap w:val="0"/>
            <w:vAlign w:val="center"/>
          </w:tcPr>
          <w:p w14:paraId="08C1D626">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283BD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222" w:type="pct"/>
            <w:vMerge w:val="continue"/>
            <w:noWrap w:val="0"/>
            <w:vAlign w:val="center"/>
          </w:tcPr>
          <w:p w14:paraId="1A4E40A6">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2D8A1FB5">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rPr>
            </w:pPr>
          </w:p>
        </w:tc>
        <w:tc>
          <w:tcPr>
            <w:tcW w:w="266" w:type="pct"/>
            <w:vMerge w:val="continue"/>
            <w:noWrap w:val="0"/>
            <w:vAlign w:val="center"/>
          </w:tcPr>
          <w:p w14:paraId="71D6C499">
            <w:pPr>
              <w:pStyle w:val="69"/>
              <w:spacing w:line="252" w:lineRule="exact"/>
              <w:ind w:left="-79" w:leftChars="-36" w:right="-93" w:rightChars="0" w:firstLine="0" w:firstLineChars="0"/>
              <w:rPr>
                <w:rFonts w:hint="default" w:ascii="Times New Roman" w:hAnsi="Times New Roman" w:cs="Times New Roman"/>
                <w:color w:val="auto"/>
                <w:sz w:val="21"/>
                <w:szCs w:val="21"/>
                <w:highlight w:val="none"/>
                <w:lang w:eastAsia="zh-CN"/>
              </w:rPr>
            </w:pPr>
          </w:p>
        </w:tc>
        <w:tc>
          <w:tcPr>
            <w:tcW w:w="267" w:type="pct"/>
            <w:vMerge w:val="continue"/>
            <w:noWrap w:val="0"/>
            <w:vAlign w:val="center"/>
          </w:tcPr>
          <w:p w14:paraId="09BE381E">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rPr>
            </w:pPr>
          </w:p>
        </w:tc>
        <w:tc>
          <w:tcPr>
            <w:tcW w:w="285" w:type="pct"/>
            <w:noWrap w:val="0"/>
            <w:vAlign w:val="center"/>
          </w:tcPr>
          <w:p w14:paraId="5F7B6AD6">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205" w:type="pct"/>
            <w:vMerge w:val="continue"/>
            <w:noWrap w:val="0"/>
            <w:vAlign w:val="center"/>
          </w:tcPr>
          <w:p w14:paraId="74960C27">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054" w:type="pct"/>
            <w:vMerge w:val="continue"/>
            <w:noWrap w:val="0"/>
            <w:vAlign w:val="center"/>
          </w:tcPr>
          <w:p w14:paraId="78DF2FDB">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87" w:type="pct"/>
            <w:tcBorders>
              <w:bottom w:val="single" w:color="auto" w:sz="4" w:space="0"/>
            </w:tcBorders>
            <w:noWrap w:val="0"/>
            <w:vAlign w:val="center"/>
          </w:tcPr>
          <w:p w14:paraId="599B5B76">
            <w:pPr>
              <w:ind w:left="-119" w:leftChars="-54" w:right="-109"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FF0000"/>
                <w:sz w:val="21"/>
                <w:szCs w:val="22"/>
                <w:highlight w:val="none"/>
                <w:lang w:val="en-US" w:eastAsia="zh-CN" w:bidi="zh-CN"/>
              </w:rPr>
              <w:t>0.002</w:t>
            </w:r>
          </w:p>
        </w:tc>
        <w:tc>
          <w:tcPr>
            <w:tcW w:w="334" w:type="pct"/>
            <w:tcBorders>
              <w:bottom w:val="single" w:color="auto" w:sz="4" w:space="0"/>
            </w:tcBorders>
            <w:noWrap w:val="0"/>
            <w:vAlign w:val="center"/>
          </w:tcPr>
          <w:p w14:paraId="4A1691FE">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2"/>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0.002</w:t>
            </w:r>
          </w:p>
        </w:tc>
        <w:tc>
          <w:tcPr>
            <w:tcW w:w="1230" w:type="dxa"/>
            <w:tcBorders>
              <w:bottom w:val="single" w:color="auto" w:sz="4" w:space="0"/>
            </w:tcBorders>
            <w:noWrap w:val="0"/>
            <w:vAlign w:val="center"/>
          </w:tcPr>
          <w:p w14:paraId="0C94B374">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r>
              <w:rPr>
                <w:rFonts w:hint="default" w:ascii="Times New Roman" w:hAnsi="Times New Roman" w:eastAsia="宋体" w:cs="Times New Roman"/>
                <w:color w:val="auto"/>
                <w:sz w:val="21"/>
                <w:szCs w:val="21"/>
                <w:highlight w:val="none"/>
                <w:lang w:val="en-US" w:eastAsia="zh-CN"/>
              </w:rPr>
              <w:t>kg/h</w:t>
            </w:r>
          </w:p>
        </w:tc>
        <w:tc>
          <w:tcPr>
            <w:tcW w:w="1040" w:type="pct"/>
            <w:vMerge w:val="continue"/>
            <w:noWrap w:val="0"/>
            <w:vAlign w:val="center"/>
          </w:tcPr>
          <w:p w14:paraId="78E0D634">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55" w:type="pct"/>
            <w:tcBorders>
              <w:top w:val="nil"/>
            </w:tcBorders>
            <w:noWrap w:val="0"/>
            <w:vAlign w:val="center"/>
          </w:tcPr>
          <w:p w14:paraId="5B7087D0">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5DF9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222" w:type="pct"/>
            <w:vMerge w:val="continue"/>
            <w:noWrap w:val="0"/>
            <w:vAlign w:val="center"/>
          </w:tcPr>
          <w:p w14:paraId="2E631B96">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2C07F8FF">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rPr>
            </w:pPr>
          </w:p>
        </w:tc>
        <w:tc>
          <w:tcPr>
            <w:tcW w:w="266" w:type="pct"/>
            <w:vMerge w:val="continue"/>
            <w:noWrap w:val="0"/>
            <w:vAlign w:val="center"/>
          </w:tcPr>
          <w:p w14:paraId="0FC9F79C">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eastAsia="zh-CN"/>
              </w:rPr>
            </w:pPr>
          </w:p>
        </w:tc>
        <w:tc>
          <w:tcPr>
            <w:tcW w:w="267" w:type="pct"/>
            <w:vMerge w:val="continue"/>
            <w:noWrap w:val="0"/>
            <w:vAlign w:val="center"/>
          </w:tcPr>
          <w:p w14:paraId="2469CEC0">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rPr>
            </w:pPr>
          </w:p>
        </w:tc>
        <w:tc>
          <w:tcPr>
            <w:tcW w:w="285" w:type="pct"/>
            <w:noWrap w:val="0"/>
            <w:vAlign w:val="center"/>
          </w:tcPr>
          <w:p w14:paraId="1CE4BB8A">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205" w:type="pct"/>
            <w:vMerge w:val="restart"/>
            <w:tcBorders>
              <w:top w:val="nil"/>
            </w:tcBorders>
            <w:noWrap w:val="0"/>
            <w:vAlign w:val="center"/>
          </w:tcPr>
          <w:p w14:paraId="47C08926">
            <w:pPr>
              <w:ind w:left="0" w:leftChars="0" w:right="-1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054" w:type="pct"/>
            <w:vMerge w:val="restart"/>
            <w:tcBorders>
              <w:top w:val="nil"/>
            </w:tcBorders>
            <w:noWrap w:val="0"/>
            <w:vAlign w:val="center"/>
          </w:tcPr>
          <w:p w14:paraId="3AA0A718">
            <w:pPr>
              <w:ind w:left="0" w:leftChars="0" w:right="-1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生物除臭、绿化隔离</w:t>
            </w:r>
          </w:p>
        </w:tc>
        <w:tc>
          <w:tcPr>
            <w:tcW w:w="387" w:type="pct"/>
            <w:tcBorders>
              <w:bottom w:val="single" w:color="auto" w:sz="4" w:space="0"/>
            </w:tcBorders>
            <w:noWrap w:val="0"/>
            <w:vAlign w:val="center"/>
          </w:tcPr>
          <w:p w14:paraId="785D667A">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p>
        </w:tc>
        <w:tc>
          <w:tcPr>
            <w:tcW w:w="973" w:type="dxa"/>
            <w:tcBorders>
              <w:bottom w:val="single" w:color="auto" w:sz="4" w:space="0"/>
            </w:tcBorders>
            <w:noWrap w:val="0"/>
            <w:vAlign w:val="center"/>
          </w:tcPr>
          <w:p w14:paraId="458E18C1">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0.0075</w:t>
            </w:r>
          </w:p>
        </w:tc>
        <w:tc>
          <w:tcPr>
            <w:tcW w:w="423" w:type="pct"/>
            <w:tcBorders>
              <w:bottom w:val="single" w:color="auto" w:sz="4" w:space="0"/>
            </w:tcBorders>
            <w:noWrap w:val="0"/>
            <w:vAlign w:val="center"/>
          </w:tcPr>
          <w:p w14:paraId="7665E8FD">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1.5</w:t>
            </w:r>
          </w:p>
        </w:tc>
        <w:tc>
          <w:tcPr>
            <w:tcW w:w="1040" w:type="pct"/>
            <w:vMerge w:val="restart"/>
            <w:tcBorders>
              <w:top w:val="nil"/>
            </w:tcBorders>
            <w:noWrap w:val="0"/>
            <w:vAlign w:val="center"/>
          </w:tcPr>
          <w:p w14:paraId="0CCA70BF">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w:t>
            </w:r>
          </w:p>
          <w:p w14:paraId="72FA839F">
            <w:pPr>
              <w:ind w:left="0" w:leftChars="0" w:right="-1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（GB14554-93）臭气浓度执行《畜禽养殖业污染物排放标准》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GB18596-2001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表7集约化畜禽养殖业恶臭污染物排放标准</w:t>
            </w:r>
          </w:p>
        </w:tc>
        <w:tc>
          <w:tcPr>
            <w:tcW w:w="355" w:type="pct"/>
            <w:vMerge w:val="restart"/>
            <w:tcBorders>
              <w:top w:val="nil"/>
            </w:tcBorders>
            <w:noWrap w:val="0"/>
            <w:vAlign w:val="center"/>
          </w:tcPr>
          <w:p w14:paraId="2FF7A928">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D8C0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222" w:type="pct"/>
            <w:vMerge w:val="continue"/>
            <w:noWrap w:val="0"/>
            <w:vAlign w:val="center"/>
          </w:tcPr>
          <w:p w14:paraId="1E45229F">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083951D0">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rPr>
            </w:pPr>
          </w:p>
        </w:tc>
        <w:tc>
          <w:tcPr>
            <w:tcW w:w="266" w:type="pct"/>
            <w:vMerge w:val="continue"/>
            <w:tcBorders>
              <w:bottom w:val="single" w:color="000000" w:sz="4" w:space="0"/>
            </w:tcBorders>
            <w:noWrap w:val="0"/>
            <w:vAlign w:val="center"/>
          </w:tcPr>
          <w:p w14:paraId="56149181">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rPr>
            </w:pPr>
          </w:p>
        </w:tc>
        <w:tc>
          <w:tcPr>
            <w:tcW w:w="267" w:type="pct"/>
            <w:vMerge w:val="continue"/>
            <w:tcBorders>
              <w:bottom w:val="single" w:color="000000" w:sz="4" w:space="0"/>
            </w:tcBorders>
            <w:noWrap w:val="0"/>
            <w:vAlign w:val="center"/>
          </w:tcPr>
          <w:p w14:paraId="68716500">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tcBorders>
              <w:bottom w:val="single" w:color="000000" w:sz="4" w:space="0"/>
            </w:tcBorders>
            <w:noWrap w:val="0"/>
            <w:vAlign w:val="center"/>
          </w:tcPr>
          <w:p w14:paraId="76D9C5D1">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205" w:type="pct"/>
            <w:vMerge w:val="continue"/>
            <w:tcBorders>
              <w:top w:val="nil"/>
              <w:bottom w:val="single" w:color="000000" w:sz="4" w:space="0"/>
            </w:tcBorders>
            <w:noWrap w:val="0"/>
            <w:vAlign w:val="center"/>
          </w:tcPr>
          <w:p w14:paraId="6EB28222">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054" w:type="pct"/>
            <w:vMerge w:val="continue"/>
            <w:tcBorders>
              <w:top w:val="nil"/>
              <w:bottom w:val="single" w:color="000000" w:sz="4" w:space="0"/>
            </w:tcBorders>
            <w:noWrap w:val="0"/>
            <w:vAlign w:val="center"/>
          </w:tcPr>
          <w:p w14:paraId="1BB52C17">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87" w:type="pct"/>
            <w:tcBorders>
              <w:top w:val="single" w:color="auto" w:sz="4" w:space="0"/>
              <w:bottom w:val="single" w:color="000000" w:sz="4" w:space="0"/>
            </w:tcBorders>
            <w:noWrap w:val="0"/>
            <w:vAlign w:val="center"/>
          </w:tcPr>
          <w:p w14:paraId="3E815B78">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p>
        </w:tc>
        <w:tc>
          <w:tcPr>
            <w:tcW w:w="973" w:type="dxa"/>
            <w:tcBorders>
              <w:top w:val="single" w:color="auto" w:sz="4" w:space="0"/>
              <w:bottom w:val="single" w:color="000000" w:sz="4" w:space="0"/>
            </w:tcBorders>
            <w:noWrap w:val="0"/>
            <w:vAlign w:val="center"/>
          </w:tcPr>
          <w:p w14:paraId="2380837D">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bidi="zh-CN"/>
              </w:rPr>
            </w:pPr>
            <w:r>
              <w:rPr>
                <w:rFonts w:hint="default" w:ascii="Times New Roman" w:hAnsi="Times New Roman" w:eastAsia="宋体" w:cs="Times New Roman"/>
                <w:snapToGrid w:val="0"/>
                <w:color w:val="FF0000"/>
                <w:sz w:val="21"/>
                <w:szCs w:val="22"/>
                <w:highlight w:val="none"/>
                <w:lang w:val="en-US" w:eastAsia="zh-CN" w:bidi="zh-CN"/>
              </w:rPr>
              <w:t>0.001</w:t>
            </w:r>
          </w:p>
        </w:tc>
        <w:tc>
          <w:tcPr>
            <w:tcW w:w="423" w:type="pct"/>
            <w:tcBorders>
              <w:top w:val="single" w:color="auto" w:sz="4" w:space="0"/>
              <w:bottom w:val="single" w:color="000000" w:sz="4" w:space="0"/>
            </w:tcBorders>
            <w:noWrap w:val="0"/>
            <w:vAlign w:val="center"/>
          </w:tcPr>
          <w:p w14:paraId="476BFED1">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0.06</w:t>
            </w:r>
          </w:p>
        </w:tc>
        <w:tc>
          <w:tcPr>
            <w:tcW w:w="1040" w:type="pct"/>
            <w:vMerge w:val="continue"/>
            <w:tcBorders>
              <w:top w:val="nil"/>
              <w:bottom w:val="single" w:color="000000" w:sz="4" w:space="0"/>
            </w:tcBorders>
            <w:noWrap w:val="0"/>
            <w:vAlign w:val="center"/>
          </w:tcPr>
          <w:p w14:paraId="0E413371">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55" w:type="pct"/>
            <w:vMerge w:val="continue"/>
            <w:tcBorders>
              <w:top w:val="nil"/>
              <w:bottom w:val="single" w:color="000000" w:sz="4" w:space="0"/>
            </w:tcBorders>
            <w:noWrap w:val="0"/>
            <w:vAlign w:val="center"/>
          </w:tcPr>
          <w:p w14:paraId="6F398901">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r>
      <w:tr w14:paraId="3904A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22" w:type="pct"/>
            <w:vMerge w:val="continue"/>
            <w:noWrap w:val="0"/>
            <w:vAlign w:val="center"/>
          </w:tcPr>
          <w:p w14:paraId="79DD76E1">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6EEEA8CE">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bidi="zh-CN"/>
              </w:rPr>
            </w:pPr>
          </w:p>
        </w:tc>
        <w:tc>
          <w:tcPr>
            <w:tcW w:w="266" w:type="pct"/>
            <w:noWrap w:val="0"/>
            <w:vAlign w:val="center"/>
          </w:tcPr>
          <w:p w14:paraId="01ED7103">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p>
        </w:tc>
        <w:tc>
          <w:tcPr>
            <w:tcW w:w="267" w:type="pct"/>
            <w:noWrap w:val="0"/>
            <w:vAlign w:val="center"/>
          </w:tcPr>
          <w:p w14:paraId="08CD48DA">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烹饪</w:t>
            </w:r>
          </w:p>
        </w:tc>
        <w:tc>
          <w:tcPr>
            <w:tcW w:w="285" w:type="pct"/>
            <w:tcBorders>
              <w:bottom w:val="single" w:color="auto" w:sz="4" w:space="0"/>
            </w:tcBorders>
            <w:noWrap w:val="0"/>
            <w:vAlign w:val="center"/>
          </w:tcPr>
          <w:p w14:paraId="1D75E0AD">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lang w:val="en-US" w:eastAsia="zh-CN"/>
              </w:rPr>
              <w:t>油烟</w:t>
            </w:r>
          </w:p>
        </w:tc>
        <w:tc>
          <w:tcPr>
            <w:tcW w:w="205" w:type="pct"/>
            <w:noWrap w:val="0"/>
            <w:vAlign w:val="center"/>
          </w:tcPr>
          <w:p w14:paraId="0FECF0E4">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rPr>
              <w:t>无组织</w:t>
            </w:r>
          </w:p>
        </w:tc>
        <w:tc>
          <w:tcPr>
            <w:tcW w:w="1054" w:type="pct"/>
            <w:noWrap w:val="0"/>
            <w:vAlign w:val="center"/>
          </w:tcPr>
          <w:p w14:paraId="01422DCD">
            <w:pPr>
              <w:pStyle w:val="69"/>
              <w:spacing w:line="252" w:lineRule="exact"/>
              <w:ind w:left="-79" w:leftChars="-36" w:right="-93"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油烟净化器</w:t>
            </w:r>
          </w:p>
        </w:tc>
        <w:tc>
          <w:tcPr>
            <w:tcW w:w="387" w:type="pct"/>
            <w:tcBorders>
              <w:bottom w:val="single" w:color="auto" w:sz="4" w:space="0"/>
            </w:tcBorders>
            <w:noWrap w:val="0"/>
            <w:vAlign w:val="center"/>
          </w:tcPr>
          <w:p w14:paraId="43CBEB2E">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highlight w:val="none"/>
                <w:lang w:val="en-US" w:eastAsia="zh-CN"/>
              </w:rPr>
              <w:t>1.14</w:t>
            </w:r>
          </w:p>
        </w:tc>
        <w:tc>
          <w:tcPr>
            <w:tcW w:w="334" w:type="pct"/>
            <w:tcBorders>
              <w:bottom w:val="single" w:color="auto" w:sz="4" w:space="0"/>
            </w:tcBorders>
            <w:noWrap w:val="0"/>
            <w:vAlign w:val="center"/>
          </w:tcPr>
          <w:p w14:paraId="0465594C">
            <w:pPr>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bCs/>
                <w:color w:val="auto"/>
                <w:sz w:val="21"/>
                <w:szCs w:val="21"/>
                <w:lang w:val="en-US" w:eastAsia="zh-CN"/>
              </w:rPr>
              <w:t>0.005</w:t>
            </w:r>
          </w:p>
        </w:tc>
        <w:tc>
          <w:tcPr>
            <w:tcW w:w="423" w:type="pct"/>
            <w:tcBorders>
              <w:bottom w:val="single" w:color="auto" w:sz="4" w:space="0"/>
            </w:tcBorders>
            <w:noWrap w:val="0"/>
            <w:vAlign w:val="center"/>
          </w:tcPr>
          <w:p w14:paraId="0323D725">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2.0</w:t>
            </w:r>
          </w:p>
        </w:tc>
        <w:tc>
          <w:tcPr>
            <w:tcW w:w="1040" w:type="pct"/>
            <w:noWrap w:val="0"/>
            <w:vAlign w:val="center"/>
          </w:tcPr>
          <w:p w14:paraId="2717BED7">
            <w:pPr>
              <w:ind w:left="0" w:leftChars="0" w:right="-10" w:rightChars="0" w:firstLine="0" w:firstLineChars="0"/>
              <w:jc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《饮食业油烟排放标准（试行）》（GB18483-2001）要求</w:t>
            </w:r>
          </w:p>
        </w:tc>
        <w:tc>
          <w:tcPr>
            <w:tcW w:w="355" w:type="pct"/>
            <w:noWrap w:val="0"/>
            <w:vAlign w:val="center"/>
          </w:tcPr>
          <w:p w14:paraId="6DFA94CE">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p>
        </w:tc>
      </w:tr>
      <w:tr w14:paraId="72E7E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222" w:type="pct"/>
            <w:vMerge w:val="restart"/>
            <w:noWrap w:val="0"/>
            <w:vAlign w:val="center"/>
          </w:tcPr>
          <w:p w14:paraId="1CB3009A">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水污</w:t>
            </w:r>
          </w:p>
          <w:p w14:paraId="56B3E1BB">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染物</w:t>
            </w:r>
          </w:p>
        </w:tc>
        <w:tc>
          <w:tcPr>
            <w:tcW w:w="156" w:type="pct"/>
            <w:vMerge w:val="restart"/>
            <w:noWrap w:val="0"/>
            <w:vAlign w:val="center"/>
          </w:tcPr>
          <w:p w14:paraId="6E297B72">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养殖场</w:t>
            </w:r>
          </w:p>
        </w:tc>
        <w:tc>
          <w:tcPr>
            <w:tcW w:w="266" w:type="pct"/>
            <w:vMerge w:val="restart"/>
            <w:noWrap w:val="0"/>
            <w:vAlign w:val="center"/>
          </w:tcPr>
          <w:p w14:paraId="4F05181E">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养殖区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生活区</w:t>
            </w:r>
          </w:p>
        </w:tc>
        <w:tc>
          <w:tcPr>
            <w:tcW w:w="267" w:type="pct"/>
            <w:vMerge w:val="restart"/>
            <w:noWrap w:val="0"/>
            <w:vAlign w:val="center"/>
          </w:tcPr>
          <w:p w14:paraId="654A8EEA">
            <w:pPr>
              <w:pStyle w:val="69"/>
              <w:spacing w:line="240" w:lineRule="exact"/>
              <w:ind w:left="0" w:leftChars="0" w:right="-10" w:rightChars="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鸡舍</w:t>
            </w:r>
            <w:r>
              <w:rPr>
                <w:rFonts w:hint="default" w:ascii="Times New Roman" w:hAnsi="Times New Roman" w:eastAsia="宋体" w:cs="Times New Roman"/>
                <w:color w:val="auto"/>
                <w:sz w:val="21"/>
                <w:szCs w:val="21"/>
                <w:highlight w:val="none"/>
              </w:rPr>
              <w:t>、办公生活区</w:t>
            </w:r>
          </w:p>
        </w:tc>
        <w:tc>
          <w:tcPr>
            <w:tcW w:w="285" w:type="pct"/>
            <w:noWrap w:val="0"/>
            <w:vAlign w:val="center"/>
          </w:tcPr>
          <w:p w14:paraId="17857B32">
            <w:pPr>
              <w:pStyle w:val="69"/>
              <w:spacing w:line="220"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205" w:type="pct"/>
            <w:vMerge w:val="restart"/>
            <w:noWrap w:val="0"/>
            <w:vAlign w:val="center"/>
          </w:tcPr>
          <w:p w14:paraId="7CED3CBA">
            <w:pPr>
              <w:pStyle w:val="69"/>
              <w:ind w:left="0" w:leftChars="0" w:right="-10" w:rightChars="0" w:firstLine="0" w:firstLineChars="0"/>
              <w:rPr>
                <w:rFonts w:hint="default" w:ascii="Times New Roman" w:hAnsi="Times New Roman" w:eastAsia="宋体" w:cs="Times New Roman"/>
                <w:color w:val="auto"/>
                <w:sz w:val="21"/>
                <w:szCs w:val="21"/>
                <w:highlight w:val="none"/>
              </w:rPr>
            </w:pPr>
          </w:p>
          <w:p w14:paraId="2EC25177">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54" w:type="pct"/>
            <w:vMerge w:val="restart"/>
            <w:noWrap w:val="0"/>
            <w:vAlign w:val="center"/>
          </w:tcPr>
          <w:p w14:paraId="5493BEC0">
            <w:pPr>
              <w:ind w:left="0" w:leftChars="0" w:right="-1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lang w:val="en-US" w:eastAsia="zh-CN"/>
              </w:rPr>
              <w:t>排入废水收集池发酵处理后用于农田灌溉</w:t>
            </w:r>
          </w:p>
        </w:tc>
        <w:tc>
          <w:tcPr>
            <w:tcW w:w="387" w:type="pct"/>
            <w:noWrap w:val="0"/>
            <w:vAlign w:val="center"/>
          </w:tcPr>
          <w:p w14:paraId="522FFBBB">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4" w:type="pct"/>
            <w:vMerge w:val="restart"/>
            <w:noWrap w:val="0"/>
            <w:vAlign w:val="center"/>
          </w:tcPr>
          <w:p w14:paraId="3FCCAD5A">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2144</w:t>
            </w:r>
          </w:p>
        </w:tc>
        <w:tc>
          <w:tcPr>
            <w:tcW w:w="423" w:type="pct"/>
            <w:noWrap w:val="0"/>
            <w:vAlign w:val="center"/>
          </w:tcPr>
          <w:p w14:paraId="59DED027">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0" w:type="pct"/>
            <w:vMerge w:val="restart"/>
            <w:noWrap w:val="0"/>
            <w:vAlign w:val="center"/>
          </w:tcPr>
          <w:p w14:paraId="46CC2A9D">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《畜禽养殖业污染物排放标准》</w:t>
            </w:r>
          </w:p>
          <w:p w14:paraId="2EDC08FC">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（GB18596-2001）</w:t>
            </w:r>
          </w:p>
        </w:tc>
        <w:tc>
          <w:tcPr>
            <w:tcW w:w="355" w:type="pct"/>
            <w:vMerge w:val="restart"/>
            <w:noWrap w:val="0"/>
            <w:vAlign w:val="center"/>
          </w:tcPr>
          <w:p w14:paraId="5FDBF50C">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做好分区防渗，以防污染地下水</w:t>
            </w:r>
          </w:p>
        </w:tc>
      </w:tr>
      <w:tr w14:paraId="3AA9C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222" w:type="pct"/>
            <w:vMerge w:val="continue"/>
            <w:noWrap w:val="0"/>
            <w:vAlign w:val="center"/>
          </w:tcPr>
          <w:p w14:paraId="23D82CEF">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tcBorders>
              <w:top w:val="nil"/>
            </w:tcBorders>
            <w:noWrap w:val="0"/>
            <w:vAlign w:val="center"/>
          </w:tcPr>
          <w:p w14:paraId="3BF75FCF">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66" w:type="pct"/>
            <w:vMerge w:val="continue"/>
            <w:tcBorders>
              <w:top w:val="nil"/>
            </w:tcBorders>
            <w:noWrap w:val="0"/>
            <w:vAlign w:val="center"/>
          </w:tcPr>
          <w:p w14:paraId="77D627F7">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67" w:type="pct"/>
            <w:vMerge w:val="continue"/>
            <w:tcBorders>
              <w:top w:val="nil"/>
            </w:tcBorders>
            <w:noWrap w:val="0"/>
            <w:vAlign w:val="center"/>
          </w:tcPr>
          <w:p w14:paraId="0EB07724">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noWrap w:val="0"/>
            <w:vAlign w:val="center"/>
          </w:tcPr>
          <w:p w14:paraId="4DDEDBB2">
            <w:pPr>
              <w:pStyle w:val="69"/>
              <w:spacing w:line="222"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205" w:type="pct"/>
            <w:vMerge w:val="continue"/>
            <w:tcBorders>
              <w:top w:val="nil"/>
            </w:tcBorders>
            <w:noWrap w:val="0"/>
            <w:vAlign w:val="center"/>
          </w:tcPr>
          <w:p w14:paraId="5710B82C">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054" w:type="pct"/>
            <w:vMerge w:val="continue"/>
            <w:tcBorders>
              <w:top w:val="nil"/>
            </w:tcBorders>
            <w:noWrap w:val="0"/>
            <w:vAlign w:val="center"/>
          </w:tcPr>
          <w:p w14:paraId="56F795A4">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87" w:type="pct"/>
            <w:noWrap w:val="0"/>
            <w:vAlign w:val="center"/>
          </w:tcPr>
          <w:p w14:paraId="593D4535">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4" w:type="pct"/>
            <w:vMerge w:val="continue"/>
            <w:tcBorders>
              <w:top w:val="nil"/>
            </w:tcBorders>
            <w:noWrap w:val="0"/>
            <w:vAlign w:val="center"/>
          </w:tcPr>
          <w:p w14:paraId="5AD12F69">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423" w:type="pct"/>
            <w:noWrap w:val="0"/>
            <w:vAlign w:val="center"/>
          </w:tcPr>
          <w:p w14:paraId="4F2D72DE">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0" w:type="pct"/>
            <w:vMerge w:val="continue"/>
            <w:tcBorders>
              <w:top w:val="nil"/>
            </w:tcBorders>
            <w:noWrap w:val="0"/>
            <w:vAlign w:val="center"/>
          </w:tcPr>
          <w:p w14:paraId="3C02487E">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55" w:type="pct"/>
            <w:vMerge w:val="continue"/>
            <w:tcBorders>
              <w:top w:val="nil"/>
            </w:tcBorders>
            <w:noWrap w:val="0"/>
            <w:vAlign w:val="center"/>
          </w:tcPr>
          <w:p w14:paraId="0577B034">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r>
      <w:tr w14:paraId="70FC0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2" w:type="pct"/>
            <w:vMerge w:val="continue"/>
            <w:noWrap w:val="0"/>
            <w:vAlign w:val="center"/>
          </w:tcPr>
          <w:p w14:paraId="73D211E3">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tcBorders>
              <w:top w:val="nil"/>
            </w:tcBorders>
            <w:noWrap w:val="0"/>
            <w:vAlign w:val="center"/>
          </w:tcPr>
          <w:p w14:paraId="64B643F7">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66" w:type="pct"/>
            <w:vMerge w:val="continue"/>
            <w:tcBorders>
              <w:top w:val="nil"/>
            </w:tcBorders>
            <w:noWrap w:val="0"/>
            <w:vAlign w:val="center"/>
          </w:tcPr>
          <w:p w14:paraId="3DE95E53">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67" w:type="pct"/>
            <w:vMerge w:val="continue"/>
            <w:tcBorders>
              <w:top w:val="nil"/>
            </w:tcBorders>
            <w:noWrap w:val="0"/>
            <w:vAlign w:val="center"/>
          </w:tcPr>
          <w:p w14:paraId="00248F6E">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noWrap w:val="0"/>
            <w:vAlign w:val="center"/>
          </w:tcPr>
          <w:p w14:paraId="62D79A06">
            <w:pPr>
              <w:pStyle w:val="69"/>
              <w:spacing w:line="220"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205" w:type="pct"/>
            <w:vMerge w:val="continue"/>
            <w:tcBorders>
              <w:top w:val="nil"/>
            </w:tcBorders>
            <w:noWrap w:val="0"/>
            <w:vAlign w:val="center"/>
          </w:tcPr>
          <w:p w14:paraId="5CDCC73F">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054" w:type="pct"/>
            <w:vMerge w:val="continue"/>
            <w:tcBorders>
              <w:top w:val="nil"/>
            </w:tcBorders>
            <w:noWrap w:val="0"/>
            <w:vAlign w:val="center"/>
          </w:tcPr>
          <w:p w14:paraId="54584FFD">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87" w:type="pct"/>
            <w:noWrap w:val="0"/>
            <w:vAlign w:val="center"/>
          </w:tcPr>
          <w:p w14:paraId="7CE08E69">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4" w:type="pct"/>
            <w:vMerge w:val="continue"/>
            <w:tcBorders>
              <w:top w:val="nil"/>
            </w:tcBorders>
            <w:noWrap w:val="0"/>
            <w:vAlign w:val="center"/>
          </w:tcPr>
          <w:p w14:paraId="3E446FDF">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423" w:type="pct"/>
            <w:noWrap w:val="0"/>
            <w:vAlign w:val="center"/>
          </w:tcPr>
          <w:p w14:paraId="565B2761">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0" w:type="pct"/>
            <w:vMerge w:val="continue"/>
            <w:tcBorders>
              <w:top w:val="nil"/>
            </w:tcBorders>
            <w:noWrap w:val="0"/>
            <w:vAlign w:val="center"/>
          </w:tcPr>
          <w:p w14:paraId="365DFE76">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55" w:type="pct"/>
            <w:vMerge w:val="continue"/>
            <w:tcBorders>
              <w:top w:val="nil"/>
            </w:tcBorders>
            <w:noWrap w:val="0"/>
            <w:vAlign w:val="center"/>
          </w:tcPr>
          <w:p w14:paraId="7B5BFB7C">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r>
      <w:tr w14:paraId="3AB37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222" w:type="pct"/>
            <w:vMerge w:val="continue"/>
            <w:noWrap w:val="0"/>
            <w:vAlign w:val="center"/>
          </w:tcPr>
          <w:p w14:paraId="325DAFC0">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tcBorders>
              <w:top w:val="nil"/>
            </w:tcBorders>
            <w:noWrap w:val="0"/>
            <w:vAlign w:val="center"/>
          </w:tcPr>
          <w:p w14:paraId="71F24E11">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66" w:type="pct"/>
            <w:vMerge w:val="continue"/>
            <w:tcBorders>
              <w:top w:val="nil"/>
            </w:tcBorders>
            <w:noWrap w:val="0"/>
            <w:vAlign w:val="center"/>
          </w:tcPr>
          <w:p w14:paraId="60A5B0B1">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67" w:type="pct"/>
            <w:vMerge w:val="continue"/>
            <w:tcBorders>
              <w:top w:val="nil"/>
            </w:tcBorders>
            <w:noWrap w:val="0"/>
            <w:vAlign w:val="center"/>
          </w:tcPr>
          <w:p w14:paraId="59DEF067">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noWrap w:val="0"/>
            <w:vAlign w:val="center"/>
          </w:tcPr>
          <w:p w14:paraId="2091A682">
            <w:pPr>
              <w:pStyle w:val="69"/>
              <w:spacing w:line="220"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205" w:type="pct"/>
            <w:vMerge w:val="continue"/>
            <w:tcBorders>
              <w:top w:val="nil"/>
            </w:tcBorders>
            <w:noWrap w:val="0"/>
            <w:vAlign w:val="center"/>
          </w:tcPr>
          <w:p w14:paraId="101537A0">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054" w:type="pct"/>
            <w:vMerge w:val="continue"/>
            <w:tcBorders>
              <w:top w:val="nil"/>
            </w:tcBorders>
            <w:noWrap w:val="0"/>
            <w:vAlign w:val="center"/>
          </w:tcPr>
          <w:p w14:paraId="01A91E13">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87" w:type="pct"/>
            <w:noWrap w:val="0"/>
            <w:vAlign w:val="center"/>
          </w:tcPr>
          <w:p w14:paraId="19D26AE9">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4" w:type="pct"/>
            <w:vMerge w:val="continue"/>
            <w:tcBorders>
              <w:top w:val="nil"/>
            </w:tcBorders>
            <w:noWrap w:val="0"/>
            <w:vAlign w:val="center"/>
          </w:tcPr>
          <w:p w14:paraId="5D639A20">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423" w:type="pct"/>
            <w:noWrap w:val="0"/>
            <w:vAlign w:val="center"/>
          </w:tcPr>
          <w:p w14:paraId="073FA2A4">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0" w:type="pct"/>
            <w:vMerge w:val="continue"/>
            <w:tcBorders>
              <w:top w:val="nil"/>
            </w:tcBorders>
            <w:noWrap w:val="0"/>
            <w:vAlign w:val="center"/>
          </w:tcPr>
          <w:p w14:paraId="2B7675CD">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355" w:type="pct"/>
            <w:vMerge w:val="continue"/>
            <w:tcBorders>
              <w:top w:val="nil"/>
            </w:tcBorders>
            <w:noWrap w:val="0"/>
            <w:vAlign w:val="center"/>
          </w:tcPr>
          <w:p w14:paraId="6FB1D16D">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r>
      <w:tr w14:paraId="36CAA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2" w:type="pct"/>
            <w:vMerge w:val="restart"/>
            <w:noWrap w:val="0"/>
            <w:vAlign w:val="center"/>
          </w:tcPr>
          <w:p w14:paraId="315A7A6E">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p w14:paraId="6AF36F0F">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w:t>
            </w:r>
          </w:p>
        </w:tc>
        <w:tc>
          <w:tcPr>
            <w:tcW w:w="156" w:type="pct"/>
            <w:vMerge w:val="restart"/>
            <w:noWrap w:val="0"/>
            <w:vAlign w:val="center"/>
          </w:tcPr>
          <w:p w14:paraId="45EB1FDF">
            <w:pPr>
              <w:pStyle w:val="69"/>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养殖场</w:t>
            </w:r>
          </w:p>
        </w:tc>
        <w:tc>
          <w:tcPr>
            <w:tcW w:w="533" w:type="pct"/>
            <w:gridSpan w:val="2"/>
            <w:vMerge w:val="restart"/>
            <w:noWrap w:val="0"/>
            <w:vAlign w:val="center"/>
          </w:tcPr>
          <w:p w14:paraId="0223B4C5">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养殖区</w:t>
            </w:r>
          </w:p>
        </w:tc>
        <w:tc>
          <w:tcPr>
            <w:tcW w:w="285" w:type="pct"/>
            <w:noWrap w:val="0"/>
            <w:vAlign w:val="center"/>
          </w:tcPr>
          <w:p w14:paraId="51B4EBD7">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病死鸡</w:t>
            </w:r>
          </w:p>
        </w:tc>
        <w:tc>
          <w:tcPr>
            <w:tcW w:w="205" w:type="pct"/>
            <w:noWrap w:val="0"/>
            <w:vAlign w:val="center"/>
          </w:tcPr>
          <w:p w14:paraId="1C80C169">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w:t>
            </w:r>
          </w:p>
          <w:p w14:paraId="12EB234F">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1054" w:type="pct"/>
            <w:noWrap w:val="0"/>
            <w:vAlign w:val="center"/>
          </w:tcPr>
          <w:p w14:paraId="3301AB53">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无害化填埋处置</w:t>
            </w:r>
          </w:p>
        </w:tc>
        <w:tc>
          <w:tcPr>
            <w:tcW w:w="387" w:type="pct"/>
            <w:noWrap w:val="0"/>
            <w:vAlign w:val="center"/>
          </w:tcPr>
          <w:p w14:paraId="1115E75C">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4" w:type="pct"/>
            <w:noWrap w:val="0"/>
            <w:vAlign w:val="center"/>
          </w:tcPr>
          <w:p w14:paraId="4795AC5A">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0.9</w:t>
            </w:r>
          </w:p>
        </w:tc>
        <w:tc>
          <w:tcPr>
            <w:tcW w:w="423" w:type="pct"/>
            <w:noWrap w:val="0"/>
            <w:vAlign w:val="center"/>
          </w:tcPr>
          <w:p w14:paraId="0684F9F3">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0" w:type="pct"/>
            <w:noWrap w:val="0"/>
            <w:vAlign w:val="center"/>
          </w:tcPr>
          <w:p w14:paraId="74E9F9BB">
            <w:pPr>
              <w:pStyle w:val="69"/>
              <w:spacing w:line="213" w:lineRule="auto"/>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《病死及病害动物无害化处理技术规范》（农医发</w:t>
            </w:r>
            <w:r>
              <w:rPr>
                <w:rFonts w:hint="default" w:ascii="Times New Roman" w:hAnsi="Times New Roman" w:cs="Times New Roman"/>
                <w:color w:val="auto"/>
                <w:sz w:val="21"/>
                <w:szCs w:val="21"/>
                <w:highlight w:val="none"/>
                <w:lang w:eastAsia="zh-CN"/>
              </w:rPr>
              <w:t>〔2017〕</w:t>
            </w:r>
            <w:r>
              <w:rPr>
                <w:rFonts w:hint="default" w:ascii="Times New Roman" w:hAnsi="Times New Roman" w:eastAsia="宋体" w:cs="Times New Roman"/>
                <w:color w:val="auto"/>
                <w:sz w:val="21"/>
                <w:szCs w:val="21"/>
                <w:highlight w:val="none"/>
              </w:rPr>
              <w:t>25号）</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《畜禽养殖业污染物排放标准》（GB18596-2001）</w:t>
            </w:r>
          </w:p>
        </w:tc>
        <w:tc>
          <w:tcPr>
            <w:tcW w:w="355" w:type="pct"/>
            <w:vMerge w:val="continue"/>
            <w:tcBorders>
              <w:top w:val="nil"/>
            </w:tcBorders>
            <w:noWrap w:val="0"/>
            <w:vAlign w:val="center"/>
          </w:tcPr>
          <w:p w14:paraId="3EE06CE0">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r>
      <w:tr w14:paraId="1E638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222" w:type="pct"/>
            <w:vMerge w:val="continue"/>
            <w:noWrap w:val="0"/>
            <w:vAlign w:val="center"/>
          </w:tcPr>
          <w:p w14:paraId="56B084CE">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3999F4D8">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533" w:type="pct"/>
            <w:gridSpan w:val="2"/>
            <w:vMerge w:val="continue"/>
            <w:noWrap w:val="0"/>
            <w:vAlign w:val="center"/>
          </w:tcPr>
          <w:p w14:paraId="0C30B89E">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noWrap w:val="0"/>
            <w:vAlign w:val="center"/>
          </w:tcPr>
          <w:p w14:paraId="2AF52D2D">
            <w:pPr>
              <w:pStyle w:val="69"/>
              <w:spacing w:line="220" w:lineRule="exact"/>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鸡粪</w:t>
            </w:r>
          </w:p>
        </w:tc>
        <w:tc>
          <w:tcPr>
            <w:tcW w:w="205" w:type="pct"/>
            <w:tcBorders>
              <w:top w:val="nil"/>
            </w:tcBorders>
            <w:noWrap w:val="0"/>
            <w:vAlign w:val="center"/>
          </w:tcPr>
          <w:p w14:paraId="3E660E5C">
            <w:pPr>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w:t>
            </w:r>
          </w:p>
          <w:p w14:paraId="3F08E97B">
            <w:pPr>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1054" w:type="pct"/>
            <w:noWrap w:val="0"/>
            <w:vAlign w:val="center"/>
          </w:tcPr>
          <w:p w14:paraId="2B4FA8A6">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val="en-US" w:eastAsia="zh-CN"/>
              </w:rPr>
              <w:t>每栋鸡舍均设自动清粪系统，鸡舍内设横斜向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，鸡排出的粪便主要通过清粪机进入横向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内，传输至清粪房再通过斜向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进入鸡粪发酵处理场，</w:t>
            </w:r>
            <w:r>
              <w:rPr>
                <w:rFonts w:hint="default" w:ascii="Times New Roman" w:hAnsi="Times New Roman" w:cs="Times New Roman"/>
                <w:color w:val="auto"/>
                <w:lang w:val="en-US"/>
              </w:rPr>
              <w:t>发酵处理后，</w:t>
            </w:r>
            <w:r>
              <w:rPr>
                <w:rFonts w:hint="default" w:ascii="Times New Roman" w:hAnsi="Times New Roman" w:cs="Times New Roman"/>
                <w:color w:val="auto"/>
                <w:lang w:val="en-US" w:eastAsia="zh-CN"/>
              </w:rPr>
              <w:t>外售农户综合利用</w:t>
            </w:r>
            <w:r>
              <w:rPr>
                <w:rFonts w:hint="default" w:ascii="Times New Roman" w:hAnsi="Times New Roman" w:cs="Times New Roman"/>
                <w:color w:val="auto"/>
                <w:sz w:val="21"/>
                <w:szCs w:val="21"/>
                <w:lang w:val="en-US" w:eastAsia="zh-CN"/>
              </w:rPr>
              <w:t>。</w:t>
            </w:r>
          </w:p>
        </w:tc>
        <w:tc>
          <w:tcPr>
            <w:tcW w:w="387" w:type="pct"/>
            <w:noWrap w:val="0"/>
            <w:vAlign w:val="center"/>
          </w:tcPr>
          <w:p w14:paraId="39C8F116">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p>
        </w:tc>
        <w:tc>
          <w:tcPr>
            <w:tcW w:w="334" w:type="pct"/>
            <w:noWrap w:val="0"/>
            <w:vAlign w:val="center"/>
          </w:tcPr>
          <w:p w14:paraId="7659D2D4">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lang w:val="zh-CN" w:eastAsia="zh-CN" w:bidi="zh-CN"/>
              </w:rPr>
              <w:t>28470</w:t>
            </w:r>
          </w:p>
        </w:tc>
        <w:tc>
          <w:tcPr>
            <w:tcW w:w="423" w:type="pct"/>
            <w:noWrap w:val="0"/>
            <w:vAlign w:val="center"/>
          </w:tcPr>
          <w:p w14:paraId="79101521">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0" w:type="pct"/>
            <w:noWrap w:val="0"/>
            <w:vAlign w:val="center"/>
          </w:tcPr>
          <w:p w14:paraId="4DCC8E35">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《畜禽养殖业污染物排放标准》</w:t>
            </w:r>
          </w:p>
          <w:p w14:paraId="3E67B75B">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（GB18596-2001）</w:t>
            </w:r>
          </w:p>
        </w:tc>
        <w:tc>
          <w:tcPr>
            <w:tcW w:w="355" w:type="pct"/>
            <w:tcBorders>
              <w:top w:val="nil"/>
            </w:tcBorders>
            <w:noWrap w:val="0"/>
            <w:vAlign w:val="center"/>
          </w:tcPr>
          <w:p w14:paraId="277D1A83">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r>
      <w:tr w14:paraId="0657D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222" w:type="pct"/>
            <w:vMerge w:val="continue"/>
            <w:noWrap w:val="0"/>
            <w:vAlign w:val="center"/>
          </w:tcPr>
          <w:p w14:paraId="25C9A810">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188A62D5">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533" w:type="pct"/>
            <w:gridSpan w:val="2"/>
            <w:vMerge w:val="continue"/>
            <w:noWrap w:val="0"/>
            <w:vAlign w:val="center"/>
          </w:tcPr>
          <w:p w14:paraId="05697BDB">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noWrap w:val="0"/>
            <w:vAlign w:val="center"/>
          </w:tcPr>
          <w:p w14:paraId="2E54CBE8">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原辅材料包装物</w:t>
            </w:r>
          </w:p>
        </w:tc>
        <w:tc>
          <w:tcPr>
            <w:tcW w:w="205" w:type="pct"/>
            <w:noWrap w:val="0"/>
            <w:vAlign w:val="center"/>
          </w:tcPr>
          <w:p w14:paraId="6E58EFC0">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w:t>
            </w:r>
          </w:p>
          <w:p w14:paraId="10EFC189">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054" w:type="pct"/>
            <w:noWrap w:val="0"/>
            <w:vAlign w:val="center"/>
          </w:tcPr>
          <w:p w14:paraId="019D706D">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由饲料原料厂家回收利用或外售。</w:t>
            </w:r>
          </w:p>
        </w:tc>
        <w:tc>
          <w:tcPr>
            <w:tcW w:w="387" w:type="pct"/>
            <w:noWrap w:val="0"/>
            <w:vAlign w:val="center"/>
          </w:tcPr>
          <w:p w14:paraId="14BA2DAD">
            <w:pPr>
              <w:pStyle w:val="69"/>
              <w:ind w:left="0" w:leftChars="0" w:right="-10" w:rightChars="0" w:firstLine="0" w:firstLineChars="0"/>
              <w:rPr>
                <w:rFonts w:hint="default" w:ascii="Times New Roman" w:hAnsi="Times New Roman" w:eastAsia="宋体" w:cs="Times New Roman"/>
                <w:color w:val="auto"/>
                <w:sz w:val="21"/>
                <w:szCs w:val="21"/>
                <w:highlight w:val="none"/>
              </w:rPr>
            </w:pPr>
          </w:p>
          <w:p w14:paraId="0BE6B377">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4" w:type="pct"/>
            <w:noWrap w:val="0"/>
            <w:vAlign w:val="center"/>
          </w:tcPr>
          <w:p w14:paraId="0D48F330">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23" w:type="pct"/>
            <w:noWrap w:val="0"/>
            <w:vAlign w:val="center"/>
          </w:tcPr>
          <w:p w14:paraId="72FD5D7C">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0" w:type="pct"/>
            <w:noWrap w:val="0"/>
            <w:vAlign w:val="center"/>
          </w:tcPr>
          <w:p w14:paraId="532E5AF6">
            <w:pPr>
              <w:pStyle w:val="69"/>
              <w:spacing w:line="233" w:lineRule="exact"/>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一般工业固体废物贮存和填埋污染控制标准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GB18599-2020</w:t>
            </w:r>
            <w:r>
              <w:rPr>
                <w:rFonts w:hint="default" w:ascii="Times New Roman" w:hAnsi="Times New Roman" w:eastAsia="宋体" w:cs="Times New Roman"/>
                <w:color w:val="auto"/>
                <w:sz w:val="21"/>
                <w:szCs w:val="21"/>
                <w:highlight w:val="none"/>
                <w:lang w:eastAsia="zh-CN"/>
              </w:rPr>
              <w:t>）</w:t>
            </w:r>
          </w:p>
        </w:tc>
        <w:tc>
          <w:tcPr>
            <w:tcW w:w="355" w:type="pct"/>
            <w:noWrap w:val="0"/>
            <w:vAlign w:val="center"/>
          </w:tcPr>
          <w:p w14:paraId="5D7AFA4A">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0D8D7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222" w:type="pct"/>
            <w:vMerge w:val="continue"/>
            <w:noWrap w:val="0"/>
            <w:vAlign w:val="center"/>
          </w:tcPr>
          <w:p w14:paraId="64FE38BA">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21676FD2">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533" w:type="pct"/>
            <w:gridSpan w:val="2"/>
            <w:vMerge w:val="continue"/>
            <w:noWrap w:val="0"/>
            <w:vAlign w:val="center"/>
          </w:tcPr>
          <w:p w14:paraId="33E31E2B">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noWrap w:val="0"/>
            <w:vAlign w:val="center"/>
          </w:tcPr>
          <w:p w14:paraId="6D97881D">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破损鸡蛋</w:t>
            </w:r>
          </w:p>
        </w:tc>
        <w:tc>
          <w:tcPr>
            <w:tcW w:w="205" w:type="pct"/>
            <w:noWrap w:val="0"/>
            <w:vAlign w:val="center"/>
          </w:tcPr>
          <w:p w14:paraId="59917A9B">
            <w:pPr>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w:t>
            </w:r>
          </w:p>
          <w:p w14:paraId="429D17B4">
            <w:pPr>
              <w:ind w:left="0" w:leftChars="0" w:right="-1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固废</w:t>
            </w:r>
          </w:p>
        </w:tc>
        <w:tc>
          <w:tcPr>
            <w:tcW w:w="1054" w:type="pct"/>
            <w:vMerge w:val="restart"/>
            <w:noWrap w:val="0"/>
            <w:vAlign w:val="center"/>
          </w:tcPr>
          <w:p w14:paraId="14E31EAA">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val="en-US" w:eastAsia="zh-CN"/>
              </w:rPr>
              <w:t>每栋鸡舍均设自动清粪系统，鸡舍内设横斜向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，鸡排出的粪便主要通过清粪机进入横向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内，传输至清粪房再通过斜向</w:t>
            </w:r>
            <w:r>
              <w:rPr>
                <w:rFonts w:hint="eastAsia" w:ascii="Times New Roman" w:hAnsi="Times New Roman" w:cs="Times New Roman"/>
                <w:color w:val="auto"/>
                <w:sz w:val="21"/>
                <w:szCs w:val="21"/>
                <w:lang w:val="en-US" w:eastAsia="zh-CN"/>
              </w:rPr>
              <w:t>粪便传送带</w:t>
            </w:r>
            <w:r>
              <w:rPr>
                <w:rFonts w:hint="default" w:ascii="Times New Roman" w:hAnsi="Times New Roman" w:cs="Times New Roman"/>
                <w:color w:val="auto"/>
                <w:sz w:val="21"/>
                <w:szCs w:val="21"/>
                <w:lang w:val="en-US" w:eastAsia="zh-CN"/>
              </w:rPr>
              <w:t>进入鸡粪发酵处理场，</w:t>
            </w:r>
            <w:r>
              <w:rPr>
                <w:rFonts w:hint="default" w:ascii="Times New Roman" w:hAnsi="Times New Roman" w:cs="Times New Roman"/>
                <w:color w:val="auto"/>
                <w:lang w:val="en-US"/>
              </w:rPr>
              <w:t>发酵处理后，</w:t>
            </w:r>
            <w:r>
              <w:rPr>
                <w:rFonts w:hint="default" w:ascii="Times New Roman" w:hAnsi="Times New Roman" w:cs="Times New Roman"/>
                <w:color w:val="auto"/>
                <w:lang w:val="en-US" w:eastAsia="zh-CN"/>
              </w:rPr>
              <w:t>外售农户综合利用</w:t>
            </w:r>
            <w:r>
              <w:rPr>
                <w:rFonts w:hint="default" w:ascii="Times New Roman" w:hAnsi="Times New Roman" w:cs="Times New Roman"/>
                <w:color w:val="auto"/>
                <w:sz w:val="21"/>
                <w:szCs w:val="21"/>
                <w:lang w:val="en-US" w:eastAsia="zh-CN"/>
              </w:rPr>
              <w:t>。</w:t>
            </w:r>
          </w:p>
        </w:tc>
        <w:tc>
          <w:tcPr>
            <w:tcW w:w="387" w:type="pct"/>
            <w:noWrap w:val="0"/>
            <w:vAlign w:val="center"/>
          </w:tcPr>
          <w:p w14:paraId="120AD8B5">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34" w:type="pct"/>
            <w:noWrap w:val="0"/>
            <w:vAlign w:val="center"/>
          </w:tcPr>
          <w:p w14:paraId="22337A7C">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423" w:type="pct"/>
            <w:noWrap w:val="0"/>
            <w:vAlign w:val="center"/>
          </w:tcPr>
          <w:p w14:paraId="0820A5C0">
            <w:pPr>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0" w:type="pct"/>
            <w:vMerge w:val="restart"/>
            <w:noWrap w:val="0"/>
            <w:vAlign w:val="center"/>
          </w:tcPr>
          <w:p w14:paraId="333716B3">
            <w:pPr>
              <w:pStyle w:val="69"/>
              <w:spacing w:line="255" w:lineRule="exact"/>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《畜禽养殖业污染物排放标准》</w:t>
            </w:r>
          </w:p>
          <w:p w14:paraId="158BBA7E">
            <w:pPr>
              <w:spacing w:line="233" w:lineRule="exact"/>
              <w:ind w:left="0" w:leftChars="0" w:right="-1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（GB18596-2001）</w:t>
            </w:r>
          </w:p>
        </w:tc>
        <w:tc>
          <w:tcPr>
            <w:tcW w:w="355" w:type="pct"/>
            <w:noWrap w:val="0"/>
            <w:vAlign w:val="center"/>
          </w:tcPr>
          <w:p w14:paraId="7E740313">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51ADB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222" w:type="pct"/>
            <w:vMerge w:val="continue"/>
            <w:noWrap w:val="0"/>
            <w:vAlign w:val="center"/>
          </w:tcPr>
          <w:p w14:paraId="2CCFBF08">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5CBCD359">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533" w:type="pct"/>
            <w:gridSpan w:val="2"/>
            <w:vMerge w:val="continue"/>
            <w:noWrap w:val="0"/>
            <w:vAlign w:val="center"/>
          </w:tcPr>
          <w:p w14:paraId="75100DA2">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noWrap w:val="0"/>
            <w:vAlign w:val="center"/>
          </w:tcPr>
          <w:p w14:paraId="276379C5">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羽毛</w:t>
            </w:r>
          </w:p>
        </w:tc>
        <w:tc>
          <w:tcPr>
            <w:tcW w:w="205" w:type="pct"/>
            <w:noWrap w:val="0"/>
            <w:vAlign w:val="center"/>
          </w:tcPr>
          <w:p w14:paraId="310FDD1A">
            <w:pPr>
              <w:ind w:left="0" w:leftChars="0" w:right="-1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w:t>
            </w:r>
          </w:p>
          <w:p w14:paraId="47DB3C0D">
            <w:pPr>
              <w:ind w:left="0" w:leftChars="0" w:right="-1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固废</w:t>
            </w:r>
          </w:p>
        </w:tc>
        <w:tc>
          <w:tcPr>
            <w:tcW w:w="1054" w:type="pct"/>
            <w:vMerge w:val="continue"/>
            <w:noWrap w:val="0"/>
            <w:vAlign w:val="center"/>
          </w:tcPr>
          <w:p w14:paraId="75473BFE">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rPr>
            </w:pPr>
          </w:p>
        </w:tc>
        <w:tc>
          <w:tcPr>
            <w:tcW w:w="387" w:type="pct"/>
            <w:noWrap w:val="0"/>
            <w:vAlign w:val="center"/>
          </w:tcPr>
          <w:p w14:paraId="74AFD072">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34" w:type="pct"/>
            <w:noWrap w:val="0"/>
            <w:vAlign w:val="center"/>
          </w:tcPr>
          <w:p w14:paraId="44E76810">
            <w:pPr>
              <w:pStyle w:val="69"/>
              <w:ind w:left="0" w:leftChars="0" w:right="-1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423" w:type="pct"/>
            <w:noWrap w:val="0"/>
            <w:vAlign w:val="center"/>
          </w:tcPr>
          <w:p w14:paraId="1E0F53C5">
            <w:pPr>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0" w:type="pct"/>
            <w:vMerge w:val="continue"/>
            <w:noWrap w:val="0"/>
            <w:vAlign w:val="center"/>
          </w:tcPr>
          <w:p w14:paraId="668F4890">
            <w:pPr>
              <w:spacing w:line="233" w:lineRule="exact"/>
              <w:ind w:left="0" w:leftChars="0" w:right="-10" w:rightChars="0" w:firstLine="0" w:firstLineChars="0"/>
              <w:rPr>
                <w:rFonts w:hint="default" w:ascii="Times New Roman" w:hAnsi="Times New Roman" w:eastAsia="宋体" w:cs="Times New Roman"/>
                <w:color w:val="auto"/>
                <w:sz w:val="21"/>
                <w:szCs w:val="21"/>
                <w:highlight w:val="none"/>
                <w:lang w:eastAsia="zh-CN"/>
              </w:rPr>
            </w:pPr>
          </w:p>
        </w:tc>
        <w:tc>
          <w:tcPr>
            <w:tcW w:w="355" w:type="pct"/>
            <w:noWrap w:val="0"/>
            <w:vAlign w:val="center"/>
          </w:tcPr>
          <w:p w14:paraId="496F6B01">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243AC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222" w:type="pct"/>
            <w:vMerge w:val="continue"/>
            <w:noWrap w:val="0"/>
            <w:vAlign w:val="center"/>
          </w:tcPr>
          <w:p w14:paraId="4A6ACCFC">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3D3C17BF">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533" w:type="pct"/>
            <w:gridSpan w:val="2"/>
            <w:vMerge w:val="continue"/>
            <w:noWrap w:val="0"/>
            <w:vAlign w:val="center"/>
          </w:tcPr>
          <w:p w14:paraId="2F3E85E6">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285" w:type="pct"/>
            <w:noWrap w:val="0"/>
            <w:vAlign w:val="center"/>
          </w:tcPr>
          <w:p w14:paraId="3BF72861">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医疗</w:t>
            </w:r>
          </w:p>
          <w:p w14:paraId="1BF6DD72">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废物</w:t>
            </w:r>
          </w:p>
        </w:tc>
        <w:tc>
          <w:tcPr>
            <w:tcW w:w="205" w:type="pct"/>
            <w:noWrap w:val="0"/>
            <w:vAlign w:val="center"/>
          </w:tcPr>
          <w:p w14:paraId="2C19C41C">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w:t>
            </w:r>
          </w:p>
          <w:p w14:paraId="2172FEBD">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lang w:val="en-US" w:eastAsia="zh-CN"/>
              </w:rPr>
              <w:t>废物</w:t>
            </w:r>
          </w:p>
        </w:tc>
        <w:tc>
          <w:tcPr>
            <w:tcW w:w="1054" w:type="pct"/>
            <w:noWrap w:val="0"/>
            <w:vAlign w:val="center"/>
          </w:tcPr>
          <w:p w14:paraId="5140DFB9">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cs="Times New Roman"/>
                <w:color w:val="auto"/>
                <w:sz w:val="21"/>
                <w:szCs w:val="21"/>
              </w:rPr>
              <w:t>暂存于医疗废物暂存间，运营单位将防疫废物煮沸后作为生活垃圾交环卫部门统一处理</w:t>
            </w:r>
          </w:p>
        </w:tc>
        <w:tc>
          <w:tcPr>
            <w:tcW w:w="387" w:type="pct"/>
            <w:noWrap w:val="0"/>
            <w:vAlign w:val="center"/>
          </w:tcPr>
          <w:p w14:paraId="2C1DE543">
            <w:pPr>
              <w:pStyle w:val="69"/>
              <w:ind w:left="0" w:leftChars="0" w:right="-10" w:rightChars="0" w:firstLine="0" w:firstLineChars="0"/>
              <w:rPr>
                <w:rFonts w:hint="default" w:ascii="Times New Roman" w:hAnsi="Times New Roman" w:eastAsia="宋体" w:cs="Times New Roman"/>
                <w:color w:val="auto"/>
                <w:sz w:val="21"/>
                <w:szCs w:val="21"/>
                <w:highlight w:val="none"/>
              </w:rPr>
            </w:pPr>
          </w:p>
          <w:p w14:paraId="5513932D">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p>
        </w:tc>
        <w:tc>
          <w:tcPr>
            <w:tcW w:w="334" w:type="pct"/>
            <w:noWrap w:val="0"/>
            <w:vAlign w:val="center"/>
          </w:tcPr>
          <w:p w14:paraId="18D4C746">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eastAsia="zh-CN"/>
              </w:rPr>
              <w:t>0.12</w:t>
            </w:r>
          </w:p>
        </w:tc>
        <w:tc>
          <w:tcPr>
            <w:tcW w:w="423" w:type="pct"/>
            <w:noWrap w:val="0"/>
            <w:vAlign w:val="center"/>
          </w:tcPr>
          <w:p w14:paraId="102B144A">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p>
        </w:tc>
        <w:tc>
          <w:tcPr>
            <w:tcW w:w="1040" w:type="pct"/>
            <w:noWrap w:val="0"/>
            <w:vAlign w:val="center"/>
          </w:tcPr>
          <w:p w14:paraId="780E3BAE">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eastAsia="zh-CN"/>
              </w:rPr>
              <w:t>危险废物贮存污染控制标准</w:t>
            </w:r>
            <w:r>
              <w:rPr>
                <w:rFonts w:hint="default" w:ascii="Times New Roman" w:hAnsi="Times New Roman" w:eastAsia="宋体" w:cs="Times New Roman"/>
                <w:color w:val="auto"/>
                <w:sz w:val="21"/>
                <w:szCs w:val="21"/>
                <w:highlight w:val="none"/>
              </w:rPr>
              <w:t>》（GB18597-20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w:t>
            </w:r>
          </w:p>
        </w:tc>
        <w:tc>
          <w:tcPr>
            <w:tcW w:w="355" w:type="pct"/>
            <w:noWrap w:val="0"/>
            <w:vAlign w:val="center"/>
          </w:tcPr>
          <w:p w14:paraId="29DC99A8">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37799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2" w:type="pct"/>
            <w:vMerge w:val="continue"/>
            <w:noWrap w:val="0"/>
            <w:vAlign w:val="center"/>
          </w:tcPr>
          <w:p w14:paraId="3FCB7E99">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156" w:type="pct"/>
            <w:vMerge w:val="continue"/>
            <w:noWrap w:val="0"/>
            <w:vAlign w:val="center"/>
          </w:tcPr>
          <w:p w14:paraId="0B84D1A7">
            <w:pPr>
              <w:ind w:left="0" w:leftChars="0" w:right="-10" w:rightChars="0" w:firstLine="0" w:firstLineChars="0"/>
              <w:jc w:val="center"/>
              <w:rPr>
                <w:rFonts w:hint="default" w:ascii="Times New Roman" w:hAnsi="Times New Roman" w:eastAsia="宋体" w:cs="Times New Roman"/>
                <w:color w:val="auto"/>
                <w:sz w:val="21"/>
                <w:szCs w:val="21"/>
                <w:highlight w:val="none"/>
              </w:rPr>
            </w:pPr>
          </w:p>
        </w:tc>
        <w:tc>
          <w:tcPr>
            <w:tcW w:w="533" w:type="pct"/>
            <w:gridSpan w:val="2"/>
            <w:noWrap w:val="0"/>
            <w:vAlign w:val="center"/>
          </w:tcPr>
          <w:p w14:paraId="607C4D75">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生活区</w:t>
            </w:r>
          </w:p>
        </w:tc>
        <w:tc>
          <w:tcPr>
            <w:tcW w:w="285" w:type="pct"/>
            <w:noWrap w:val="0"/>
            <w:vAlign w:val="center"/>
          </w:tcPr>
          <w:p w14:paraId="1AA2879B">
            <w:pPr>
              <w:pStyle w:val="69"/>
              <w:ind w:left="0" w:leftChars="0" w:right="-1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w:t>
            </w:r>
          </w:p>
          <w:p w14:paraId="4534653E">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rPr>
              <w:t>垃圾</w:t>
            </w:r>
          </w:p>
        </w:tc>
        <w:tc>
          <w:tcPr>
            <w:tcW w:w="205" w:type="pct"/>
            <w:noWrap w:val="0"/>
            <w:vAlign w:val="center"/>
          </w:tcPr>
          <w:p w14:paraId="5BAC5361">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rPr>
              <w:t>--</w:t>
            </w:r>
          </w:p>
        </w:tc>
        <w:tc>
          <w:tcPr>
            <w:tcW w:w="1054" w:type="pct"/>
            <w:noWrap w:val="0"/>
            <w:vAlign w:val="center"/>
          </w:tcPr>
          <w:p w14:paraId="3759056E">
            <w:pPr>
              <w:pStyle w:val="69"/>
              <w:spacing w:line="240" w:lineRule="exact"/>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定期由环卫部门清运</w:t>
            </w:r>
          </w:p>
        </w:tc>
        <w:tc>
          <w:tcPr>
            <w:tcW w:w="387" w:type="pct"/>
            <w:noWrap w:val="0"/>
            <w:vAlign w:val="center"/>
          </w:tcPr>
          <w:p w14:paraId="6EAD768E">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p>
        </w:tc>
        <w:tc>
          <w:tcPr>
            <w:tcW w:w="334" w:type="pct"/>
            <w:noWrap w:val="0"/>
            <w:vAlign w:val="center"/>
          </w:tcPr>
          <w:p w14:paraId="01BB7872">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eastAsia="zh-CN"/>
              </w:rPr>
              <w:t>7.3</w:t>
            </w:r>
          </w:p>
        </w:tc>
        <w:tc>
          <w:tcPr>
            <w:tcW w:w="423" w:type="pct"/>
            <w:noWrap w:val="0"/>
            <w:vAlign w:val="center"/>
          </w:tcPr>
          <w:p w14:paraId="4B019628">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p>
        </w:tc>
        <w:tc>
          <w:tcPr>
            <w:tcW w:w="1040" w:type="pct"/>
            <w:noWrap w:val="0"/>
            <w:vAlign w:val="center"/>
          </w:tcPr>
          <w:p w14:paraId="405C2038">
            <w:pPr>
              <w:pStyle w:val="69"/>
              <w:ind w:left="0" w:leftChars="0" w:right="-10" w:rightChars="0" w:firstLine="0" w:firstLine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w:t>
            </w:r>
          </w:p>
        </w:tc>
        <w:tc>
          <w:tcPr>
            <w:tcW w:w="355" w:type="pct"/>
            <w:noWrap w:val="0"/>
            <w:vAlign w:val="center"/>
          </w:tcPr>
          <w:p w14:paraId="7E209A54">
            <w:pPr>
              <w:pStyle w:val="69"/>
              <w:ind w:left="0" w:leftChars="0" w:right="-1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w:t>
            </w:r>
          </w:p>
        </w:tc>
      </w:tr>
    </w:tbl>
    <w:p w14:paraId="1A2B96CB">
      <w:pPr>
        <w:rPr>
          <w:rFonts w:hint="default" w:ascii="Times New Roman" w:hAnsi="Times New Roman" w:cs="Times New Roman"/>
          <w:color w:val="auto"/>
          <w:highlight w:val="none"/>
        </w:rPr>
      </w:pPr>
    </w:p>
    <w:p w14:paraId="5728A4E1">
      <w:pPr>
        <w:pStyle w:val="73"/>
        <w:keepNext w:val="0"/>
        <w:keepLines w:val="0"/>
        <w:pageBreakBefore w:val="0"/>
        <w:widowControl w:val="0"/>
        <w:numPr>
          <w:ilvl w:val="0"/>
          <w:numId w:val="0"/>
        </w:numPr>
        <w:tabs>
          <w:tab w:val="left" w:pos="781"/>
        </w:tabs>
        <w:kinsoku/>
        <w:wordWrap/>
        <w:overflowPunct/>
        <w:topLinePunct w:val="0"/>
        <w:autoSpaceDE w:val="0"/>
        <w:autoSpaceDN w:val="0"/>
        <w:bidi w:val="0"/>
        <w:adjustRightInd/>
        <w:snapToGrid/>
        <w:spacing w:before="0" w:beforeLines="50" w:line="360" w:lineRule="auto"/>
        <w:ind w:leftChars="0" w:right="0" w:rightChars="0"/>
        <w:textAlignment w:val="auto"/>
        <w:outlineLvl w:val="9"/>
        <w:rPr>
          <w:rFonts w:hint="default" w:ascii="Times New Roman" w:hAnsi="Times New Roman" w:eastAsia="宋体" w:cs="Times New Roman"/>
          <w:b/>
          <w:color w:val="auto"/>
          <w:sz w:val="32"/>
          <w:highlight w:val="none"/>
          <w:lang w:val="en-US" w:eastAsia="zh-CN"/>
        </w:rPr>
        <w:sectPr>
          <w:pgSz w:w="16840" w:h="11910" w:orient="landscape"/>
          <w:pgMar w:top="1797" w:right="1440" w:bottom="1797" w:left="1417" w:header="896" w:footer="1236" w:gutter="0"/>
          <w:pgBorders>
            <w:top w:val="none" w:sz="0" w:space="0"/>
            <w:left w:val="none" w:sz="0" w:space="0"/>
            <w:bottom w:val="none" w:sz="0" w:space="0"/>
            <w:right w:val="none" w:sz="0" w:space="0"/>
          </w:pgBorders>
          <w:pgNumType w:fmt="decimal"/>
          <w:cols w:space="720" w:num="1"/>
          <w:rtlGutter w:val="0"/>
          <w:docGrid w:linePitch="0" w:charSpace="0"/>
        </w:sectPr>
      </w:pPr>
    </w:p>
    <w:p w14:paraId="53E4241B">
      <w:pPr>
        <w:pStyle w:val="2"/>
        <w:bidi w:val="0"/>
        <w:rPr>
          <w:rFonts w:hint="default" w:ascii="Times New Roman" w:hAnsi="Times New Roman" w:cs="Times New Roman"/>
          <w:color w:val="auto"/>
        </w:rPr>
      </w:pPr>
      <w:bookmarkStart w:id="194" w:name="_TOC_250015"/>
      <w:bookmarkEnd w:id="194"/>
      <w:bookmarkStart w:id="195" w:name="_Toc16928"/>
      <w:bookmarkStart w:id="196" w:name="_Toc21600"/>
      <w:r>
        <w:rPr>
          <w:rFonts w:hint="default" w:ascii="Times New Roman" w:hAnsi="Times New Roman" w:cs="Times New Roman"/>
          <w:color w:val="auto"/>
        </w:rPr>
        <w:t>结论与建议</w:t>
      </w:r>
      <w:bookmarkEnd w:id="195"/>
      <w:bookmarkEnd w:id="196"/>
    </w:p>
    <w:p w14:paraId="2E6476E3">
      <w:pPr>
        <w:pStyle w:val="3"/>
        <w:bidi w:val="0"/>
        <w:rPr>
          <w:rFonts w:hint="default" w:ascii="Times New Roman" w:hAnsi="Times New Roman" w:cs="Times New Roman"/>
          <w:color w:val="auto"/>
          <w:lang w:val="en-US" w:eastAsia="zh-CN"/>
        </w:rPr>
      </w:pPr>
      <w:bookmarkStart w:id="197" w:name="_TOC_250009"/>
      <w:bookmarkEnd w:id="197"/>
      <w:bookmarkStart w:id="198" w:name="_Toc26004"/>
      <w:bookmarkStart w:id="199" w:name="_Toc3007"/>
      <w:r>
        <w:rPr>
          <w:rFonts w:hint="default" w:ascii="Times New Roman" w:hAnsi="Times New Roman" w:cs="Times New Roman"/>
          <w:color w:val="auto"/>
          <w:lang w:val="en-US" w:eastAsia="zh-CN"/>
        </w:rPr>
        <w:t>建设项目概况</w:t>
      </w:r>
      <w:bookmarkEnd w:id="198"/>
      <w:bookmarkEnd w:id="199"/>
    </w:p>
    <w:p w14:paraId="5AD0BEF6">
      <w:pPr>
        <w:pStyle w:val="16"/>
        <w:bidi w:val="0"/>
        <w:rPr>
          <w:rFonts w:hint="default" w:ascii="Times New Roman" w:hAnsi="Times New Roman" w:cs="Times New Roman"/>
          <w:color w:val="auto"/>
          <w:lang w:val="en-US" w:eastAsia="zh-CN"/>
        </w:rPr>
      </w:pPr>
      <w:bookmarkStart w:id="200" w:name="_TOC_250008"/>
      <w:bookmarkEnd w:id="200"/>
      <w:r>
        <w:rPr>
          <w:rFonts w:hint="default" w:ascii="Times New Roman" w:hAnsi="Times New Roman" w:cs="Times New Roman"/>
          <w:color w:val="auto"/>
        </w:rPr>
        <w:t>项目名称：</w:t>
      </w:r>
      <w:r>
        <w:rPr>
          <w:rFonts w:hint="default" w:ascii="Times New Roman" w:hAnsi="Times New Roman" w:cs="Times New Roman"/>
          <w:color w:val="auto"/>
          <w:lang w:val="en-US" w:eastAsia="zh-CN"/>
        </w:rPr>
        <w:t>全智能数字化蛋鸡养殖科技园区</w:t>
      </w:r>
    </w:p>
    <w:p w14:paraId="77765575">
      <w:pPr>
        <w:pStyle w:val="16"/>
        <w:bidi w:val="0"/>
        <w:rPr>
          <w:rFonts w:hint="default" w:ascii="Times New Roman" w:hAnsi="Times New Roman" w:cs="Times New Roman"/>
          <w:color w:val="auto"/>
        </w:rPr>
      </w:pPr>
      <w:r>
        <w:rPr>
          <w:rFonts w:hint="default" w:ascii="Times New Roman" w:hAnsi="Times New Roman" w:cs="Times New Roman"/>
          <w:color w:val="auto"/>
        </w:rPr>
        <w:t>建设单位：</w:t>
      </w:r>
      <w:r>
        <w:rPr>
          <w:rFonts w:hint="default" w:ascii="Times New Roman" w:hAnsi="Times New Roman" w:cs="Times New Roman"/>
          <w:color w:val="auto"/>
          <w:lang w:eastAsia="zh-CN"/>
        </w:rPr>
        <w:t>新疆海川吉蛋福养殖农民专业合作社</w:t>
      </w:r>
    </w:p>
    <w:p w14:paraId="7BA22DE5">
      <w:pPr>
        <w:pStyle w:val="16"/>
        <w:bidi w:val="0"/>
        <w:rPr>
          <w:rFonts w:hint="default" w:ascii="Times New Roman" w:hAnsi="Times New Roman" w:cs="Times New Roman"/>
          <w:color w:val="auto"/>
        </w:rPr>
      </w:pPr>
      <w:r>
        <w:rPr>
          <w:rFonts w:hint="default" w:ascii="Times New Roman" w:hAnsi="Times New Roman" w:cs="Times New Roman"/>
          <w:color w:val="auto"/>
        </w:rPr>
        <w:t>建设地点：</w:t>
      </w:r>
      <w:r>
        <w:rPr>
          <w:rFonts w:hint="default" w:ascii="Times New Roman" w:hAnsi="Times New Roman" w:cs="Times New Roman"/>
          <w:color w:val="auto"/>
          <w:lang w:val="en-US" w:eastAsia="zh-CN"/>
        </w:rPr>
        <w:t>本项目</w:t>
      </w:r>
      <w:r>
        <w:rPr>
          <w:rFonts w:hint="default" w:ascii="Times New Roman" w:hAnsi="Times New Roman" w:cs="Times New Roman"/>
          <w:color w:val="auto"/>
        </w:rPr>
        <w:t>位于</w:t>
      </w:r>
      <w:r>
        <w:rPr>
          <w:rFonts w:hint="default" w:ascii="Times New Roman" w:hAnsi="Times New Roman" w:cs="Times New Roman"/>
          <w:color w:val="auto"/>
          <w:lang w:val="en-US" w:eastAsia="zh-CN"/>
        </w:rPr>
        <w:t>新疆北屯市188团9连，中心地理坐标E87°40′16.546″，N47°19′59.588″</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详见</w:t>
      </w:r>
      <w:r>
        <w:rPr>
          <w:rFonts w:hint="default" w:ascii="Times New Roman" w:hAnsi="Times New Roman" w:cs="Times New Roman"/>
          <w:color w:val="auto"/>
        </w:rPr>
        <w:t>图3-</w:t>
      </w:r>
      <w:r>
        <w:rPr>
          <w:rFonts w:hint="default" w:ascii="Times New Roman" w:hAnsi="Times New Roman" w:cs="Times New Roman"/>
          <w:color w:val="auto"/>
          <w:lang w:val="en-US" w:eastAsia="zh-CN"/>
        </w:rPr>
        <w:t>1</w:t>
      </w:r>
      <w:r>
        <w:rPr>
          <w:rFonts w:hint="default" w:ascii="Times New Roman" w:hAnsi="Times New Roman" w:cs="Times New Roman"/>
          <w:color w:val="auto"/>
        </w:rPr>
        <w:t>项目地理位置图。周边环境情况：</w:t>
      </w:r>
      <w:r>
        <w:rPr>
          <w:rFonts w:hint="default" w:ascii="Times New Roman" w:hAnsi="Times New Roman" w:cs="Times New Roman"/>
          <w:color w:val="auto"/>
          <w:lang w:val="en-US" w:eastAsia="zh-CN"/>
        </w:rPr>
        <w:t>养殖场项目区北侧为养殖场、东侧为林带、西侧为林带，南侧为空地。</w:t>
      </w:r>
    </w:p>
    <w:p w14:paraId="28C5E3BC">
      <w:pPr>
        <w:pStyle w:val="16"/>
        <w:bidi w:val="0"/>
        <w:rPr>
          <w:rFonts w:hint="default" w:ascii="Times New Roman" w:hAnsi="Times New Roman" w:cs="Times New Roman"/>
          <w:color w:val="auto"/>
        </w:rPr>
      </w:pPr>
      <w:r>
        <w:rPr>
          <w:rFonts w:hint="default" w:ascii="Times New Roman" w:hAnsi="Times New Roman" w:cs="Times New Roman"/>
          <w:color w:val="auto"/>
        </w:rPr>
        <w:t>项目建设性质：</w:t>
      </w:r>
      <w:r>
        <w:rPr>
          <w:rFonts w:hint="default" w:ascii="Times New Roman" w:hAnsi="Times New Roman" w:cs="Times New Roman"/>
          <w:color w:val="auto"/>
          <w:lang w:val="en-US" w:eastAsia="zh-CN"/>
        </w:rPr>
        <w:t>新</w:t>
      </w:r>
      <w:r>
        <w:rPr>
          <w:rFonts w:hint="default" w:ascii="Times New Roman" w:hAnsi="Times New Roman" w:cs="Times New Roman"/>
          <w:color w:val="auto"/>
        </w:rPr>
        <w:t>建。</w:t>
      </w:r>
    </w:p>
    <w:p w14:paraId="6B90DA1F">
      <w:pPr>
        <w:pStyle w:val="16"/>
        <w:bidi w:val="0"/>
        <w:rPr>
          <w:rFonts w:hint="default" w:ascii="Times New Roman" w:hAnsi="Times New Roman" w:cs="Times New Roman"/>
          <w:color w:val="auto"/>
          <w:lang w:eastAsia="zh-CN"/>
        </w:rPr>
      </w:pPr>
      <w:r>
        <w:rPr>
          <w:rFonts w:hint="default" w:ascii="Times New Roman" w:hAnsi="Times New Roman" w:cs="Times New Roman"/>
          <w:color w:val="auto"/>
        </w:rPr>
        <w:t>总投资：本项目总投资为</w:t>
      </w:r>
      <w:r>
        <w:rPr>
          <w:rFonts w:hint="default" w:ascii="Times New Roman" w:hAnsi="Times New Roman" w:cs="Times New Roman"/>
          <w:color w:val="auto"/>
          <w:lang w:val="en-US" w:eastAsia="zh-CN"/>
        </w:rPr>
        <w:t>5028</w:t>
      </w:r>
      <w:r>
        <w:rPr>
          <w:rFonts w:hint="default" w:ascii="Times New Roman" w:hAnsi="Times New Roman" w:cs="Times New Roman"/>
          <w:color w:val="auto"/>
        </w:rPr>
        <w:t>万元，其中环保投资</w:t>
      </w:r>
      <w:r>
        <w:rPr>
          <w:rFonts w:hint="default" w:ascii="Times New Roman" w:hAnsi="Times New Roman" w:cs="Times New Roman"/>
          <w:color w:val="auto"/>
          <w:lang w:val="en-US" w:eastAsia="zh-CN"/>
        </w:rPr>
        <w:t>201.4万元</w:t>
      </w:r>
      <w:r>
        <w:rPr>
          <w:rFonts w:hint="default" w:ascii="Times New Roman" w:hAnsi="Times New Roman" w:cs="Times New Roman"/>
          <w:color w:val="auto"/>
          <w:lang w:eastAsia="zh-CN"/>
        </w:rPr>
        <w:t>，</w:t>
      </w:r>
      <w:r>
        <w:rPr>
          <w:rFonts w:hint="default" w:ascii="Times New Roman" w:hAnsi="Times New Roman" w:cs="Times New Roman"/>
          <w:color w:val="auto"/>
        </w:rPr>
        <w:t>占总投资的</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p>
    <w:p w14:paraId="5B2A427B">
      <w:pPr>
        <w:pStyle w:val="16"/>
        <w:bidi w:val="0"/>
        <w:rPr>
          <w:rFonts w:hint="default" w:ascii="Times New Roman" w:hAnsi="Times New Roman" w:cs="Times New Roman"/>
          <w:color w:val="auto"/>
        </w:rPr>
      </w:pPr>
      <w:r>
        <w:rPr>
          <w:rFonts w:hint="default" w:ascii="Times New Roman" w:hAnsi="Times New Roman" w:cs="Times New Roman"/>
          <w:color w:val="auto"/>
        </w:rPr>
        <w:t>占地面积：</w:t>
      </w:r>
      <w:r>
        <w:rPr>
          <w:rFonts w:hint="default" w:ascii="Times New Roman" w:hAnsi="Times New Roman" w:cs="Times New Roman"/>
          <w:color w:val="auto"/>
          <w:lang w:val="en-US" w:eastAsia="zh-CN"/>
        </w:rPr>
        <w:t>养殖场</w:t>
      </w:r>
      <w:r>
        <w:rPr>
          <w:rFonts w:hint="default" w:ascii="Times New Roman" w:hAnsi="Times New Roman" w:cs="Times New Roman"/>
          <w:color w:val="auto"/>
        </w:rPr>
        <w:t>占地面积</w:t>
      </w:r>
      <w:r>
        <w:rPr>
          <w:rFonts w:hint="default" w:ascii="Times New Roman" w:hAnsi="Times New Roman" w:cs="Times New Roman"/>
          <w:color w:val="auto"/>
          <w:lang w:val="en-US" w:eastAsia="zh-CN"/>
        </w:rPr>
        <w:t>103727.63m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rPr>
        <w:t>，占地为设施农用地。</w:t>
      </w:r>
    </w:p>
    <w:p w14:paraId="43AD56F6">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养殖规模：30万羽蛋鸡和</w:t>
      </w:r>
      <w:r>
        <w:rPr>
          <w:rFonts w:hint="default" w:ascii="Times New Roman" w:hAnsi="Times New Roman" w:eastAsia="宋体" w:cs="Times New Roman"/>
          <w:color w:val="auto"/>
          <w:sz w:val="24"/>
          <w:szCs w:val="24"/>
          <w:lang w:val="en-US" w:eastAsia="zh-CN"/>
        </w:rPr>
        <w:t>育雏鸡30万羽</w:t>
      </w:r>
      <w:r>
        <w:rPr>
          <w:rFonts w:hint="default" w:ascii="Times New Roman" w:hAnsi="Times New Roman" w:cs="Times New Roman"/>
          <w:color w:val="auto"/>
          <w:lang w:val="en-US" w:eastAsia="zh-CN"/>
        </w:rPr>
        <w:t>及全鸡粪发酵处理场。</w:t>
      </w:r>
    </w:p>
    <w:p w14:paraId="049DCFA8">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建设主体：单栋五万只鸡，六栋，8400平方米。单栋五万只育雏育成舍，两栋，2500平方米。鸡粪发酵处理场，2000平方米。中央鸡蛋分级库，1500平方米。</w:t>
      </w:r>
    </w:p>
    <w:p w14:paraId="29971FF8">
      <w:pPr>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4"/>
          <w:lang w:val="en-US" w:eastAsia="zh-CN"/>
        </w:rPr>
        <w:t>养殖规模：项目建成后蛋鸡年存栏30万羽，育雏鸡存栏30万羽，蛋鸡出栏30万羽，育雏鸡出栏20万羽，销售鸡蛋2600万枚。</w:t>
      </w:r>
    </w:p>
    <w:p w14:paraId="7C884258">
      <w:pPr>
        <w:pStyle w:val="3"/>
        <w:bidi w:val="0"/>
        <w:rPr>
          <w:rFonts w:hint="default" w:ascii="Times New Roman" w:hAnsi="Times New Roman" w:cs="Times New Roman"/>
          <w:color w:val="auto"/>
          <w:lang w:val="en-US" w:eastAsia="zh-CN"/>
        </w:rPr>
      </w:pPr>
      <w:bookmarkStart w:id="201" w:name="_Toc712"/>
      <w:bookmarkStart w:id="202" w:name="_Toc15489"/>
      <w:r>
        <w:rPr>
          <w:rFonts w:hint="default" w:ascii="Times New Roman" w:hAnsi="Times New Roman" w:cs="Times New Roman"/>
          <w:color w:val="auto"/>
          <w:lang w:val="en-US" w:eastAsia="zh-CN"/>
        </w:rPr>
        <w:t>环境质量现状评价结论</w:t>
      </w:r>
      <w:bookmarkEnd w:id="201"/>
      <w:bookmarkEnd w:id="202"/>
    </w:p>
    <w:p w14:paraId="4102666E">
      <w:pPr>
        <w:pStyle w:val="73"/>
        <w:keepNext w:val="0"/>
        <w:keepLines w:val="0"/>
        <w:pageBreakBefore w:val="0"/>
        <w:widowControl w:val="0"/>
        <w:numPr>
          <w:ilvl w:val="0"/>
          <w:numId w:val="0"/>
        </w:numPr>
        <w:tabs>
          <w:tab w:val="left" w:pos="1199"/>
        </w:tabs>
        <w:kinsoku/>
        <w:wordWrap/>
        <w:overflowPunct/>
        <w:topLinePunct w:val="0"/>
        <w:autoSpaceDE w:val="0"/>
        <w:autoSpaceDN w:val="0"/>
        <w:bidi w:val="0"/>
        <w:adjustRightInd/>
        <w:snapToGrid/>
        <w:spacing w:line="360" w:lineRule="auto"/>
        <w:ind w:leftChars="200" w:right="-11" w:right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环境空气质量现状</w:t>
      </w:r>
    </w:p>
    <w:p w14:paraId="66A911B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年度</w:t>
      </w:r>
      <w:r>
        <w:rPr>
          <w:rFonts w:hint="default" w:ascii="Times New Roman" w:hAnsi="Times New Roman" w:cs="Times New Roman"/>
          <w:color w:val="auto"/>
          <w:sz w:val="24"/>
          <w:szCs w:val="24"/>
          <w:lang w:val="en-US" w:eastAsia="zh-CN"/>
        </w:rPr>
        <w:t>阿勒泰</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年平均浓度，CO24h平均浓度，O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8小时平均浓度满足《环境空气质量标准》（GB3095-2012）二级标准要求。</w:t>
      </w:r>
    </w:p>
    <w:p w14:paraId="5293CB1A">
      <w:pPr>
        <w:pStyle w:val="16"/>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vertAlign w:val="baseline"/>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vertAlign w:val="baseline"/>
        </w:rPr>
        <w:t>S</w:t>
      </w:r>
      <w:r>
        <w:rPr>
          <w:rFonts w:hint="default" w:ascii="Times New Roman" w:hAnsi="Times New Roman" w:cs="Times New Roman"/>
          <w:color w:val="auto"/>
          <w:sz w:val="24"/>
          <w:szCs w:val="24"/>
          <w:lang w:val="en-US" w:eastAsia="zh-CN"/>
        </w:rPr>
        <w:t>小时</w:t>
      </w:r>
      <w:r>
        <w:rPr>
          <w:rFonts w:hint="default" w:ascii="Times New Roman" w:hAnsi="Times New Roman" w:cs="Times New Roman"/>
          <w:color w:val="auto"/>
          <w:sz w:val="24"/>
          <w:szCs w:val="24"/>
        </w:rPr>
        <w:t>浓度</w:t>
      </w:r>
      <w:r>
        <w:rPr>
          <w:rFonts w:hint="default" w:ascii="Times New Roman" w:hAnsi="Times New Roman" w:cs="Times New Roman"/>
          <w:color w:val="auto"/>
          <w:sz w:val="24"/>
          <w:szCs w:val="24"/>
          <w:lang w:val="en-US" w:eastAsia="zh-CN"/>
        </w:rPr>
        <w:t>满足</w:t>
      </w:r>
      <w:r>
        <w:rPr>
          <w:rFonts w:hint="default" w:ascii="Times New Roman" w:hAnsi="Times New Roman" w:cs="Times New Roman"/>
          <w:color w:val="auto"/>
          <w:sz w:val="24"/>
          <w:szCs w:val="24"/>
        </w:rPr>
        <w:t>《环境影响评价技术导则大气环境》（HJ2.2-2018）附录D的参考浓度限值标准</w:t>
      </w:r>
      <w:r>
        <w:rPr>
          <w:rFonts w:hint="default" w:ascii="Times New Roman" w:hAnsi="Times New Roman" w:cs="Times New Roman"/>
          <w:color w:val="auto"/>
          <w:sz w:val="24"/>
          <w:szCs w:val="24"/>
          <w:lang w:eastAsia="zh-CN"/>
        </w:rPr>
        <w:t>；TSP</w:t>
      </w:r>
      <w:r>
        <w:rPr>
          <w:rFonts w:hint="default" w:ascii="Times New Roman" w:hAnsi="Times New Roman" w:cs="Times New Roman"/>
          <w:color w:val="auto"/>
          <w:sz w:val="24"/>
          <w:szCs w:val="24"/>
          <w:lang w:val="en-US" w:eastAsia="zh-CN"/>
        </w:rPr>
        <w:t>24小时平均</w:t>
      </w:r>
      <w:r>
        <w:rPr>
          <w:rFonts w:hint="default" w:ascii="Times New Roman" w:hAnsi="Times New Roman" w:cs="Times New Roman"/>
          <w:color w:val="auto"/>
          <w:sz w:val="24"/>
          <w:szCs w:val="24"/>
          <w:lang w:eastAsia="zh-CN"/>
        </w:rPr>
        <w:t>浓度满足《环境空气质量标准》（GB3095-2012）二级标准。</w:t>
      </w:r>
    </w:p>
    <w:p w14:paraId="7A9883BE">
      <w:pPr>
        <w:pStyle w:val="16"/>
        <w:bidi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rPr>
        <w:t>2</w:t>
      </w:r>
      <w:r>
        <w:rPr>
          <w:rFonts w:hint="default" w:ascii="Times New Roman" w:hAnsi="Times New Roman" w:cs="Times New Roman"/>
          <w:color w:val="auto"/>
          <w:sz w:val="24"/>
          <w:szCs w:val="24"/>
        </w:rPr>
        <w:t>）水环境质量现状</w:t>
      </w:r>
    </w:p>
    <w:p w14:paraId="61D2A220">
      <w:pPr>
        <w:pStyle w:val="16"/>
        <w:bidi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地下水监测点各监测指标均低于《地下水质量标准》（GB/T14848-2017）中的Ⅲ类标准，没有出现超标现象，说明区域地下水水质较好。</w:t>
      </w:r>
    </w:p>
    <w:p w14:paraId="67CE928D">
      <w:pPr>
        <w:pStyle w:val="16"/>
        <w:bidi w:val="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（3）噪声环境质量现状</w:t>
      </w:r>
    </w:p>
    <w:p w14:paraId="19339B9C">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项目</w:t>
      </w:r>
      <w:r>
        <w:rPr>
          <w:rFonts w:hint="default" w:ascii="Times New Roman" w:hAnsi="Times New Roman" w:cs="Times New Roman"/>
          <w:color w:val="auto"/>
          <w:lang w:val="en-US" w:eastAsia="zh-CN"/>
        </w:rPr>
        <w:t>养殖场厂界四周</w:t>
      </w:r>
      <w:r>
        <w:rPr>
          <w:rFonts w:hint="default" w:ascii="Times New Roman" w:hAnsi="Times New Roman" w:cs="Times New Roman"/>
          <w:color w:val="auto"/>
          <w:lang w:val="en-US"/>
        </w:rPr>
        <w:t>声环境现状监测点声环境昼间及夜间均达标，满足《声环境质量标准》（GB3096-2008）中2</w:t>
      </w:r>
      <w:r>
        <w:rPr>
          <w:rFonts w:hint="default" w:ascii="Times New Roman" w:hAnsi="Times New Roman" w:cs="Times New Roman"/>
          <w:color w:val="auto"/>
          <w:lang w:val="en-US" w:eastAsia="zh-CN"/>
        </w:rPr>
        <w:t>类</w:t>
      </w:r>
      <w:r>
        <w:rPr>
          <w:rFonts w:hint="default" w:ascii="Times New Roman" w:hAnsi="Times New Roman" w:cs="Times New Roman"/>
          <w:color w:val="auto"/>
          <w:lang w:val="en-US"/>
        </w:rPr>
        <w:t>标准。</w:t>
      </w:r>
    </w:p>
    <w:p w14:paraId="411D12B4">
      <w:pPr>
        <w:pStyle w:val="73"/>
        <w:keepNext w:val="0"/>
        <w:keepLines w:val="0"/>
        <w:pageBreakBefore w:val="0"/>
        <w:widowControl w:val="0"/>
        <w:tabs>
          <w:tab w:val="left" w:pos="1439"/>
        </w:tabs>
        <w:kinsoku/>
        <w:wordWrap/>
        <w:overflowPunct/>
        <w:topLinePunct w:val="0"/>
        <w:autoSpaceDE w:val="0"/>
        <w:autoSpaceDN w:val="0"/>
        <w:bidi w:val="0"/>
        <w:adjustRightInd/>
        <w:snapToGrid/>
        <w:spacing w:before="2" w:line="360" w:lineRule="auto"/>
        <w:ind w:left="0" w:leftChars="0" w:right="-11"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）土壤环境质量</w:t>
      </w:r>
    </w:p>
    <w:p w14:paraId="083AC3DF">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各监测点的各项监测因子均满足《畜禽养殖产地环境评价规范》（HJ568-2010）中表4放牧区和畜禽养殖场、养殖小区土壤环境质量评价指标限值</w:t>
      </w:r>
      <w:r>
        <w:rPr>
          <w:rFonts w:hint="default" w:ascii="Times New Roman" w:hAnsi="Times New Roman" w:cs="Times New Roman"/>
          <w:color w:val="auto"/>
          <w:lang w:val="en-US" w:eastAsia="zh-CN"/>
        </w:rPr>
        <w:t>要求。</w:t>
      </w:r>
    </w:p>
    <w:p w14:paraId="57D4E997">
      <w:pPr>
        <w:pStyle w:val="3"/>
        <w:bidi w:val="0"/>
        <w:rPr>
          <w:rFonts w:hint="default" w:ascii="Times New Roman" w:hAnsi="Times New Roman" w:cs="Times New Roman"/>
          <w:color w:val="auto"/>
          <w:lang w:val="en-US" w:eastAsia="zh-CN"/>
        </w:rPr>
      </w:pPr>
      <w:bookmarkStart w:id="203" w:name="_TOC_250007"/>
      <w:bookmarkEnd w:id="203"/>
      <w:bookmarkStart w:id="204" w:name="_Toc12521"/>
      <w:bookmarkStart w:id="205" w:name="_Toc10734"/>
      <w:r>
        <w:rPr>
          <w:rFonts w:hint="default" w:ascii="Times New Roman" w:hAnsi="Times New Roman" w:cs="Times New Roman"/>
          <w:color w:val="auto"/>
          <w:lang w:val="en-US" w:eastAsia="zh-CN"/>
        </w:rPr>
        <w:t>项目污染源分析结论</w:t>
      </w:r>
      <w:bookmarkEnd w:id="204"/>
      <w:bookmarkEnd w:id="205"/>
    </w:p>
    <w:p w14:paraId="7B9D0E81">
      <w:pPr>
        <w:pStyle w:val="73"/>
        <w:keepNext w:val="0"/>
        <w:keepLines w:val="0"/>
        <w:pageBreakBefore w:val="0"/>
        <w:widowControl w:val="0"/>
        <w:numPr>
          <w:ilvl w:val="0"/>
          <w:numId w:val="0"/>
        </w:numPr>
        <w:tabs>
          <w:tab w:val="left" w:pos="1199"/>
        </w:tabs>
        <w:kinsoku/>
        <w:wordWrap/>
        <w:overflowPunct/>
        <w:topLinePunct w:val="0"/>
        <w:autoSpaceDE w:val="0"/>
        <w:autoSpaceDN w:val="0"/>
        <w:bidi w:val="0"/>
        <w:adjustRightInd/>
        <w:snapToGrid/>
        <w:spacing w:line="360" w:lineRule="auto"/>
        <w:ind w:leftChars="200" w:right="-11" w:right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废气</w:t>
      </w:r>
    </w:p>
    <w:p w14:paraId="356C11CF">
      <w:pPr>
        <w:pStyle w:val="16"/>
        <w:bidi w:val="0"/>
        <w:rPr>
          <w:rFonts w:hint="default" w:ascii="Times New Roman" w:hAnsi="Times New Roman" w:cs="Times New Roman"/>
          <w:color w:val="auto"/>
        </w:rPr>
      </w:pPr>
      <w:r>
        <w:rPr>
          <w:rFonts w:hint="default" w:ascii="Times New Roman" w:hAnsi="Times New Roman" w:cs="Times New Roman"/>
          <w:color w:val="auto"/>
        </w:rPr>
        <w:t>项目运营期间产生废气主要为</w:t>
      </w:r>
      <w:r>
        <w:rPr>
          <w:rFonts w:hint="default" w:ascii="Times New Roman" w:hAnsi="Times New Roman" w:cs="Times New Roman"/>
          <w:color w:val="auto"/>
          <w:lang w:val="en-US" w:eastAsia="zh-CN"/>
        </w:rPr>
        <w:t>鸡舍、</w:t>
      </w:r>
      <w:r>
        <w:rPr>
          <w:rFonts w:hint="default" w:ascii="Times New Roman" w:hAnsi="Times New Roman" w:cs="Times New Roman"/>
          <w:color w:val="auto"/>
        </w:rPr>
        <w:t>粪便处理设施等产生恶臭</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食堂油烟和饲料加工粉尘</w:t>
      </w:r>
      <w:r>
        <w:rPr>
          <w:rFonts w:hint="default" w:ascii="Times New Roman" w:hAnsi="Times New Roman" w:cs="Times New Roman"/>
          <w:color w:val="auto"/>
        </w:rPr>
        <w:t>。</w:t>
      </w:r>
    </w:p>
    <w:p w14:paraId="12DE203A">
      <w:pPr>
        <w:pStyle w:val="16"/>
        <w:bidi w:val="0"/>
        <w:rPr>
          <w:rFonts w:hint="default" w:ascii="Times New Roman" w:hAnsi="Times New Roman" w:cs="Times New Roman"/>
          <w:color w:val="auto"/>
        </w:rPr>
      </w:pPr>
      <w:r>
        <w:rPr>
          <w:rFonts w:hint="default" w:ascii="Times New Roman" w:hAnsi="Times New Roman" w:cs="Times New Roman"/>
          <w:color w:val="auto"/>
        </w:rPr>
        <w:t>①恶臭</w:t>
      </w:r>
    </w:p>
    <w:p w14:paraId="146DBC41">
      <w:pPr>
        <w:pStyle w:val="16"/>
        <w:bidi w:val="0"/>
        <w:rPr>
          <w:rFonts w:hint="default" w:ascii="Times New Roman" w:hAnsi="Times New Roman" w:cs="Times New Roman"/>
          <w:color w:val="auto"/>
        </w:rPr>
      </w:pPr>
      <w:r>
        <w:rPr>
          <w:rFonts w:hint="default" w:ascii="Times New Roman" w:hAnsi="Times New Roman" w:cs="Times New Roman"/>
          <w:color w:val="auto"/>
        </w:rPr>
        <w:t>本项目运营期间</w:t>
      </w:r>
      <w:r>
        <w:rPr>
          <w:rFonts w:hint="default" w:ascii="Times New Roman" w:hAnsi="Times New Roman" w:cs="Times New Roman"/>
          <w:color w:val="auto"/>
          <w:lang w:eastAsia="zh-CN"/>
        </w:rPr>
        <w:t>鸡舍</w:t>
      </w:r>
      <w:r>
        <w:rPr>
          <w:rFonts w:hint="default" w:ascii="Times New Roman" w:hAnsi="Times New Roman" w:cs="Times New Roman"/>
          <w:color w:val="auto"/>
        </w:rPr>
        <w:t>、粪便</w:t>
      </w:r>
      <w:r>
        <w:rPr>
          <w:rFonts w:hint="default" w:ascii="Times New Roman" w:hAnsi="Times New Roman" w:cs="Times New Roman"/>
          <w:color w:val="auto"/>
          <w:lang w:val="en-US" w:eastAsia="zh-CN"/>
        </w:rPr>
        <w:t>发酵车间</w:t>
      </w:r>
      <w:r>
        <w:rPr>
          <w:rFonts w:hint="default" w:ascii="Times New Roman" w:hAnsi="Times New Roman" w:cs="Times New Roman"/>
          <w:color w:val="auto"/>
        </w:rPr>
        <w:t>、</w:t>
      </w:r>
      <w:r>
        <w:rPr>
          <w:rFonts w:hint="default" w:ascii="Times New Roman" w:hAnsi="Times New Roman" w:cs="Times New Roman"/>
          <w:color w:val="auto"/>
          <w:lang w:eastAsia="zh-CN"/>
        </w:rPr>
        <w:t>废水收集池</w:t>
      </w:r>
      <w:r>
        <w:rPr>
          <w:rFonts w:hint="default" w:ascii="Times New Roman" w:hAnsi="Times New Roman" w:cs="Times New Roman"/>
          <w:color w:val="auto"/>
        </w:rPr>
        <w:t>等处均会产生恶臭，其中主要污染因子为氨（NH</w:t>
      </w:r>
      <w:r>
        <w:rPr>
          <w:rFonts w:hint="default" w:ascii="Times New Roman" w:hAnsi="Times New Roman" w:cs="Times New Roman"/>
          <w:color w:val="auto"/>
          <w:vertAlign w:val="subscript"/>
        </w:rPr>
        <w:t>3</w:t>
      </w:r>
      <w:r>
        <w:rPr>
          <w:rFonts w:hint="default" w:ascii="Times New Roman" w:hAnsi="Times New Roman" w:cs="Times New Roman"/>
          <w:color w:val="auto"/>
        </w:rPr>
        <w:t>）和硫化氢（H</w:t>
      </w:r>
      <w:r>
        <w:rPr>
          <w:rFonts w:hint="default" w:ascii="Times New Roman" w:hAnsi="Times New Roman" w:cs="Times New Roman"/>
          <w:color w:val="auto"/>
          <w:vertAlign w:val="subscript"/>
        </w:rPr>
        <w:t>2</w:t>
      </w:r>
      <w:r>
        <w:rPr>
          <w:rFonts w:hint="default" w:ascii="Times New Roman" w:hAnsi="Times New Roman" w:cs="Times New Roman"/>
          <w:color w:val="auto"/>
        </w:rPr>
        <w:t>S），均呈无组织排放。</w:t>
      </w:r>
    </w:p>
    <w:p w14:paraId="154CEC16">
      <w:pPr>
        <w:pStyle w:val="16"/>
        <w:bidi w:val="0"/>
        <w:rPr>
          <w:rFonts w:hint="default" w:ascii="Times New Roman" w:hAnsi="Times New Roman" w:cs="Times New Roman"/>
          <w:color w:val="auto"/>
        </w:rPr>
      </w:pPr>
      <w:r>
        <w:rPr>
          <w:rFonts w:hint="default" w:ascii="Times New Roman" w:hAnsi="Times New Roman" w:cs="Times New Roman"/>
          <w:color w:val="auto"/>
        </w:rPr>
        <w:t>项目主要恶臭污染物排放源所排放的恶臭物质均来源于场内饲养的不同日龄的粪污，粪污从场区内的</w:t>
      </w:r>
      <w:r>
        <w:rPr>
          <w:rFonts w:hint="default" w:ascii="Times New Roman" w:hAnsi="Times New Roman" w:cs="Times New Roman"/>
          <w:color w:val="auto"/>
          <w:lang w:eastAsia="zh-CN"/>
        </w:rPr>
        <w:t>鸡</w:t>
      </w:r>
      <w:r>
        <w:rPr>
          <w:rFonts w:hint="default" w:ascii="Times New Roman" w:hAnsi="Times New Roman" w:eastAsia="宋体" w:cs="Times New Roman"/>
          <w:color w:val="auto"/>
          <w:lang w:eastAsia="zh-CN"/>
        </w:rPr>
        <w:t>舍</w:t>
      </w:r>
      <w:r>
        <w:rPr>
          <w:rFonts w:hint="default" w:ascii="Times New Roman" w:hAnsi="Times New Roman" w:eastAsia="宋体" w:cs="Times New Roman"/>
          <w:color w:val="auto"/>
        </w:rPr>
        <w:t>向</w:t>
      </w:r>
      <w:r>
        <w:rPr>
          <w:rFonts w:hint="default" w:ascii="Times New Roman" w:hAnsi="Times New Roman" w:eastAsia="宋体" w:cs="Times New Roman"/>
          <w:color w:val="auto"/>
          <w:lang w:val="en-US" w:eastAsia="zh-CN"/>
        </w:rPr>
        <w:t>鸡粪发酵处理场</w:t>
      </w:r>
      <w:r>
        <w:rPr>
          <w:rFonts w:hint="default" w:ascii="Times New Roman" w:hAnsi="Times New Roman" w:eastAsia="宋体" w:cs="Times New Roman"/>
          <w:color w:val="auto"/>
        </w:rPr>
        <w:t>运移</w:t>
      </w:r>
      <w:r>
        <w:rPr>
          <w:rFonts w:hint="default" w:ascii="Times New Roman" w:hAnsi="Times New Roman" w:cs="Times New Roman"/>
          <w:color w:val="auto"/>
        </w:rPr>
        <w:t>，在</w:t>
      </w:r>
      <w:r>
        <w:rPr>
          <w:rFonts w:hint="default" w:ascii="Times New Roman" w:hAnsi="Times New Roman" w:eastAsia="宋体" w:cs="Times New Roman"/>
          <w:color w:val="auto"/>
          <w:lang w:val="en-US" w:eastAsia="zh-CN"/>
        </w:rPr>
        <w:t>鸡粪发酵处理场</w:t>
      </w:r>
      <w:r>
        <w:rPr>
          <w:rFonts w:hint="default" w:ascii="Times New Roman" w:hAnsi="Times New Roman" w:cs="Times New Roman"/>
          <w:color w:val="auto"/>
        </w:rPr>
        <w:t>内进行堆肥发酵等处理</w:t>
      </w:r>
      <w:r>
        <w:rPr>
          <w:rFonts w:hint="default" w:ascii="Times New Roman" w:hAnsi="Times New Roman" w:cs="Times New Roman"/>
          <w:color w:val="auto"/>
          <w:lang w:eastAsia="zh-CN"/>
        </w:rPr>
        <w:t>单元</w:t>
      </w:r>
      <w:r>
        <w:rPr>
          <w:rFonts w:hint="default" w:ascii="Times New Roman" w:hAnsi="Times New Roman" w:cs="Times New Roman"/>
          <w:color w:val="auto"/>
        </w:rPr>
        <w:t>。</w:t>
      </w:r>
    </w:p>
    <w:p w14:paraId="5A4302B2">
      <w:pPr>
        <w:pStyle w:val="16"/>
        <w:bidi w:val="0"/>
        <w:rPr>
          <w:rFonts w:hint="default" w:ascii="Times New Roman" w:hAnsi="Times New Roman" w:cs="Times New Roman"/>
          <w:color w:val="auto"/>
        </w:rPr>
      </w:pPr>
      <w:r>
        <w:rPr>
          <w:rFonts w:hint="default" w:ascii="Times New Roman" w:hAnsi="Times New Roman" w:cs="Times New Roman"/>
          <w:color w:val="auto"/>
        </w:rPr>
        <w:t>本项目选用益生菌配方饲料，同时加强</w:t>
      </w:r>
      <w:r>
        <w:rPr>
          <w:rFonts w:hint="default" w:ascii="Times New Roman" w:hAnsi="Times New Roman" w:cs="Times New Roman"/>
          <w:color w:val="auto"/>
          <w:lang w:eastAsia="zh-CN"/>
        </w:rPr>
        <w:t>鸡舍</w:t>
      </w:r>
      <w:r>
        <w:rPr>
          <w:rFonts w:hint="default" w:ascii="Times New Roman" w:hAnsi="Times New Roman" w:cs="Times New Roman"/>
          <w:color w:val="auto"/>
        </w:rPr>
        <w:t>环境综合管理，及时清理</w:t>
      </w:r>
      <w:r>
        <w:rPr>
          <w:rFonts w:hint="default" w:ascii="Times New Roman" w:hAnsi="Times New Roman" w:cs="Times New Roman"/>
          <w:color w:val="auto"/>
          <w:lang w:eastAsia="zh-CN"/>
        </w:rPr>
        <w:t>鸡粪</w:t>
      </w:r>
      <w:r>
        <w:rPr>
          <w:rFonts w:hint="default" w:ascii="Times New Roman" w:hAnsi="Times New Roman" w:cs="Times New Roman"/>
          <w:color w:val="auto"/>
        </w:rPr>
        <w:t>，保持</w:t>
      </w:r>
      <w:r>
        <w:rPr>
          <w:rFonts w:hint="default" w:ascii="Times New Roman" w:hAnsi="Times New Roman" w:cs="Times New Roman"/>
          <w:color w:val="auto"/>
          <w:lang w:eastAsia="zh-CN"/>
        </w:rPr>
        <w:t>鸡舍</w:t>
      </w:r>
      <w:r>
        <w:rPr>
          <w:rFonts w:hint="default" w:ascii="Times New Roman" w:hAnsi="Times New Roman" w:cs="Times New Roman"/>
          <w:color w:val="auto"/>
        </w:rPr>
        <w:t>通风，向粪便或舍内投</w:t>
      </w:r>
      <w:r>
        <w:rPr>
          <w:rFonts w:hint="default" w:ascii="Times New Roman" w:hAnsi="Times New Roman" w:cs="Times New Roman"/>
          <w:color w:val="auto"/>
          <w:lang w:eastAsia="zh-CN"/>
        </w:rPr>
        <w:t>（</w:t>
      </w:r>
      <w:r>
        <w:rPr>
          <w:rFonts w:hint="default" w:ascii="Times New Roman" w:hAnsi="Times New Roman" w:cs="Times New Roman"/>
          <w:color w:val="auto"/>
        </w:rPr>
        <w:t>铺</w:t>
      </w:r>
      <w:r>
        <w:rPr>
          <w:rFonts w:hint="default" w:ascii="Times New Roman" w:hAnsi="Times New Roman" w:cs="Times New Roman"/>
          <w:color w:val="auto"/>
          <w:lang w:eastAsia="zh-CN"/>
        </w:rPr>
        <w:t>）</w:t>
      </w:r>
      <w:r>
        <w:rPr>
          <w:rFonts w:hint="default" w:ascii="Times New Roman" w:hAnsi="Times New Roman" w:cs="Times New Roman"/>
          <w:color w:val="auto"/>
        </w:rPr>
        <w:t>放吸附剂减少臭气的散发，对</w:t>
      </w:r>
      <w:r>
        <w:rPr>
          <w:rFonts w:hint="default" w:ascii="Times New Roman" w:hAnsi="Times New Roman" w:cs="Times New Roman"/>
          <w:color w:val="auto"/>
          <w:lang w:eastAsia="zh-CN"/>
        </w:rPr>
        <w:t>鸡舍</w:t>
      </w:r>
      <w:r>
        <w:rPr>
          <w:rFonts w:hint="default" w:ascii="Times New Roman" w:hAnsi="Times New Roman" w:cs="Times New Roman"/>
          <w:color w:val="auto"/>
        </w:rPr>
        <w:t>、</w:t>
      </w:r>
      <w:r>
        <w:rPr>
          <w:rFonts w:hint="default" w:ascii="Times New Roman" w:hAnsi="Times New Roman" w:cs="Times New Roman"/>
          <w:color w:val="auto"/>
          <w:lang w:eastAsia="zh-CN"/>
        </w:rPr>
        <w:t>鸡粪发酵处理场</w:t>
      </w:r>
      <w:r>
        <w:rPr>
          <w:rFonts w:hint="default" w:ascii="Times New Roman" w:hAnsi="Times New Roman" w:cs="Times New Roman"/>
          <w:color w:val="auto"/>
        </w:rPr>
        <w:t>等定期喷洒除臭剂，减少恶臭污染物的蓄积。</w:t>
      </w:r>
    </w:p>
    <w:p w14:paraId="35635E6C">
      <w:pPr>
        <w:pStyle w:val="1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②食堂油烟</w:t>
      </w:r>
    </w:p>
    <w:p w14:paraId="560ADD6D">
      <w:pPr>
        <w:pStyle w:val="1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rPr>
        <w:t>本项目设有食堂</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提供早、中、晚餐</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食堂油烟采用油烟净化器进行处理，经处理后</w:t>
      </w:r>
      <w:r>
        <w:rPr>
          <w:rFonts w:hint="default" w:ascii="Times New Roman" w:hAnsi="Times New Roman" w:cs="Times New Roman"/>
          <w:color w:val="auto"/>
          <w:lang w:val="en-US" w:eastAsia="zh-CN"/>
        </w:rPr>
        <w:t>食堂油烟</w:t>
      </w:r>
      <w:r>
        <w:rPr>
          <w:rFonts w:hint="default" w:ascii="Times New Roman" w:hAnsi="Times New Roman" w:cs="Times New Roman"/>
          <w:color w:val="auto"/>
          <w:lang w:val="en-US"/>
        </w:rPr>
        <w:t>排放浓度</w:t>
      </w:r>
      <w:r>
        <w:rPr>
          <w:rFonts w:hint="default" w:ascii="Times New Roman" w:hAnsi="Times New Roman" w:cs="Times New Roman"/>
          <w:color w:val="auto"/>
          <w:lang w:val="en-US" w:eastAsia="zh-CN"/>
        </w:rPr>
        <w:t>满足</w:t>
      </w:r>
      <w:r>
        <w:rPr>
          <w:rFonts w:hint="default" w:ascii="Times New Roman" w:hAnsi="Times New Roman" w:cs="Times New Roman"/>
          <w:color w:val="auto"/>
          <w:lang w:val="en-US"/>
        </w:rPr>
        <w:t>《饮食业油烟排放标准（试行）》（GB18483-2001）中2.0mg/m</w:t>
      </w:r>
      <w:r>
        <w:rPr>
          <w:rFonts w:hint="default" w:ascii="Times New Roman" w:hAnsi="Times New Roman" w:cs="Times New Roman"/>
          <w:color w:val="auto"/>
          <w:vertAlign w:val="superscript"/>
          <w:lang w:val="en-US"/>
        </w:rPr>
        <w:t>3</w:t>
      </w:r>
      <w:r>
        <w:rPr>
          <w:rFonts w:hint="default" w:ascii="Times New Roman" w:hAnsi="Times New Roman" w:cs="Times New Roman"/>
          <w:color w:val="auto"/>
          <w:lang w:val="en-US"/>
        </w:rPr>
        <w:t>的标</w:t>
      </w:r>
      <w:r>
        <w:rPr>
          <w:rFonts w:hint="default" w:ascii="Times New Roman" w:hAnsi="Times New Roman" w:eastAsia="宋体" w:cs="Times New Roman"/>
          <w:color w:val="auto"/>
          <w:lang w:val="en-US" w:eastAsia="zh-CN"/>
        </w:rPr>
        <w:t>准要求</w:t>
      </w:r>
      <w:r>
        <w:rPr>
          <w:rFonts w:hint="default" w:ascii="Times New Roman" w:hAnsi="Times New Roman" w:eastAsia="宋体" w:cs="Times New Roman"/>
          <w:color w:val="auto"/>
          <w:lang w:eastAsia="zh-CN"/>
        </w:rPr>
        <w:t>。</w:t>
      </w:r>
    </w:p>
    <w:p w14:paraId="7AF39A39">
      <w:pPr>
        <w:pStyle w:val="1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③</w:t>
      </w:r>
      <w:r>
        <w:rPr>
          <w:rFonts w:hint="default" w:ascii="Times New Roman" w:hAnsi="Times New Roman" w:eastAsia="宋体" w:cs="Times New Roman"/>
          <w:color w:val="auto"/>
          <w:lang w:val="en-US" w:eastAsia="zh-CN"/>
        </w:rPr>
        <w:t>饲料加工粉尘</w:t>
      </w:r>
    </w:p>
    <w:p w14:paraId="4DC86855">
      <w:pPr>
        <w:pStyle w:val="16"/>
        <w:bidi w:val="0"/>
        <w:rPr>
          <w:rFonts w:hint="default" w:ascii="Times New Roman" w:hAnsi="Times New Roman" w:cs="Times New Roman"/>
          <w:color w:val="auto"/>
          <w:sz w:val="24"/>
          <w:highlight w:val="none"/>
          <w:lang w:eastAsia="zh-CN"/>
        </w:rPr>
      </w:pPr>
      <w:r>
        <w:rPr>
          <w:rFonts w:hint="default" w:ascii="Times New Roman" w:hAnsi="Times New Roman" w:eastAsia="宋体" w:cs="Times New Roman"/>
          <w:color w:val="auto"/>
          <w:lang w:val="en-US" w:eastAsia="zh-CN"/>
        </w:rPr>
        <w:t>饲料加工粉尘经2</w:t>
      </w:r>
      <w:r>
        <w:rPr>
          <w:rFonts w:hint="default" w:ascii="Times New Roman" w:hAnsi="Times New Roman" w:eastAsia="宋体" w:cs="Times New Roman"/>
          <w:color w:val="auto"/>
          <w:lang w:eastAsia="zh-CN"/>
        </w:rPr>
        <w:t>套袋式除尘器+1根15m高排气筒</w:t>
      </w:r>
      <w:r>
        <w:rPr>
          <w:rFonts w:hint="default" w:ascii="Times New Roman" w:hAnsi="Times New Roman" w:eastAsia="宋体" w:cs="Times New Roman"/>
          <w:color w:val="auto"/>
          <w:lang w:val="en-US" w:eastAsia="zh-CN"/>
        </w:rPr>
        <w:t>达标排放，排放浓度及速率满足</w:t>
      </w:r>
      <w:r>
        <w:rPr>
          <w:rFonts w:hint="default" w:ascii="Times New Roman" w:hAnsi="Times New Roman" w:eastAsia="宋体" w:cs="Times New Roman"/>
          <w:color w:val="auto"/>
          <w:lang w:eastAsia="zh-CN"/>
        </w:rPr>
        <w:t>《大气污</w:t>
      </w:r>
      <w:r>
        <w:rPr>
          <w:rFonts w:hint="default" w:ascii="Times New Roman" w:hAnsi="Times New Roman" w:cs="Times New Roman"/>
          <w:color w:val="auto"/>
          <w:sz w:val="24"/>
          <w:highlight w:val="none"/>
          <w:lang w:eastAsia="zh-CN"/>
        </w:rPr>
        <w:t>染物综合排放标准》（GB16297-1996）表2二级标准。</w:t>
      </w:r>
    </w:p>
    <w:p w14:paraId="7DF2249D">
      <w:pPr>
        <w:pStyle w:val="73"/>
        <w:keepNext w:val="0"/>
        <w:keepLines w:val="0"/>
        <w:pageBreakBefore w:val="0"/>
        <w:widowControl w:val="0"/>
        <w:numPr>
          <w:ilvl w:val="0"/>
          <w:numId w:val="0"/>
        </w:numPr>
        <w:tabs>
          <w:tab w:val="left" w:pos="1199"/>
        </w:tabs>
        <w:kinsoku/>
        <w:wordWrap/>
        <w:overflowPunct/>
        <w:topLinePunct w:val="0"/>
        <w:autoSpaceDE w:val="0"/>
        <w:autoSpaceDN w:val="0"/>
        <w:bidi w:val="0"/>
        <w:adjustRightInd/>
        <w:snapToGrid/>
        <w:spacing w:line="360" w:lineRule="auto"/>
        <w:ind w:leftChars="200" w:right="-11" w:right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废水</w:t>
      </w:r>
    </w:p>
    <w:p w14:paraId="0A1076F2">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eastAsia="宋体" w:cs="Times New Roman"/>
          <w:color w:val="auto"/>
          <w:sz w:val="24"/>
          <w:szCs w:val="24"/>
          <w:highlight w:val="none"/>
          <w:lang w:val="en-US" w:eastAsia="zh-CN" w:bidi="zh-CN"/>
        </w:rPr>
      </w:pPr>
      <w:r>
        <w:rPr>
          <w:rFonts w:hint="default" w:ascii="Times New Roman" w:hAnsi="Times New Roman" w:eastAsia="宋体" w:cs="Times New Roman"/>
          <w:color w:val="auto"/>
          <w:sz w:val="24"/>
          <w:szCs w:val="24"/>
          <w:highlight w:val="none"/>
          <w:lang w:val="en-US" w:eastAsia="zh-CN" w:bidi="zh-CN"/>
        </w:rPr>
        <w:t>本项目鸡舍粪便收集设施（</w:t>
      </w:r>
      <w:r>
        <w:rPr>
          <w:rFonts w:hint="eastAsia" w:ascii="Times New Roman" w:hAnsi="Times New Roman" w:cs="Times New Roman"/>
          <w:color w:val="auto"/>
          <w:sz w:val="24"/>
          <w:szCs w:val="24"/>
          <w:highlight w:val="none"/>
          <w:lang w:val="en-US" w:eastAsia="zh-CN" w:bidi="zh-CN"/>
        </w:rPr>
        <w:t>粪便传送带</w:t>
      </w:r>
      <w:r>
        <w:rPr>
          <w:rFonts w:hint="default" w:ascii="Times New Roman" w:hAnsi="Times New Roman" w:eastAsia="宋体" w:cs="Times New Roman"/>
          <w:color w:val="auto"/>
          <w:sz w:val="24"/>
          <w:szCs w:val="24"/>
          <w:highlight w:val="none"/>
          <w:lang w:val="en-US" w:eastAsia="zh-CN" w:bidi="zh-CN"/>
        </w:rPr>
        <w:t>和清粪机）冲洗、生活污水</w:t>
      </w:r>
      <w:r>
        <w:rPr>
          <w:rFonts w:hint="default" w:ascii="Times New Roman" w:hAnsi="Times New Roman" w:eastAsia="宋体" w:cs="Times New Roman"/>
          <w:color w:val="auto"/>
          <w:sz w:val="24"/>
          <w:szCs w:val="24"/>
          <w:highlight w:val="none"/>
          <w:lang w:val="zh-CN" w:eastAsia="zh-CN" w:bidi="zh-CN"/>
        </w:rPr>
        <w:t>经</w:t>
      </w:r>
      <w:r>
        <w:rPr>
          <w:rFonts w:hint="default" w:ascii="Times New Roman" w:hAnsi="Times New Roman" w:eastAsia="宋体" w:cs="Times New Roman"/>
          <w:color w:val="auto"/>
          <w:sz w:val="24"/>
          <w:szCs w:val="24"/>
          <w:highlight w:val="none"/>
          <w:lang w:val="en-US" w:eastAsia="zh-CN" w:bidi="zh-CN"/>
        </w:rPr>
        <w:t>废水收集池收集后用于堆肥发酵，锅炉房废水沉淀处理后用于鸡舍</w:t>
      </w:r>
      <w:r>
        <w:rPr>
          <w:rFonts w:hint="eastAsia" w:ascii="Times New Roman" w:hAnsi="Times New Roman" w:cs="Times New Roman"/>
          <w:color w:val="auto"/>
          <w:sz w:val="24"/>
          <w:szCs w:val="24"/>
          <w:highlight w:val="none"/>
          <w:lang w:val="en-US" w:eastAsia="zh-CN" w:bidi="zh-CN"/>
        </w:rPr>
        <w:t>粪便传送带</w:t>
      </w:r>
      <w:r>
        <w:rPr>
          <w:rFonts w:hint="default" w:ascii="Times New Roman" w:hAnsi="Times New Roman" w:eastAsia="宋体" w:cs="Times New Roman"/>
          <w:color w:val="auto"/>
          <w:sz w:val="24"/>
          <w:szCs w:val="24"/>
          <w:highlight w:val="none"/>
          <w:lang w:val="en-US" w:eastAsia="zh-CN" w:bidi="zh-CN"/>
        </w:rPr>
        <w:t>清洗</w:t>
      </w:r>
      <w:r>
        <w:rPr>
          <w:rFonts w:hint="default" w:ascii="Times New Roman" w:hAnsi="Times New Roman" w:eastAsia="宋体" w:cs="Times New Roman"/>
          <w:color w:val="auto"/>
          <w:sz w:val="24"/>
          <w:szCs w:val="24"/>
          <w:highlight w:val="none"/>
          <w:lang w:val="zh-CN" w:eastAsia="zh-CN" w:bidi="zh-CN"/>
        </w:rPr>
        <w:t>。</w:t>
      </w:r>
    </w:p>
    <w:p w14:paraId="54198D68">
      <w:pPr>
        <w:pStyle w:val="73"/>
        <w:keepNext w:val="0"/>
        <w:keepLines w:val="0"/>
        <w:pageBreakBefore w:val="0"/>
        <w:widowControl w:val="0"/>
        <w:numPr>
          <w:ilvl w:val="0"/>
          <w:numId w:val="0"/>
        </w:numPr>
        <w:tabs>
          <w:tab w:val="left" w:pos="1199"/>
        </w:tabs>
        <w:kinsoku/>
        <w:wordWrap/>
        <w:overflowPunct/>
        <w:topLinePunct w:val="0"/>
        <w:autoSpaceDE w:val="0"/>
        <w:autoSpaceDN w:val="0"/>
        <w:bidi w:val="0"/>
        <w:adjustRightInd/>
        <w:snapToGrid/>
        <w:spacing w:line="360" w:lineRule="auto"/>
        <w:ind w:leftChars="200" w:right="-11" w:right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噪声</w:t>
      </w:r>
    </w:p>
    <w:p w14:paraId="1578945A">
      <w:pPr>
        <w:pStyle w:val="16"/>
        <w:bidi w:val="0"/>
        <w:rPr>
          <w:rFonts w:hint="default" w:ascii="Times New Roman" w:hAnsi="Times New Roman" w:cs="Times New Roman"/>
          <w:color w:val="auto"/>
          <w:lang w:val="en-US"/>
        </w:rPr>
      </w:pPr>
      <w:r>
        <w:rPr>
          <w:rFonts w:hint="default" w:ascii="Times New Roman" w:hAnsi="Times New Roman" w:cs="Times New Roman"/>
          <w:color w:val="auto"/>
          <w:lang w:val="en-US"/>
        </w:rPr>
        <w:t>本项目运营运行期间噪声源主要是</w:t>
      </w:r>
      <w:r>
        <w:rPr>
          <w:rFonts w:hint="default" w:ascii="Times New Roman" w:hAnsi="Times New Roman" w:cs="Times New Roman"/>
          <w:color w:val="auto"/>
        </w:rPr>
        <w:t>饲料搅拌车、水泵</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鸡粪发酵</w:t>
      </w:r>
      <w:r>
        <w:rPr>
          <w:rFonts w:hint="eastAsia" w:ascii="Times New Roman" w:hAnsi="Times New Roman" w:cs="Times New Roman"/>
          <w:color w:val="auto"/>
          <w:lang w:val="en-US" w:eastAsia="zh-CN"/>
        </w:rPr>
        <w:t>处理厂</w:t>
      </w:r>
      <w:r>
        <w:rPr>
          <w:rFonts w:hint="default" w:ascii="Times New Roman" w:hAnsi="Times New Roman" w:cs="Times New Roman"/>
          <w:color w:val="auto"/>
          <w:lang w:val="en-US"/>
        </w:rPr>
        <w:t>机械设备等运行过程产生噪声、场区运输车辆噪声以及</w:t>
      </w:r>
      <w:r>
        <w:rPr>
          <w:rFonts w:hint="default" w:ascii="Times New Roman" w:hAnsi="Times New Roman" w:cs="Times New Roman"/>
          <w:color w:val="auto"/>
          <w:lang w:val="en-US" w:eastAsia="zh-CN"/>
        </w:rPr>
        <w:t>鸡叫</w:t>
      </w:r>
      <w:r>
        <w:rPr>
          <w:rFonts w:hint="default" w:ascii="Times New Roman" w:hAnsi="Times New Roman" w:cs="Times New Roman"/>
          <w:color w:val="auto"/>
          <w:lang w:val="en-US"/>
        </w:rPr>
        <w:t>的社会生活噪声，据调查上述噪声源的噪声源强在70-</w:t>
      </w:r>
      <w:r>
        <w:rPr>
          <w:rFonts w:hint="default" w:ascii="Times New Roman" w:hAnsi="Times New Roman" w:cs="Times New Roman"/>
          <w:color w:val="auto"/>
          <w:lang w:val="en-US" w:eastAsia="zh-CN"/>
        </w:rPr>
        <w:t>85</w:t>
      </w:r>
      <w:r>
        <w:rPr>
          <w:rFonts w:hint="default" w:ascii="Times New Roman" w:hAnsi="Times New Roman" w:cs="Times New Roman"/>
          <w:color w:val="auto"/>
          <w:lang w:val="en-US"/>
        </w:rPr>
        <w:t>dB</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A</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之间。</w:t>
      </w:r>
    </w:p>
    <w:p w14:paraId="7B0EC2C1">
      <w:pPr>
        <w:pStyle w:val="73"/>
        <w:keepNext w:val="0"/>
        <w:keepLines w:val="0"/>
        <w:pageBreakBefore w:val="0"/>
        <w:widowControl w:val="0"/>
        <w:tabs>
          <w:tab w:val="left" w:pos="1199"/>
        </w:tabs>
        <w:kinsoku/>
        <w:wordWrap/>
        <w:overflowPunct/>
        <w:topLinePunct w:val="0"/>
        <w:autoSpaceDE w:val="0"/>
        <w:autoSpaceDN w:val="0"/>
        <w:bidi w:val="0"/>
        <w:adjustRightInd/>
        <w:snapToGrid/>
        <w:spacing w:line="360" w:lineRule="auto"/>
        <w:ind w:left="0"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（4）固废</w:t>
      </w:r>
    </w:p>
    <w:p w14:paraId="0B1F19E3">
      <w:pPr>
        <w:pStyle w:val="16"/>
        <w:bidi w:val="0"/>
        <w:rPr>
          <w:rFonts w:hint="default" w:ascii="Times New Roman" w:hAnsi="Times New Roman" w:cs="Times New Roman"/>
          <w:color w:val="auto"/>
        </w:rPr>
      </w:pPr>
      <w:r>
        <w:rPr>
          <w:rFonts w:hint="default" w:ascii="Times New Roman" w:hAnsi="Times New Roman" w:cs="Times New Roman"/>
          <w:color w:val="auto"/>
        </w:rPr>
        <w:t>本项目产生的固体废物主要有</w:t>
      </w:r>
      <w:r>
        <w:rPr>
          <w:rFonts w:hint="default" w:ascii="Times New Roman" w:hAnsi="Times New Roman" w:cs="Times New Roman"/>
          <w:color w:val="auto"/>
          <w:lang w:eastAsia="zh-CN"/>
        </w:rPr>
        <w:t>鸡粪</w:t>
      </w:r>
      <w:r>
        <w:rPr>
          <w:rFonts w:hint="default" w:ascii="Times New Roman" w:hAnsi="Times New Roman" w:cs="Times New Roman"/>
          <w:color w:val="auto"/>
        </w:rPr>
        <w:t>、</w:t>
      </w:r>
      <w:r>
        <w:rPr>
          <w:rFonts w:hint="default" w:ascii="Times New Roman" w:hAnsi="Times New Roman" w:cs="Times New Roman"/>
          <w:color w:val="auto"/>
          <w:lang w:eastAsia="zh-CN"/>
        </w:rPr>
        <w:t>病死鸡</w:t>
      </w:r>
      <w:r>
        <w:rPr>
          <w:rFonts w:hint="default" w:ascii="Times New Roman" w:hAnsi="Times New Roman" w:cs="Times New Roman"/>
          <w:color w:val="auto"/>
        </w:rPr>
        <w:t>、</w:t>
      </w:r>
      <w:r>
        <w:rPr>
          <w:rFonts w:hint="default" w:ascii="Times New Roman" w:hAnsi="Times New Roman" w:cs="Times New Roman"/>
          <w:color w:val="auto"/>
          <w:lang w:val="en-US" w:eastAsia="zh-CN"/>
        </w:rPr>
        <w:t>原辅材料包装物、</w:t>
      </w:r>
      <w:r>
        <w:rPr>
          <w:rFonts w:hint="default" w:ascii="Times New Roman" w:hAnsi="Times New Roman" w:cs="Times New Roman"/>
          <w:color w:val="auto"/>
        </w:rPr>
        <w:t>生活垃圾、兽用医疗废物等。</w:t>
      </w:r>
    </w:p>
    <w:p w14:paraId="7F34FB79">
      <w:pPr>
        <w:pStyle w:val="106"/>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lang w:eastAsia="zh-CN"/>
        </w:rPr>
        <w:t>养殖场</w:t>
      </w:r>
      <w:r>
        <w:rPr>
          <w:rFonts w:hint="default" w:ascii="Times New Roman" w:hAnsi="Times New Roman" w:cs="Times New Roman"/>
          <w:color w:val="auto"/>
          <w:highlight w:val="none"/>
        </w:rPr>
        <w:t>粪污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破损蛋和羽毛</w:t>
      </w:r>
      <w:r>
        <w:rPr>
          <w:rFonts w:hint="default" w:ascii="Times New Roman" w:hAnsi="Times New Roman" w:cs="Times New Roman"/>
          <w:color w:val="auto"/>
          <w:highlight w:val="none"/>
        </w:rPr>
        <w:t>集中在</w:t>
      </w:r>
      <w:r>
        <w:rPr>
          <w:rFonts w:hint="default" w:ascii="Times New Roman" w:hAnsi="Times New Roman" w:cs="Times New Roman"/>
          <w:color w:val="auto"/>
          <w:highlight w:val="none"/>
          <w:lang w:eastAsia="zh-CN"/>
        </w:rPr>
        <w:t>鸡粪发酵处理场</w:t>
      </w:r>
      <w:r>
        <w:rPr>
          <w:rFonts w:hint="default" w:ascii="Times New Roman" w:hAnsi="Times New Roman" w:cs="Times New Roman"/>
          <w:color w:val="auto"/>
          <w:highlight w:val="none"/>
        </w:rPr>
        <w:t>腐熟发酵无害化处置后外售给项目区周边的</w:t>
      </w:r>
      <w:r>
        <w:rPr>
          <w:rFonts w:hint="default" w:ascii="Times New Roman" w:hAnsi="Times New Roman" w:cs="Times New Roman"/>
          <w:color w:val="auto"/>
          <w:highlight w:val="none"/>
          <w:lang w:eastAsia="zh-CN"/>
        </w:rPr>
        <w:t>农户</w:t>
      </w:r>
      <w:r>
        <w:rPr>
          <w:rFonts w:hint="default" w:ascii="Times New Roman" w:hAnsi="Times New Roman" w:eastAsia="宋体" w:cs="Times New Roman"/>
          <w:color w:val="auto"/>
          <w:sz w:val="24"/>
          <w:szCs w:val="24"/>
          <w:highlight w:val="none"/>
          <w:lang w:val="en-US" w:eastAsia="zh-CN"/>
        </w:rPr>
        <w:t>。</w:t>
      </w:r>
    </w:p>
    <w:p w14:paraId="77CAE70B">
      <w:pPr>
        <w:pStyle w:val="16"/>
        <w:bidi w:val="0"/>
        <w:rPr>
          <w:rFonts w:hint="default" w:ascii="Times New Roman" w:hAnsi="Times New Roman" w:cs="Times New Roman"/>
          <w:color w:val="auto"/>
          <w:lang w:val="en-US"/>
        </w:rPr>
      </w:pPr>
      <w:r>
        <w:rPr>
          <w:rFonts w:hint="default" w:ascii="Times New Roman" w:hAnsi="Times New Roman" w:cs="Times New Roman"/>
          <w:color w:val="auto"/>
          <w:lang w:eastAsia="zh-CN"/>
        </w:rPr>
        <w:t>病死鸡</w:t>
      </w:r>
      <w:r>
        <w:rPr>
          <w:rFonts w:hint="default" w:ascii="Times New Roman" w:hAnsi="Times New Roman" w:cs="Times New Roman"/>
          <w:color w:val="auto"/>
          <w:lang w:val="en-US" w:eastAsia="zh-CN"/>
        </w:rPr>
        <w:t>无害化填埋处置</w:t>
      </w:r>
      <w:r>
        <w:rPr>
          <w:rFonts w:hint="default" w:ascii="Times New Roman" w:hAnsi="Times New Roman" w:cs="Times New Roman"/>
          <w:color w:val="auto"/>
          <w:lang w:eastAsia="zh-CN"/>
        </w:rPr>
        <w:t>；</w:t>
      </w:r>
      <w:r>
        <w:rPr>
          <w:rFonts w:hint="default" w:ascii="Times New Roman" w:hAnsi="Times New Roman" w:cs="Times New Roman"/>
          <w:color w:val="auto"/>
        </w:rPr>
        <w:t>原辅材料包装物</w:t>
      </w:r>
      <w:r>
        <w:rPr>
          <w:rFonts w:hint="default" w:ascii="Times New Roman" w:hAnsi="Times New Roman" w:cs="Times New Roman"/>
          <w:color w:val="auto"/>
          <w:lang w:val="en-US" w:eastAsia="zh-CN"/>
        </w:rPr>
        <w:t>集中收集</w:t>
      </w:r>
      <w:r>
        <w:rPr>
          <w:rFonts w:hint="default" w:ascii="Times New Roman" w:hAnsi="Times New Roman" w:cs="Times New Roman"/>
          <w:color w:val="auto"/>
          <w:lang w:val="en-US"/>
        </w:rPr>
        <w:t>暂存在一般固废暂存间，</w:t>
      </w:r>
      <w:r>
        <w:rPr>
          <w:rFonts w:hint="default" w:ascii="Times New Roman" w:hAnsi="Times New Roman" w:cs="Times New Roman"/>
          <w:color w:val="auto"/>
        </w:rPr>
        <w:t>由</w:t>
      </w:r>
      <w:r>
        <w:rPr>
          <w:rFonts w:hint="default" w:ascii="Times New Roman" w:hAnsi="Times New Roman" w:eastAsia="宋体" w:cs="Times New Roman"/>
          <w:b w:val="0"/>
          <w:color w:val="auto"/>
          <w:kern w:val="2"/>
          <w:sz w:val="24"/>
          <w:szCs w:val="24"/>
          <w:lang w:val="en-US" w:eastAsia="zh-CN" w:bidi="ar-SA"/>
        </w:rPr>
        <w:t>饲料原料厂家回收利用或外售</w:t>
      </w:r>
      <w:r>
        <w:rPr>
          <w:rFonts w:hint="default" w:ascii="Times New Roman" w:hAnsi="Times New Roman" w:cs="Times New Roman"/>
          <w:color w:val="auto"/>
          <w:lang w:eastAsia="zh-CN"/>
        </w:rPr>
        <w:t>；</w:t>
      </w:r>
      <w:r>
        <w:rPr>
          <w:rFonts w:hint="default" w:ascii="Times New Roman" w:hAnsi="Times New Roman" w:cs="Times New Roman"/>
          <w:color w:val="auto"/>
        </w:rPr>
        <w:t>防疫、配种、治疗等产生的医疗</w:t>
      </w:r>
      <w:r>
        <w:rPr>
          <w:rFonts w:hint="default" w:ascii="Times New Roman" w:hAnsi="Times New Roman" w:cs="Times New Roman"/>
          <w:color w:val="auto"/>
          <w:lang w:val="en-US" w:eastAsia="zh-CN"/>
        </w:rPr>
        <w:t>废物</w:t>
      </w:r>
      <w:r>
        <w:rPr>
          <w:rFonts w:hint="default" w:ascii="Times New Roman" w:hAnsi="Times New Roman" w:cs="Times New Roman"/>
          <w:color w:val="auto"/>
        </w:rPr>
        <w:t>堆存在</w:t>
      </w:r>
      <w:r>
        <w:rPr>
          <w:rFonts w:hint="default" w:ascii="Times New Roman" w:hAnsi="Times New Roman" w:cs="Times New Roman"/>
          <w:color w:val="auto"/>
          <w:lang w:eastAsia="zh-CN"/>
        </w:rPr>
        <w:t>医疗危废暂存间</w:t>
      </w:r>
      <w:r>
        <w:rPr>
          <w:rFonts w:hint="default" w:ascii="Times New Roman" w:hAnsi="Times New Roman" w:cs="Times New Roman"/>
          <w:color w:val="auto"/>
        </w:rPr>
        <w:t>，</w:t>
      </w:r>
      <w:r>
        <w:rPr>
          <w:rFonts w:hint="default" w:ascii="Times New Roman" w:hAnsi="Times New Roman" w:cs="Times New Roman"/>
          <w:color w:val="auto"/>
          <w:lang w:eastAsia="zh-CN"/>
        </w:rPr>
        <w:t>交由</w:t>
      </w:r>
      <w:r>
        <w:rPr>
          <w:rFonts w:hint="default" w:ascii="Times New Roman" w:hAnsi="Times New Roman" w:cs="Times New Roman"/>
          <w:color w:val="auto"/>
        </w:rPr>
        <w:t>有资质的单位</w:t>
      </w:r>
      <w:r>
        <w:rPr>
          <w:rFonts w:hint="default" w:ascii="Times New Roman" w:hAnsi="Times New Roman" w:cs="Times New Roman"/>
          <w:color w:val="auto"/>
          <w:lang w:eastAsia="zh-CN"/>
        </w:rPr>
        <w:t>定期</w:t>
      </w:r>
      <w:r>
        <w:rPr>
          <w:rFonts w:hint="default" w:ascii="Times New Roman" w:hAnsi="Times New Roman" w:cs="Times New Roman"/>
          <w:color w:val="auto"/>
        </w:rPr>
        <w:t>处理</w:t>
      </w:r>
      <w:r>
        <w:rPr>
          <w:rFonts w:hint="default" w:ascii="Times New Roman" w:hAnsi="Times New Roman" w:cs="Times New Roman"/>
          <w:color w:val="auto"/>
          <w:lang w:eastAsia="zh-CN"/>
        </w:rPr>
        <w:t>；</w:t>
      </w:r>
      <w:r>
        <w:rPr>
          <w:rFonts w:hint="default" w:ascii="Times New Roman" w:hAnsi="Times New Roman" w:cs="Times New Roman"/>
          <w:color w:val="auto"/>
        </w:rPr>
        <w:t>生活垃圾由环卫部门定期清运</w:t>
      </w:r>
      <w:r>
        <w:rPr>
          <w:rFonts w:hint="default" w:ascii="Times New Roman" w:hAnsi="Times New Roman" w:cs="Times New Roman"/>
          <w:color w:val="auto"/>
          <w:lang w:val="en-US"/>
        </w:rPr>
        <w:t>。</w:t>
      </w:r>
    </w:p>
    <w:p w14:paraId="6ADA71F3">
      <w:pPr>
        <w:pStyle w:val="3"/>
        <w:bidi w:val="0"/>
        <w:rPr>
          <w:rFonts w:hint="default" w:ascii="Times New Roman" w:hAnsi="Times New Roman" w:cs="Times New Roman"/>
          <w:color w:val="auto"/>
          <w:lang w:val="en-US" w:eastAsia="zh-CN"/>
        </w:rPr>
      </w:pPr>
      <w:bookmarkStart w:id="206" w:name="_TOC_250006"/>
      <w:bookmarkEnd w:id="206"/>
      <w:bookmarkStart w:id="207" w:name="_Toc9386"/>
      <w:bookmarkStart w:id="208" w:name="_Toc5587"/>
      <w:r>
        <w:rPr>
          <w:rFonts w:hint="default" w:ascii="Times New Roman" w:hAnsi="Times New Roman" w:cs="Times New Roman"/>
          <w:color w:val="auto"/>
          <w:lang w:val="en-US" w:eastAsia="zh-CN"/>
        </w:rPr>
        <w:t>环境影响预测与分析结论</w:t>
      </w:r>
      <w:bookmarkEnd w:id="207"/>
      <w:bookmarkEnd w:id="208"/>
    </w:p>
    <w:p w14:paraId="77181F7A">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大气环境影响分析结论</w:t>
      </w:r>
    </w:p>
    <w:p w14:paraId="4F792790">
      <w:pPr>
        <w:pStyle w:val="16"/>
        <w:bidi w:val="0"/>
        <w:rPr>
          <w:rFonts w:hint="default" w:ascii="Times New Roman" w:hAnsi="Times New Roman" w:cs="Times New Roman"/>
          <w:color w:val="auto"/>
        </w:rPr>
      </w:pPr>
      <w:r>
        <w:rPr>
          <w:rFonts w:hint="default" w:ascii="Times New Roman" w:hAnsi="Times New Roman" w:cs="Times New Roman"/>
          <w:color w:val="auto"/>
        </w:rPr>
        <w:t>本项目运营期间恶臭中主要污染因子NH</w:t>
      </w:r>
      <w:r>
        <w:rPr>
          <w:rFonts w:hint="default" w:ascii="Times New Roman" w:hAnsi="Times New Roman" w:cs="Times New Roman"/>
          <w:color w:val="auto"/>
          <w:vertAlign w:val="subscript"/>
        </w:rPr>
        <w:t>3</w:t>
      </w:r>
      <w:r>
        <w:rPr>
          <w:rFonts w:hint="default" w:ascii="Times New Roman" w:hAnsi="Times New Roman" w:cs="Times New Roman"/>
          <w:color w:val="auto"/>
        </w:rPr>
        <w:t>和H</w:t>
      </w:r>
      <w:r>
        <w:rPr>
          <w:rFonts w:hint="default" w:ascii="Times New Roman" w:hAnsi="Times New Roman" w:cs="Times New Roman"/>
          <w:color w:val="auto"/>
          <w:vertAlign w:val="subscript"/>
        </w:rPr>
        <w:t>2</w:t>
      </w:r>
      <w:r>
        <w:rPr>
          <w:rFonts w:hint="default" w:ascii="Times New Roman" w:hAnsi="Times New Roman" w:cs="Times New Roman"/>
          <w:color w:val="auto"/>
        </w:rPr>
        <w:t>S的最大地面浓度均满足《</w:t>
      </w:r>
      <w:r>
        <w:rPr>
          <w:rFonts w:hint="default" w:ascii="Times New Roman" w:hAnsi="Times New Roman" w:cs="Times New Roman"/>
          <w:color w:val="auto"/>
          <w:lang w:eastAsia="zh-CN"/>
        </w:rPr>
        <w:t>恶臭污染物排放标准</w:t>
      </w:r>
      <w:r>
        <w:rPr>
          <w:rFonts w:hint="default" w:ascii="Times New Roman" w:hAnsi="Times New Roman" w:cs="Times New Roman"/>
          <w:color w:val="auto"/>
        </w:rPr>
        <w:t>》（</w:t>
      </w:r>
      <w:r>
        <w:rPr>
          <w:rFonts w:hint="default" w:ascii="Times New Roman" w:hAnsi="Times New Roman" w:cs="Times New Roman"/>
          <w:color w:val="auto"/>
          <w:lang w:eastAsia="zh-CN"/>
        </w:rPr>
        <w:t>GB14554-93</w:t>
      </w:r>
      <w:r>
        <w:rPr>
          <w:rFonts w:hint="default" w:ascii="Times New Roman" w:hAnsi="Times New Roman" w:cs="Times New Roman"/>
          <w:color w:val="auto"/>
        </w:rPr>
        <w:t>）中</w:t>
      </w:r>
      <w:r>
        <w:rPr>
          <w:rFonts w:hint="default" w:ascii="Times New Roman" w:hAnsi="Times New Roman" w:cs="Times New Roman"/>
          <w:color w:val="auto"/>
          <w:lang w:eastAsia="zh-CN"/>
        </w:rPr>
        <w:t>表1恶臭污染物厂界标准值新扩改建二级标准</w:t>
      </w:r>
      <w:r>
        <w:rPr>
          <w:rFonts w:hint="default" w:ascii="Times New Roman" w:hAnsi="Times New Roman" w:cs="Times New Roman"/>
          <w:color w:val="auto"/>
        </w:rPr>
        <w:t>的要求</w:t>
      </w:r>
      <w:r>
        <w:rPr>
          <w:rFonts w:hint="default" w:ascii="Times New Roman" w:hAnsi="Times New Roman" w:cs="Times New Roman"/>
          <w:color w:val="auto"/>
          <w:lang w:eastAsia="zh-CN"/>
        </w:rPr>
        <w:t>，</w:t>
      </w:r>
      <w:r>
        <w:rPr>
          <w:rFonts w:hint="default" w:ascii="Times New Roman" w:hAnsi="Times New Roman" w:cs="Times New Roman"/>
          <w:color w:val="auto"/>
          <w:sz w:val="24"/>
          <w:szCs w:val="24"/>
          <w:highlight w:val="none"/>
          <w:lang w:eastAsia="zh-CN"/>
        </w:rPr>
        <w:t>饲料加工排放的粉尘最大落地浓度满足</w:t>
      </w:r>
      <w:r>
        <w:rPr>
          <w:rFonts w:hint="default" w:ascii="Times New Roman" w:hAnsi="Times New Roman" w:cs="Times New Roman"/>
          <w:color w:val="auto"/>
          <w:sz w:val="24"/>
          <w:szCs w:val="24"/>
          <w:highlight w:val="none"/>
        </w:rPr>
        <w:t>《大气污染物综合排放标准》</w:t>
      </w:r>
      <w:r>
        <w:rPr>
          <w:rFonts w:hint="default" w:ascii="Times New Roman" w:hAnsi="Times New Roman" w:eastAsia="宋体" w:cs="Times New Roman"/>
          <w:color w:val="auto"/>
          <w:sz w:val="24"/>
          <w:lang w:val="en-US" w:eastAsia="zh-CN"/>
        </w:rPr>
        <w:t>（GB16297-1996）表2二级（120mg/m³）标准要求</w:t>
      </w:r>
      <w:r>
        <w:rPr>
          <w:rFonts w:hint="default" w:ascii="Times New Roman" w:hAnsi="Times New Roman" w:cs="Times New Roman"/>
          <w:color w:val="auto"/>
          <w:lang w:val="en-US" w:eastAsia="zh-CN"/>
        </w:rPr>
        <w:t>，</w:t>
      </w:r>
      <w:r>
        <w:rPr>
          <w:rFonts w:hint="default" w:ascii="Times New Roman" w:hAnsi="Times New Roman" w:cs="Times New Roman"/>
          <w:color w:val="auto"/>
        </w:rPr>
        <w:t>项目区地处开阔空旷平原地区，大气扩散条件较好，周边大气环境敏感目标分布较少，项目区周边均为农田。故本项目运营期间产生恶臭对项目区及周边区域大气环境及人群产生的影响较小。</w:t>
      </w:r>
    </w:p>
    <w:p w14:paraId="522BF76E">
      <w:pPr>
        <w:pStyle w:val="16"/>
        <w:bidi w:val="0"/>
        <w:rPr>
          <w:rFonts w:hint="default" w:ascii="Times New Roman" w:hAnsi="Times New Roman" w:cs="Times New Roman"/>
          <w:color w:val="auto"/>
        </w:rPr>
      </w:pPr>
      <w:r>
        <w:rPr>
          <w:rFonts w:hint="default" w:ascii="Times New Roman" w:hAnsi="Times New Roman" w:cs="Times New Roman"/>
          <w:color w:val="auto"/>
        </w:rPr>
        <w:t>本评价采用推荐模式中的大气环境防护距离模式计算，结果显示本项目运营期间主要</w:t>
      </w:r>
      <w:r>
        <w:rPr>
          <w:rFonts w:hint="default" w:ascii="Times New Roman" w:hAnsi="Times New Roman" w:cs="Times New Roman"/>
          <w:color w:val="auto"/>
          <w:lang w:eastAsia="zh-CN"/>
        </w:rPr>
        <w:t>有组织粉尘、</w:t>
      </w:r>
      <w:r>
        <w:rPr>
          <w:rFonts w:hint="default" w:ascii="Times New Roman" w:hAnsi="Times New Roman" w:cs="Times New Roman"/>
          <w:color w:val="auto"/>
        </w:rPr>
        <w:t>无组织废气排放源在正常工况下均无超标点，故本项目无需设置大气环境防护距离。</w:t>
      </w:r>
    </w:p>
    <w:p w14:paraId="081B718C">
      <w:pPr>
        <w:pStyle w:val="16"/>
        <w:bidi w:val="0"/>
        <w:rPr>
          <w:rFonts w:hint="default" w:ascii="Times New Roman" w:hAnsi="Times New Roman" w:cs="Times New Roman"/>
          <w:color w:val="auto"/>
        </w:rPr>
      </w:pPr>
      <w:r>
        <w:rPr>
          <w:rFonts w:hint="default" w:ascii="Times New Roman" w:hAnsi="Times New Roman" w:cs="Times New Roman"/>
          <w:color w:val="auto"/>
        </w:rPr>
        <w:t>按照相关规范要求，本项目卫生防护</w:t>
      </w:r>
      <w:r>
        <w:rPr>
          <w:rFonts w:hint="default" w:ascii="Times New Roman" w:hAnsi="Times New Roman" w:cs="Times New Roman"/>
          <w:color w:val="auto"/>
          <w:lang w:eastAsia="zh-CN"/>
        </w:rPr>
        <w:t>距离</w:t>
      </w:r>
      <w:r>
        <w:rPr>
          <w:rFonts w:hint="default" w:ascii="Times New Roman" w:hAnsi="Times New Roman" w:cs="Times New Roman"/>
          <w:color w:val="auto"/>
        </w:rPr>
        <w:t>最终确定为500m（自项目区边界算起）。根据现场调查结果，在最终确定的本项目的卫生防护距离范围内目前没有居住区、学校、医院、商超、机关及企事业单位、风景区、保护区等环境敏感目标分布，</w:t>
      </w:r>
      <w:r>
        <w:rPr>
          <w:rFonts w:hint="default" w:ascii="Times New Roman" w:hAnsi="Times New Roman" w:cs="Times New Roman"/>
          <w:color w:val="auto"/>
          <w:lang w:eastAsia="zh-CN"/>
        </w:rPr>
        <w:t>要求</w:t>
      </w:r>
      <w:r>
        <w:rPr>
          <w:rFonts w:hint="default" w:ascii="Times New Roman" w:hAnsi="Times New Roman" w:cs="Times New Roman"/>
          <w:color w:val="auto"/>
        </w:rPr>
        <w:t>该防护距离范围内不应规划学校、医院、居民区等敏感目标。</w:t>
      </w:r>
    </w:p>
    <w:p w14:paraId="350E3A82">
      <w:pPr>
        <w:pStyle w:val="4"/>
        <w:bidi w:val="0"/>
        <w:rPr>
          <w:rFonts w:hint="default" w:ascii="Times New Roman" w:hAnsi="Times New Roman" w:cs="Times New Roman"/>
          <w:color w:val="auto"/>
        </w:rPr>
      </w:pPr>
      <w:r>
        <w:rPr>
          <w:rFonts w:hint="default" w:ascii="Times New Roman" w:hAnsi="Times New Roman" w:cs="Times New Roman"/>
          <w:color w:val="auto"/>
        </w:rPr>
        <w:t>水环境影响分析</w:t>
      </w:r>
    </w:p>
    <w:p w14:paraId="0F1B3B0A">
      <w:pPr>
        <w:pStyle w:val="16"/>
        <w:bidi w:val="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运营期</w:t>
      </w:r>
      <w:r>
        <w:rPr>
          <w:rFonts w:hint="default" w:ascii="Times New Roman" w:hAnsi="Times New Roman" w:cs="Times New Roman"/>
          <w:color w:val="auto"/>
        </w:rPr>
        <w:t>产生废水对地下水环境产生影响主要表现为</w:t>
      </w:r>
      <w:r>
        <w:rPr>
          <w:rFonts w:hint="default" w:ascii="Times New Roman" w:hAnsi="Times New Roman" w:cs="Times New Roman"/>
          <w:color w:val="auto"/>
          <w:lang w:eastAsia="zh-CN"/>
        </w:rPr>
        <w:t>废水收集池</w:t>
      </w:r>
      <w:r>
        <w:rPr>
          <w:rFonts w:hint="default" w:ascii="Times New Roman" w:hAnsi="Times New Roman" w:cs="Times New Roman"/>
          <w:color w:val="auto"/>
        </w:rPr>
        <w:t>、排水管网、</w:t>
      </w:r>
      <w:r>
        <w:rPr>
          <w:rFonts w:hint="default" w:ascii="Times New Roman" w:hAnsi="Times New Roman" w:cs="Times New Roman"/>
          <w:color w:val="auto"/>
          <w:lang w:eastAsia="zh-CN"/>
        </w:rPr>
        <w:t>鸡粪发酵处理场</w:t>
      </w:r>
      <w:r>
        <w:rPr>
          <w:rFonts w:hint="default" w:ascii="Times New Roman" w:hAnsi="Times New Roman" w:cs="Times New Roman"/>
          <w:color w:val="auto"/>
        </w:rPr>
        <w:t>等处事故性泄漏渗入对地下水环境产生的污染影响。只要加强管理，严格按照操作规程操作，认真落实并严格执行本环评提出各项废水防治措施，加强对废水综合利用，项目运营期间产生废水对地下水环境产生影响较小。</w:t>
      </w:r>
    </w:p>
    <w:p w14:paraId="08BD0D81">
      <w:pPr>
        <w:pStyle w:val="4"/>
        <w:tabs>
          <w:tab w:val="left" w:pos="889"/>
        </w:tabs>
        <w:ind w:left="0" w:leftChars="0" w:right="-1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声环境影响分析</w:t>
      </w:r>
    </w:p>
    <w:p w14:paraId="11767239">
      <w:pPr>
        <w:pStyle w:val="16"/>
        <w:bidi w:val="0"/>
        <w:rPr>
          <w:rFonts w:hint="default" w:ascii="Times New Roman" w:hAnsi="Times New Roman" w:cs="Times New Roman"/>
          <w:color w:val="auto"/>
        </w:rPr>
      </w:pPr>
      <w:r>
        <w:rPr>
          <w:rFonts w:hint="default" w:ascii="Times New Roman" w:hAnsi="Times New Roman" w:cs="Times New Roman"/>
          <w:color w:val="auto"/>
        </w:rPr>
        <w:t>本项目运营期间主要噪声源产排的噪声对项目区四周边界处声环境及人群产生影响贡献值均可满足《工业企业厂界环境噪声排放标准》（GB12348-2008）中2类声环境功能区环境噪声标准限值要求。由于本项目周围无居民和其他声环境敏感目标，因此，运营期各类噪声源产生的噪声对项目区周围声环境影响不大。</w:t>
      </w:r>
    </w:p>
    <w:p w14:paraId="3DA4FFAD">
      <w:pPr>
        <w:pStyle w:val="4"/>
        <w:tabs>
          <w:tab w:val="left" w:pos="889"/>
        </w:tabs>
        <w:ind w:left="0" w:leftChars="0" w:right="-1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固体废弃物环境影响分析</w:t>
      </w:r>
    </w:p>
    <w:p w14:paraId="421F8C04">
      <w:pPr>
        <w:pStyle w:val="16"/>
        <w:bidi w:val="0"/>
        <w:rPr>
          <w:rFonts w:hint="default" w:ascii="Times New Roman" w:hAnsi="Times New Roman" w:cs="Times New Roman"/>
          <w:color w:val="auto"/>
        </w:rPr>
      </w:pPr>
      <w:r>
        <w:rPr>
          <w:rFonts w:hint="default" w:ascii="Times New Roman" w:hAnsi="Times New Roman" w:cs="Times New Roman"/>
          <w:color w:val="auto"/>
        </w:rPr>
        <w:t>通过加强管理并落实报告中有关处置措施前提下，本项目运营期间产</w:t>
      </w:r>
      <w:r>
        <w:rPr>
          <w:rFonts w:hint="default" w:ascii="Times New Roman" w:hAnsi="Times New Roman" w:cs="Times New Roman"/>
          <w:color w:val="auto"/>
          <w:lang w:eastAsia="zh-CN"/>
        </w:rPr>
        <w:t>生的</w:t>
      </w:r>
      <w:r>
        <w:rPr>
          <w:rFonts w:hint="default" w:ascii="Times New Roman" w:hAnsi="Times New Roman" w:cs="Times New Roman"/>
          <w:color w:val="auto"/>
        </w:rPr>
        <w:t>固体废物均得到及时妥善处置，并由</w:t>
      </w:r>
      <w:r>
        <w:rPr>
          <w:rFonts w:hint="default" w:ascii="Times New Roman" w:hAnsi="Times New Roman" w:cs="Times New Roman"/>
          <w:color w:val="auto"/>
          <w:lang w:val="en-US" w:eastAsia="zh-CN"/>
        </w:rPr>
        <w:t>生态环境</w:t>
      </w:r>
      <w:r>
        <w:rPr>
          <w:rFonts w:hint="default" w:ascii="Times New Roman" w:hAnsi="Times New Roman" w:cs="Times New Roman"/>
          <w:color w:val="auto"/>
        </w:rPr>
        <w:t>部门对代处理单位进行必要的监督，固废对周围环境影响不大。</w:t>
      </w:r>
    </w:p>
    <w:p w14:paraId="7C49244D">
      <w:pPr>
        <w:pStyle w:val="4"/>
        <w:tabs>
          <w:tab w:val="left" w:pos="889"/>
        </w:tabs>
        <w:ind w:left="0" w:leftChars="0" w:right="-1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土壤环境影响分析</w:t>
      </w:r>
    </w:p>
    <w:p w14:paraId="772885DF">
      <w:pPr>
        <w:pStyle w:val="16"/>
        <w:bidi w:val="0"/>
        <w:rPr>
          <w:rFonts w:hint="default" w:ascii="Times New Roman" w:hAnsi="Times New Roman" w:cs="Times New Roman"/>
          <w:color w:val="auto"/>
          <w:lang w:val="en-US" w:eastAsia="zh-CN"/>
        </w:rPr>
      </w:pPr>
      <w:r>
        <w:rPr>
          <w:rFonts w:hint="default" w:ascii="Times New Roman" w:hAnsi="Times New Roman" w:cs="Times New Roman"/>
          <w:color w:val="auto"/>
        </w:rPr>
        <w:t>本项目土壤环境影响类型为“污染影响型”，污染物影响途径主要为运营期本项目水污染物以垂直入渗方式进入土壤环境，项目正常运行对区域土壤环境影响可接受。</w:t>
      </w:r>
    </w:p>
    <w:p w14:paraId="127F3029">
      <w:pPr>
        <w:pStyle w:val="4"/>
        <w:tabs>
          <w:tab w:val="left" w:pos="889"/>
        </w:tabs>
        <w:ind w:left="0" w:leftChars="0" w:right="-1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环境风险分析</w:t>
      </w:r>
    </w:p>
    <w:p w14:paraId="6BD51DFF">
      <w:pPr>
        <w:pStyle w:val="16"/>
        <w:bidi w:val="0"/>
        <w:rPr>
          <w:rFonts w:hint="default" w:ascii="Times New Roman" w:hAnsi="Times New Roman" w:cs="Times New Roman"/>
          <w:color w:val="auto"/>
        </w:rPr>
      </w:pPr>
      <w:r>
        <w:rPr>
          <w:rFonts w:hint="default" w:ascii="Times New Roman" w:hAnsi="Times New Roman" w:cs="Times New Roman"/>
          <w:color w:val="auto"/>
        </w:rPr>
        <w:t>本项目运行过程中可能发生的风险事故主要包括疫情风险、</w:t>
      </w:r>
      <w:r>
        <w:rPr>
          <w:rFonts w:hint="default" w:ascii="Times New Roman" w:hAnsi="Times New Roman" w:cs="Times New Roman"/>
          <w:color w:val="auto"/>
          <w:lang w:eastAsia="zh-CN"/>
        </w:rPr>
        <w:t>病死鸡</w:t>
      </w:r>
      <w:r>
        <w:rPr>
          <w:rFonts w:hint="default" w:ascii="Times New Roman" w:hAnsi="Times New Roman" w:cs="Times New Roman"/>
          <w:color w:val="auto"/>
        </w:rPr>
        <w:t>风险、饲料仓储火灾风险、养殖废水泄漏。风险事故的发生会对周围环境造成一定程度的污染，本项目采取一定的防范措施，可使风险事故发生概率降低，减少损失。因此，通过采取本环评提出各项风险防范措施及应急救援措施，可降低各种风险事故的发生，降低对周围环境的影响，环境风险在可接受范围内。</w:t>
      </w:r>
    </w:p>
    <w:p w14:paraId="0ED34D2C">
      <w:pPr>
        <w:pStyle w:val="3"/>
        <w:bidi w:val="0"/>
        <w:rPr>
          <w:rFonts w:hint="default" w:ascii="Times New Roman" w:hAnsi="Times New Roman" w:cs="Times New Roman"/>
          <w:color w:val="auto"/>
          <w:lang w:val="en-US" w:eastAsia="zh-CN"/>
        </w:rPr>
      </w:pPr>
      <w:bookmarkStart w:id="209" w:name="_TOC_250005"/>
      <w:bookmarkEnd w:id="209"/>
      <w:bookmarkStart w:id="210" w:name="_Toc25883"/>
      <w:bookmarkStart w:id="211" w:name="_Toc22435"/>
      <w:r>
        <w:rPr>
          <w:rFonts w:hint="default" w:ascii="Times New Roman" w:hAnsi="Times New Roman" w:cs="Times New Roman"/>
          <w:color w:val="auto"/>
          <w:lang w:val="en-US" w:eastAsia="zh-CN"/>
        </w:rPr>
        <w:t>污染防治措施可行性结论</w:t>
      </w:r>
      <w:bookmarkEnd w:id="210"/>
      <w:bookmarkEnd w:id="211"/>
    </w:p>
    <w:p w14:paraId="2E315B6D">
      <w:pPr>
        <w:pStyle w:val="4"/>
        <w:tabs>
          <w:tab w:val="left" w:pos="889"/>
        </w:tabs>
        <w:ind w:left="0" w:leftChars="0" w:right="-1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大气污染防治措施可行性</w:t>
      </w:r>
    </w:p>
    <w:p w14:paraId="4A6311FC">
      <w:pPr>
        <w:pStyle w:val="16"/>
        <w:bidi w:val="0"/>
        <w:rPr>
          <w:rFonts w:hint="default" w:ascii="Times New Roman" w:hAnsi="Times New Roman" w:cs="Times New Roman"/>
          <w:color w:val="auto"/>
        </w:rPr>
      </w:pPr>
      <w:r>
        <w:rPr>
          <w:rFonts w:hint="default" w:ascii="Times New Roman" w:hAnsi="Times New Roman" w:cs="Times New Roman"/>
          <w:color w:val="auto"/>
        </w:rPr>
        <w:t>本项目运营期主要污染物为</w:t>
      </w:r>
      <w:r>
        <w:rPr>
          <w:rFonts w:hint="default" w:ascii="Times New Roman" w:hAnsi="Times New Roman" w:eastAsia="宋体" w:cs="Times New Roman"/>
          <w:color w:val="auto"/>
          <w:kern w:val="2"/>
          <w:sz w:val="24"/>
          <w:szCs w:val="24"/>
          <w:lang w:val="en-US" w:eastAsia="zh-CN" w:bidi="ar-SA"/>
        </w:rPr>
        <w:t>养殖恶臭、鸡粪发酵处理场恶臭、废水收集池恶臭、食堂油烟以及饲料加工产生的粉尘</w:t>
      </w:r>
      <w:r>
        <w:rPr>
          <w:rFonts w:hint="default" w:ascii="Times New Roman" w:hAnsi="Times New Roman" w:cs="Times New Roman"/>
          <w:color w:val="auto"/>
        </w:rPr>
        <w:t>。具体措施主要包括：</w:t>
      </w:r>
    </w:p>
    <w:p w14:paraId="7AF6D774">
      <w:pPr>
        <w:pStyle w:val="73"/>
        <w:keepNext w:val="0"/>
        <w:keepLines w:val="0"/>
        <w:pageBreakBefore w:val="0"/>
        <w:widowControl w:val="0"/>
        <w:numPr>
          <w:ilvl w:val="0"/>
          <w:numId w:val="0"/>
        </w:numPr>
        <w:tabs>
          <w:tab w:val="left" w:pos="1199"/>
        </w:tabs>
        <w:kinsoku/>
        <w:wordWrap/>
        <w:overflowPunct/>
        <w:topLinePunct w:val="0"/>
        <w:autoSpaceDE w:val="0"/>
        <w:autoSpaceDN w:val="0"/>
        <w:bidi w:val="0"/>
        <w:adjustRightInd/>
        <w:snapToGrid/>
        <w:spacing w:line="360" w:lineRule="auto"/>
        <w:ind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）鸡舍</w:t>
      </w:r>
      <w:r>
        <w:rPr>
          <w:rFonts w:hint="default" w:ascii="Times New Roman" w:hAnsi="Times New Roman" w:cs="Times New Roman"/>
          <w:color w:val="auto"/>
          <w:sz w:val="24"/>
          <w:highlight w:val="none"/>
        </w:rPr>
        <w:t>恶臭防治措施</w:t>
      </w:r>
    </w:p>
    <w:p w14:paraId="3C417E02">
      <w:pPr>
        <w:pStyle w:val="16"/>
        <w:bidi w:val="0"/>
        <w:rPr>
          <w:rFonts w:hint="default" w:ascii="Times New Roman" w:hAnsi="Times New Roman" w:eastAsia="宋体" w:cs="Times New Roman"/>
          <w:color w:val="auto"/>
          <w:lang w:eastAsia="zh-CN"/>
        </w:rPr>
      </w:pPr>
      <w:r>
        <w:rPr>
          <w:rFonts w:hint="default" w:ascii="Times New Roman" w:hAnsi="Times New Roman" w:cs="Times New Roman"/>
          <w:color w:val="auto"/>
        </w:rPr>
        <w:t>①合理设计</w:t>
      </w:r>
      <w:r>
        <w:rPr>
          <w:rFonts w:hint="default" w:ascii="Times New Roman" w:hAnsi="Times New Roman" w:cs="Times New Roman"/>
          <w:color w:val="auto"/>
          <w:lang w:eastAsia="zh-CN"/>
        </w:rPr>
        <w:t>鸡舍、</w:t>
      </w:r>
      <w:r>
        <w:rPr>
          <w:rFonts w:hint="default" w:ascii="Times New Roman" w:hAnsi="Times New Roman" w:cs="Times New Roman"/>
          <w:color w:val="auto"/>
        </w:rPr>
        <w:t>投加或喷洒除臭剂</w:t>
      </w:r>
    </w:p>
    <w:p w14:paraId="602C25CA">
      <w:pPr>
        <w:pStyle w:val="16"/>
        <w:bidi w:val="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鸡舍</w:t>
      </w:r>
      <w:r>
        <w:rPr>
          <w:rFonts w:hint="default" w:ascii="Times New Roman" w:hAnsi="Times New Roman" w:cs="Times New Roman"/>
          <w:color w:val="auto"/>
        </w:rPr>
        <w:t>采用轻钢结构，自然通风良好，可加速</w:t>
      </w:r>
      <w:r>
        <w:rPr>
          <w:rFonts w:hint="default" w:ascii="Times New Roman" w:hAnsi="Times New Roman" w:cs="Times New Roman"/>
          <w:color w:val="auto"/>
          <w:lang w:eastAsia="zh-CN"/>
        </w:rPr>
        <w:t>鸡舍</w:t>
      </w:r>
      <w:r>
        <w:rPr>
          <w:rFonts w:hint="default" w:ascii="Times New Roman" w:hAnsi="Times New Roman" w:cs="Times New Roman"/>
          <w:color w:val="auto"/>
        </w:rPr>
        <w:t>内空气流动而保持</w:t>
      </w:r>
      <w:r>
        <w:rPr>
          <w:rFonts w:hint="default" w:ascii="Times New Roman" w:hAnsi="Times New Roman" w:cs="Times New Roman"/>
          <w:color w:val="auto"/>
          <w:lang w:eastAsia="zh-CN"/>
        </w:rPr>
        <w:t>鸡舍</w:t>
      </w:r>
      <w:r>
        <w:rPr>
          <w:rFonts w:hint="default" w:ascii="Times New Roman" w:hAnsi="Times New Roman" w:cs="Times New Roman"/>
          <w:color w:val="auto"/>
        </w:rPr>
        <w:t>内通风干燥；本项目</w:t>
      </w:r>
      <w:r>
        <w:rPr>
          <w:rFonts w:hint="default" w:ascii="Times New Roman" w:hAnsi="Times New Roman" w:eastAsia="宋体" w:cs="Times New Roman"/>
          <w:color w:val="auto"/>
          <w:kern w:val="2"/>
          <w:sz w:val="24"/>
          <w:szCs w:val="24"/>
          <w:lang w:val="en-GB" w:bidi="ar-SA"/>
        </w:rPr>
        <w:t>每栋鸡舍均设自动清粪系统</w:t>
      </w:r>
      <w:r>
        <w:rPr>
          <w:rFonts w:hint="default" w:ascii="Times New Roman" w:hAnsi="Times New Roman" w:cs="Times New Roman"/>
          <w:color w:val="auto"/>
        </w:rPr>
        <w:t>；向</w:t>
      </w:r>
      <w:r>
        <w:rPr>
          <w:rFonts w:hint="default" w:ascii="Times New Roman" w:hAnsi="Times New Roman" w:cs="Times New Roman"/>
          <w:color w:val="auto"/>
          <w:lang w:eastAsia="zh-CN"/>
        </w:rPr>
        <w:t>鸡舍</w:t>
      </w:r>
      <w:r>
        <w:rPr>
          <w:rFonts w:hint="default" w:ascii="Times New Roman" w:hAnsi="Times New Roman" w:eastAsia="宋体" w:cs="Times New Roman"/>
          <w:color w:val="auto"/>
          <w:kern w:val="2"/>
          <w:sz w:val="24"/>
          <w:szCs w:val="24"/>
          <w:lang w:val="en-GB" w:eastAsia="zh-CN" w:bidi="ar-SA"/>
        </w:rPr>
        <w:t>每天定时</w:t>
      </w:r>
      <w:r>
        <w:rPr>
          <w:rFonts w:hint="default" w:ascii="Times New Roman" w:hAnsi="Times New Roman" w:cs="Times New Roman"/>
          <w:color w:val="auto"/>
        </w:rPr>
        <w:t>投加或喷洒除臭剂。</w:t>
      </w:r>
    </w:p>
    <w:p w14:paraId="66A223A5">
      <w:pPr>
        <w:pStyle w:val="16"/>
        <w:bidi w:val="0"/>
        <w:rPr>
          <w:rFonts w:hint="default" w:ascii="Times New Roman" w:hAnsi="Times New Roman" w:cs="Times New Roman"/>
          <w:color w:val="auto"/>
        </w:rPr>
      </w:pPr>
      <w:r>
        <w:rPr>
          <w:rFonts w:hint="default" w:ascii="Times New Roman" w:hAnsi="Times New Roman" w:cs="Times New Roman"/>
          <w:color w:val="auto"/>
        </w:rPr>
        <w:t>②选用先进生产及饲养工艺</w:t>
      </w:r>
    </w:p>
    <w:p w14:paraId="148C7FC3">
      <w:pPr>
        <w:pStyle w:val="16"/>
        <w:bidi w:val="0"/>
        <w:rPr>
          <w:rFonts w:hint="default" w:ascii="Times New Roman" w:hAnsi="Times New Roman" w:cs="Times New Roman"/>
          <w:color w:val="auto"/>
        </w:rPr>
      </w:pPr>
      <w:r>
        <w:rPr>
          <w:rFonts w:hint="default" w:ascii="Times New Roman" w:hAnsi="Times New Roman" w:cs="Times New Roman"/>
          <w:color w:val="auto"/>
        </w:rPr>
        <w:t>选用益生菌配方饲料；</w:t>
      </w:r>
      <w:r>
        <w:rPr>
          <w:rFonts w:hint="default" w:ascii="Times New Roman" w:hAnsi="Times New Roman" w:cs="Times New Roman"/>
          <w:color w:val="auto"/>
          <w:lang w:eastAsia="zh-CN"/>
        </w:rPr>
        <w:t>鸡舍</w:t>
      </w:r>
      <w:r>
        <w:rPr>
          <w:rFonts w:hint="default" w:ascii="Times New Roman" w:hAnsi="Times New Roman" w:cs="Times New Roman"/>
          <w:color w:val="auto"/>
        </w:rPr>
        <w:t>消毒采用环境友好型的消毒剂及消毒措施，防止产生氯代有机物及其他二次污染物，常用的消毒剂及消毒措施主要有烧碱、生石灰、双氧水、漂白粉等及臭氧、紫外线等措施。</w:t>
      </w:r>
    </w:p>
    <w:p w14:paraId="69306805">
      <w:pPr>
        <w:pStyle w:val="73"/>
        <w:keepNext w:val="0"/>
        <w:keepLines w:val="0"/>
        <w:pageBreakBefore w:val="0"/>
        <w:widowControl w:val="0"/>
        <w:numPr>
          <w:ilvl w:val="0"/>
          <w:numId w:val="0"/>
        </w:numPr>
        <w:tabs>
          <w:tab w:val="left" w:pos="1199"/>
        </w:tabs>
        <w:kinsoku/>
        <w:wordWrap/>
        <w:overflowPunct/>
        <w:topLinePunct w:val="0"/>
        <w:autoSpaceDE w:val="0"/>
        <w:autoSpaceDN w:val="0"/>
        <w:bidi w:val="0"/>
        <w:adjustRightInd/>
        <w:snapToGrid/>
        <w:spacing w:line="360" w:lineRule="auto"/>
        <w:ind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）鸡粪发酵处理场</w:t>
      </w:r>
      <w:r>
        <w:rPr>
          <w:rFonts w:hint="default" w:ascii="Times New Roman" w:hAnsi="Times New Roman" w:cs="Times New Roman"/>
          <w:color w:val="auto"/>
          <w:sz w:val="24"/>
          <w:highlight w:val="none"/>
        </w:rPr>
        <w:t>恶臭防治措施</w:t>
      </w:r>
    </w:p>
    <w:p w14:paraId="73F13F8E">
      <w:pPr>
        <w:pStyle w:val="16"/>
        <w:bidi w:val="0"/>
        <w:rPr>
          <w:rFonts w:hint="default" w:ascii="Times New Roman" w:hAnsi="Times New Roman" w:cs="Times New Roman"/>
          <w:color w:val="auto"/>
        </w:rPr>
      </w:pPr>
      <w:r>
        <w:rPr>
          <w:rFonts w:hint="default" w:ascii="Times New Roman" w:hAnsi="Times New Roman" w:cs="Times New Roman"/>
          <w:color w:val="auto"/>
        </w:rPr>
        <w:t>①</w:t>
      </w:r>
      <w:r>
        <w:rPr>
          <w:rFonts w:hint="default" w:ascii="Times New Roman" w:hAnsi="Times New Roman" w:cs="Times New Roman"/>
          <w:color w:val="auto"/>
          <w:lang w:eastAsia="zh-CN"/>
        </w:rPr>
        <w:t>鸡粪发酵处理场</w:t>
      </w:r>
      <w:r>
        <w:rPr>
          <w:rFonts w:hint="default" w:ascii="Times New Roman" w:hAnsi="Times New Roman" w:cs="Times New Roman"/>
          <w:color w:val="auto"/>
        </w:rPr>
        <w:t>采用防雨、防渗的结构，利于通风而降低</w:t>
      </w:r>
      <w:r>
        <w:rPr>
          <w:rFonts w:hint="default" w:ascii="Times New Roman" w:hAnsi="Times New Roman" w:cs="Times New Roman"/>
          <w:color w:val="auto"/>
          <w:lang w:eastAsia="zh-CN"/>
        </w:rPr>
        <w:t>鸡粪</w:t>
      </w:r>
      <w:r>
        <w:rPr>
          <w:rFonts w:hint="default" w:ascii="Times New Roman" w:hAnsi="Times New Roman" w:cs="Times New Roman"/>
          <w:color w:val="auto"/>
        </w:rPr>
        <w:t>便含水率，同时堆肥期间定时翻堆可加速发酵，从而减少恶臭。</w:t>
      </w:r>
    </w:p>
    <w:p w14:paraId="0DF7F053">
      <w:pPr>
        <w:pStyle w:val="16"/>
        <w:bidi w:val="0"/>
        <w:rPr>
          <w:rFonts w:hint="default" w:ascii="Times New Roman" w:hAnsi="Times New Roman" w:cs="Times New Roman"/>
          <w:color w:val="auto"/>
        </w:rPr>
      </w:pPr>
      <w:r>
        <w:rPr>
          <w:rFonts w:hint="default" w:ascii="Times New Roman" w:hAnsi="Times New Roman" w:cs="Times New Roman"/>
          <w:color w:val="auto"/>
        </w:rPr>
        <w:t>②</w:t>
      </w:r>
      <w:r>
        <w:rPr>
          <w:rFonts w:hint="default" w:ascii="Times New Roman" w:hAnsi="Times New Roman" w:cs="Times New Roman"/>
          <w:color w:val="auto"/>
          <w:lang w:eastAsia="zh-CN"/>
        </w:rPr>
        <w:t>鸡粪发酵处理场</w:t>
      </w:r>
      <w:r>
        <w:rPr>
          <w:rFonts w:hint="default" w:ascii="Times New Roman" w:hAnsi="Times New Roman" w:cs="Times New Roman"/>
          <w:color w:val="auto"/>
        </w:rPr>
        <w:t>内</w:t>
      </w:r>
      <w:r>
        <w:rPr>
          <w:rFonts w:hint="default" w:ascii="Times New Roman" w:hAnsi="Times New Roman" w:cs="Times New Roman"/>
          <w:color w:val="auto"/>
          <w:lang w:eastAsia="zh-CN"/>
        </w:rPr>
        <w:t>鸡粪</w:t>
      </w:r>
      <w:r>
        <w:rPr>
          <w:rFonts w:hint="default" w:ascii="Times New Roman" w:hAnsi="Times New Roman" w:cs="Times New Roman"/>
          <w:color w:val="auto"/>
        </w:rPr>
        <w:t>便除臭可采用物理除臭、化学除臭、生物除臭等。</w:t>
      </w:r>
    </w:p>
    <w:p w14:paraId="0A7F4518">
      <w:pPr>
        <w:pStyle w:val="16"/>
        <w:bidi w:val="0"/>
        <w:rPr>
          <w:rFonts w:hint="default" w:ascii="Times New Roman" w:hAnsi="Times New Roman" w:cs="Times New Roman"/>
          <w:color w:val="auto"/>
        </w:rPr>
      </w:pPr>
      <w:r>
        <w:rPr>
          <w:rFonts w:hint="default" w:ascii="Times New Roman" w:hAnsi="Times New Roman" w:cs="Times New Roman"/>
          <w:color w:val="auto"/>
        </w:rPr>
        <w:t>③加强对</w:t>
      </w:r>
      <w:r>
        <w:rPr>
          <w:rFonts w:hint="default" w:ascii="Times New Roman" w:hAnsi="Times New Roman" w:cs="Times New Roman"/>
          <w:color w:val="auto"/>
          <w:lang w:eastAsia="zh-CN"/>
        </w:rPr>
        <w:t>鸡粪发酵处理场</w:t>
      </w:r>
      <w:r>
        <w:rPr>
          <w:rFonts w:hint="default" w:ascii="Times New Roman" w:hAnsi="Times New Roman" w:cs="Times New Roman"/>
          <w:color w:val="auto"/>
        </w:rPr>
        <w:t>的卫生管理，保持项目区</w:t>
      </w:r>
      <w:r>
        <w:rPr>
          <w:rFonts w:hint="default" w:ascii="Times New Roman" w:hAnsi="Times New Roman" w:cs="Times New Roman"/>
          <w:color w:val="auto"/>
          <w:lang w:eastAsia="zh-CN"/>
        </w:rPr>
        <w:t>鸡粪</w:t>
      </w:r>
      <w:r>
        <w:rPr>
          <w:rFonts w:hint="default" w:ascii="Times New Roman" w:hAnsi="Times New Roman" w:cs="Times New Roman"/>
          <w:color w:val="auto"/>
        </w:rPr>
        <w:t>便运输道路清洁卫生，杜绝</w:t>
      </w:r>
      <w:r>
        <w:rPr>
          <w:rFonts w:hint="default" w:ascii="Times New Roman" w:hAnsi="Times New Roman" w:cs="Times New Roman"/>
          <w:color w:val="auto"/>
          <w:lang w:eastAsia="zh-CN"/>
        </w:rPr>
        <w:t>鸡粪</w:t>
      </w:r>
      <w:r>
        <w:rPr>
          <w:rFonts w:hint="default" w:ascii="Times New Roman" w:hAnsi="Times New Roman" w:cs="Times New Roman"/>
          <w:color w:val="auto"/>
        </w:rPr>
        <w:t>便随处随意散落，蚊蝇易滋生繁殖季节喷洒驱虫剂和消毒剂，杜绝蚊蝇的生长，加强</w:t>
      </w:r>
      <w:r>
        <w:rPr>
          <w:rFonts w:hint="default" w:ascii="Times New Roman" w:hAnsi="Times New Roman" w:cs="Times New Roman"/>
          <w:color w:val="auto"/>
          <w:lang w:eastAsia="zh-CN"/>
        </w:rPr>
        <w:t>鸡粪发酵处理场</w:t>
      </w:r>
      <w:r>
        <w:rPr>
          <w:rFonts w:hint="default" w:ascii="Times New Roman" w:hAnsi="Times New Roman" w:cs="Times New Roman"/>
          <w:color w:val="auto"/>
        </w:rPr>
        <w:t>周边绿化。</w:t>
      </w:r>
    </w:p>
    <w:p w14:paraId="5C3AF879">
      <w:pPr>
        <w:pStyle w:val="73"/>
        <w:keepNext w:val="0"/>
        <w:keepLines w:val="0"/>
        <w:pageBreakBefore w:val="0"/>
        <w:widowControl w:val="0"/>
        <w:numPr>
          <w:ilvl w:val="0"/>
          <w:numId w:val="0"/>
        </w:numPr>
        <w:tabs>
          <w:tab w:val="left" w:pos="1199"/>
        </w:tabs>
        <w:kinsoku/>
        <w:wordWrap/>
        <w:overflowPunct/>
        <w:topLinePunct w:val="0"/>
        <w:autoSpaceDE w:val="0"/>
        <w:autoSpaceDN w:val="0"/>
        <w:bidi w:val="0"/>
        <w:adjustRightInd/>
        <w:snapToGrid/>
        <w:spacing w:line="360" w:lineRule="auto"/>
        <w:ind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）废水收集池</w:t>
      </w:r>
      <w:r>
        <w:rPr>
          <w:rFonts w:hint="default" w:ascii="Times New Roman" w:hAnsi="Times New Roman" w:cs="Times New Roman"/>
          <w:color w:val="auto"/>
          <w:sz w:val="24"/>
          <w:highlight w:val="none"/>
        </w:rPr>
        <w:t>恶臭防治措施</w:t>
      </w:r>
    </w:p>
    <w:p w14:paraId="36C98516">
      <w:pPr>
        <w:pStyle w:val="16"/>
        <w:bidi w:val="0"/>
        <w:rPr>
          <w:rFonts w:hint="default" w:ascii="Times New Roman" w:hAnsi="Times New Roman" w:cs="Times New Roman"/>
          <w:color w:val="auto"/>
        </w:rPr>
      </w:pPr>
      <w:r>
        <w:rPr>
          <w:rFonts w:hint="default" w:ascii="Times New Roman" w:hAnsi="Times New Roman" w:cs="Times New Roman"/>
          <w:color w:val="auto"/>
        </w:rPr>
        <w:t>加强</w:t>
      </w:r>
      <w:r>
        <w:rPr>
          <w:rFonts w:hint="default" w:ascii="Times New Roman" w:hAnsi="Times New Roman" w:cs="Times New Roman"/>
          <w:color w:val="auto"/>
          <w:lang w:eastAsia="zh-CN"/>
        </w:rPr>
        <w:t>废水收集池</w:t>
      </w:r>
      <w:r>
        <w:rPr>
          <w:rFonts w:hint="default" w:ascii="Times New Roman" w:hAnsi="Times New Roman" w:cs="Times New Roman"/>
          <w:color w:val="auto"/>
        </w:rPr>
        <w:t>运行的管理，</w:t>
      </w:r>
      <w:r>
        <w:rPr>
          <w:rFonts w:hint="default" w:ascii="Times New Roman" w:hAnsi="Times New Roman" w:cs="Times New Roman"/>
          <w:color w:val="auto"/>
          <w:lang w:eastAsia="zh-CN"/>
        </w:rPr>
        <w:t>废水收集池</w:t>
      </w:r>
      <w:r>
        <w:rPr>
          <w:rFonts w:hint="default" w:ascii="Times New Roman" w:hAnsi="Times New Roman" w:cs="Times New Roman"/>
          <w:color w:val="auto"/>
        </w:rPr>
        <w:t>的池体埋于地下，设备设置在</w:t>
      </w:r>
      <w:r>
        <w:rPr>
          <w:rFonts w:hint="default" w:ascii="Times New Roman" w:hAnsi="Times New Roman" w:cs="Times New Roman"/>
          <w:color w:val="auto"/>
          <w:lang w:eastAsia="zh-CN"/>
        </w:rPr>
        <w:t>封闭</w:t>
      </w:r>
      <w:r>
        <w:rPr>
          <w:rFonts w:hint="default" w:ascii="Times New Roman" w:hAnsi="Times New Roman" w:cs="Times New Roman"/>
          <w:color w:val="auto"/>
        </w:rPr>
        <w:t>建筑内，</w:t>
      </w:r>
      <w:r>
        <w:rPr>
          <w:rFonts w:hint="default" w:ascii="Times New Roman" w:hAnsi="Times New Roman" w:cs="Times New Roman"/>
          <w:color w:val="auto"/>
          <w:lang w:val="en-US" w:eastAsia="zh-CN"/>
        </w:rPr>
        <w:t>废水收集池</w:t>
      </w:r>
      <w:r>
        <w:rPr>
          <w:rFonts w:hint="default" w:ascii="Times New Roman" w:hAnsi="Times New Roman" w:cs="Times New Roman"/>
          <w:color w:val="auto"/>
        </w:rPr>
        <w:t>顶部设置盖板。</w:t>
      </w:r>
    </w:p>
    <w:p w14:paraId="70FAF00A">
      <w:pPr>
        <w:pStyle w:val="73"/>
        <w:keepNext w:val="0"/>
        <w:keepLines w:val="0"/>
        <w:pageBreakBefore w:val="0"/>
        <w:widowControl w:val="0"/>
        <w:numPr>
          <w:ilvl w:val="0"/>
          <w:numId w:val="0"/>
        </w:numPr>
        <w:tabs>
          <w:tab w:val="left" w:pos="1199"/>
        </w:tabs>
        <w:kinsoku/>
        <w:wordWrap/>
        <w:overflowPunct/>
        <w:topLinePunct w:val="0"/>
        <w:autoSpaceDE w:val="0"/>
        <w:autoSpaceDN w:val="0"/>
        <w:bidi w:val="0"/>
        <w:adjustRightInd/>
        <w:snapToGrid/>
        <w:spacing w:line="360" w:lineRule="auto"/>
        <w:ind w:leftChars="0" w:right="-11" w:righ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其他恶臭防治措施</w:t>
      </w:r>
    </w:p>
    <w:p w14:paraId="4C501818">
      <w:pPr>
        <w:pStyle w:val="16"/>
        <w:bidi w:val="0"/>
        <w:rPr>
          <w:rFonts w:hint="default" w:ascii="Times New Roman" w:hAnsi="Times New Roman" w:cs="Times New Roman"/>
          <w:color w:val="auto"/>
        </w:rPr>
      </w:pPr>
      <w:r>
        <w:rPr>
          <w:rFonts w:hint="default" w:ascii="Times New Roman" w:hAnsi="Times New Roman" w:cs="Times New Roman"/>
          <w:color w:val="auto"/>
        </w:rPr>
        <w:t>①加强项目区绿化，在</w:t>
      </w:r>
      <w:r>
        <w:rPr>
          <w:rFonts w:hint="default" w:ascii="Times New Roman" w:hAnsi="Times New Roman" w:cs="Times New Roman"/>
          <w:color w:val="auto"/>
          <w:lang w:eastAsia="zh-CN"/>
        </w:rPr>
        <w:t>鸡舍</w:t>
      </w:r>
      <w:r>
        <w:rPr>
          <w:rFonts w:hint="default" w:ascii="Times New Roman" w:hAnsi="Times New Roman" w:cs="Times New Roman"/>
          <w:color w:val="auto"/>
        </w:rPr>
        <w:t>、粪便处理区、</w:t>
      </w:r>
      <w:r>
        <w:rPr>
          <w:rFonts w:hint="default" w:ascii="Times New Roman" w:hAnsi="Times New Roman" w:cs="Times New Roman"/>
          <w:color w:val="auto"/>
          <w:lang w:eastAsia="zh-CN"/>
        </w:rPr>
        <w:t>废水收集池</w:t>
      </w:r>
      <w:r>
        <w:rPr>
          <w:rFonts w:hint="default" w:ascii="Times New Roman" w:hAnsi="Times New Roman" w:cs="Times New Roman"/>
          <w:color w:val="auto"/>
        </w:rPr>
        <w:t>等及项目区四周种植绿化隔离防护林带。</w:t>
      </w:r>
    </w:p>
    <w:p w14:paraId="4FFDE5FF">
      <w:pPr>
        <w:pStyle w:val="16"/>
        <w:bidi w:val="0"/>
        <w:rPr>
          <w:rFonts w:hint="default" w:ascii="Times New Roman" w:hAnsi="Times New Roman" w:cs="Times New Roman"/>
          <w:color w:val="auto"/>
        </w:rPr>
      </w:pPr>
      <w:r>
        <w:rPr>
          <w:rFonts w:hint="default" w:ascii="Times New Roman" w:hAnsi="Times New Roman" w:cs="Times New Roman"/>
          <w:color w:val="auto"/>
        </w:rPr>
        <w:t>②根据前述卫生防护距离计算结果以及《畜禽养殖业污染防治技术规范》中相关规定和要求确定本项目卫生防护距离为500m。</w:t>
      </w:r>
    </w:p>
    <w:p w14:paraId="2BBCB021">
      <w:pPr>
        <w:pStyle w:val="4"/>
        <w:tabs>
          <w:tab w:val="left" w:pos="889"/>
        </w:tabs>
        <w:ind w:left="0" w:leftChars="0" w:right="-1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污水防治措施可行性</w:t>
      </w:r>
    </w:p>
    <w:p w14:paraId="6271002C">
      <w:pPr>
        <w:keepNext w:val="0"/>
        <w:keepLines w:val="0"/>
        <w:pageBreakBefore w:val="0"/>
        <w:widowControl w:val="0"/>
        <w:kinsoku/>
        <w:wordWrap/>
        <w:overflowPunct/>
        <w:topLinePunct w:val="0"/>
        <w:autoSpaceDE w:val="0"/>
        <w:autoSpaceDN w:val="0"/>
        <w:bidi w:val="0"/>
        <w:adjustRightInd/>
        <w:snapToGrid/>
        <w:spacing w:line="365" w:lineRule="auto"/>
        <w:ind w:left="0" w:leftChars="0" w:right="-11" w:rightChars="0"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sz w:val="24"/>
        </w:rPr>
        <w:t>生活污水</w:t>
      </w:r>
      <w:r>
        <w:rPr>
          <w:rFonts w:hint="default" w:ascii="Times New Roman" w:hAnsi="Times New Roman" w:eastAsia="宋体" w:cs="Times New Roman"/>
          <w:color w:val="auto"/>
          <w:sz w:val="24"/>
          <w:lang w:val="en-US" w:eastAsia="zh-CN"/>
        </w:rPr>
        <w:t>和</w:t>
      </w:r>
      <w:r>
        <w:rPr>
          <w:rFonts w:hint="default" w:ascii="Times New Roman" w:hAnsi="Times New Roman" w:cs="Times New Roman"/>
          <w:color w:val="auto"/>
          <w:sz w:val="24"/>
          <w:lang w:val="en-US" w:eastAsia="zh-CN"/>
        </w:rPr>
        <w:t>鸡舍粪便收集设施（</w:t>
      </w:r>
      <w:r>
        <w:rPr>
          <w:rFonts w:hint="eastAsia" w:ascii="Times New Roman" w:hAnsi="Times New Roman" w:cs="Times New Roman"/>
          <w:color w:val="auto"/>
          <w:sz w:val="24"/>
          <w:lang w:val="en-US" w:eastAsia="zh-CN"/>
        </w:rPr>
        <w:t>粪便传送带</w:t>
      </w:r>
      <w:r>
        <w:rPr>
          <w:rFonts w:hint="default" w:ascii="Times New Roman" w:hAnsi="Times New Roman" w:cs="Times New Roman"/>
          <w:color w:val="auto"/>
          <w:sz w:val="24"/>
          <w:lang w:val="en-US" w:eastAsia="zh-CN"/>
        </w:rPr>
        <w:t>和清粪机）清洗废水</w:t>
      </w:r>
      <w:r>
        <w:rPr>
          <w:rFonts w:hint="default" w:ascii="Times New Roman" w:hAnsi="Times New Roman" w:cs="Times New Roman"/>
          <w:color w:val="auto"/>
          <w:sz w:val="24"/>
        </w:rPr>
        <w:t>经</w:t>
      </w:r>
      <w:r>
        <w:rPr>
          <w:rFonts w:hint="default" w:ascii="Times New Roman" w:hAnsi="Times New Roman" w:cs="Times New Roman"/>
          <w:color w:val="auto"/>
          <w:sz w:val="24"/>
          <w:lang w:val="en-US" w:eastAsia="zh-CN"/>
        </w:rPr>
        <w:t>废水收集池处理设施（废水收集池容积为100m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）处理后用于粪便堆肥，增加有机肥湿度处理</w:t>
      </w:r>
      <w:r>
        <w:rPr>
          <w:rFonts w:hint="default" w:ascii="Times New Roman" w:hAnsi="Times New Roman" w:eastAsia="宋体" w:cs="Times New Roman"/>
          <w:color w:val="auto"/>
          <w:sz w:val="24"/>
          <w:szCs w:val="24"/>
          <w:highlight w:val="none"/>
          <w:lang w:val="zh-CN" w:eastAsia="zh-CN" w:bidi="zh-CN"/>
        </w:rPr>
        <w:t>。锅炉房废水沉淀处理后用于鸡舍</w:t>
      </w:r>
      <w:r>
        <w:rPr>
          <w:rFonts w:hint="eastAsia" w:ascii="Times New Roman" w:hAnsi="Times New Roman" w:cs="Times New Roman"/>
          <w:color w:val="auto"/>
          <w:sz w:val="24"/>
          <w:szCs w:val="24"/>
          <w:highlight w:val="none"/>
          <w:lang w:val="zh-CN" w:eastAsia="zh-CN" w:bidi="zh-CN"/>
        </w:rPr>
        <w:t>粪便传送带</w:t>
      </w:r>
      <w:r>
        <w:rPr>
          <w:rFonts w:hint="default" w:ascii="Times New Roman" w:hAnsi="Times New Roman" w:eastAsia="宋体" w:cs="Times New Roman"/>
          <w:color w:val="auto"/>
          <w:sz w:val="24"/>
          <w:szCs w:val="24"/>
          <w:highlight w:val="none"/>
          <w:lang w:val="zh-CN" w:eastAsia="zh-CN" w:bidi="zh-CN"/>
        </w:rPr>
        <w:t>清洗。</w:t>
      </w:r>
    </w:p>
    <w:p w14:paraId="78938CCB">
      <w:pPr>
        <w:pStyle w:val="4"/>
        <w:tabs>
          <w:tab w:val="left" w:pos="889"/>
        </w:tabs>
        <w:ind w:left="0" w:leftChars="0" w:right="-1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噪声污染防治措施可行性</w:t>
      </w:r>
    </w:p>
    <w:p w14:paraId="12274C55">
      <w:pPr>
        <w:pStyle w:val="16"/>
        <w:bidi w:val="0"/>
        <w:rPr>
          <w:rFonts w:hint="default" w:ascii="Times New Roman" w:hAnsi="Times New Roman" w:cs="Times New Roman"/>
          <w:color w:val="auto"/>
        </w:rPr>
      </w:pPr>
      <w:r>
        <w:rPr>
          <w:rFonts w:hint="default" w:ascii="Times New Roman" w:hAnsi="Times New Roman" w:cs="Times New Roman"/>
          <w:color w:val="auto"/>
        </w:rPr>
        <w:t>针对本项目运营期间产生噪声采取以下防治措施：</w:t>
      </w:r>
    </w:p>
    <w:p w14:paraId="6FF027EC">
      <w:pPr>
        <w:pStyle w:val="73"/>
        <w:numPr>
          <w:ilvl w:val="0"/>
          <w:numId w:val="0"/>
        </w:numPr>
        <w:tabs>
          <w:tab w:val="left" w:pos="1201"/>
        </w:tabs>
        <w:spacing w:line="360" w:lineRule="auto"/>
        <w:ind w:leftChars="0" w:right="-1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选用低噪声设备，限制高噪声设备使用数量，定期维护设备使其处于良好运行状态；</w:t>
      </w:r>
    </w:p>
    <w:p w14:paraId="10451C6C">
      <w:pPr>
        <w:pStyle w:val="73"/>
        <w:numPr>
          <w:ilvl w:val="0"/>
          <w:numId w:val="0"/>
        </w:numPr>
        <w:tabs>
          <w:tab w:val="left" w:pos="1201"/>
        </w:tabs>
        <w:spacing w:line="360" w:lineRule="auto"/>
        <w:ind w:leftChars="0" w:right="-1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提高设备零部件装配精度，加强运转零部件间润滑程度，对设备与其基础间及设备各连接部位间加装减振装置，在设备进出口处安装消音装置；</w:t>
      </w:r>
    </w:p>
    <w:p w14:paraId="24F40646">
      <w:pPr>
        <w:pStyle w:val="73"/>
        <w:numPr>
          <w:ilvl w:val="0"/>
          <w:numId w:val="0"/>
        </w:numPr>
        <w:tabs>
          <w:tab w:val="left" w:pos="1201"/>
        </w:tabs>
        <w:spacing w:line="360" w:lineRule="auto"/>
        <w:ind w:leftChars="0" w:right="-1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高噪声设备安装在室内或设置建筑结构封闭的隔声间，建筑屋顶墙面采用吸声材料，门窗采用隔声门窗并加装密封条；</w:t>
      </w:r>
    </w:p>
    <w:p w14:paraId="0D030C59">
      <w:pPr>
        <w:pStyle w:val="16"/>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4</w:t>
      </w:r>
      <w:r>
        <w:rPr>
          <w:rFonts w:hint="default" w:ascii="Times New Roman" w:hAnsi="Times New Roman" w:cs="Times New Roman"/>
          <w:color w:val="auto"/>
        </w:rPr>
        <w:t>）对项目区进行合理布局，加强项目区绿化；</w:t>
      </w:r>
    </w:p>
    <w:p w14:paraId="53242D77">
      <w:pPr>
        <w:pStyle w:val="16"/>
        <w:bidi w:val="0"/>
        <w:rPr>
          <w:rFonts w:hint="default" w:ascii="Times New Roman" w:hAnsi="Times New Roman" w:cs="Times New Roman"/>
          <w:color w:val="auto"/>
        </w:rPr>
      </w:pPr>
      <w:r>
        <w:rPr>
          <w:rFonts w:hint="default" w:ascii="Times New Roman" w:hAnsi="Times New Roman" w:cs="Times New Roman"/>
          <w:color w:val="auto"/>
        </w:rPr>
        <w:t>本项目产噪设备均属常见噪声源，采用降噪措施均为目前国内普遍采用的经济、实用、有效的方法，是成熟定型、可靠的。</w:t>
      </w:r>
    </w:p>
    <w:p w14:paraId="671C51BD">
      <w:pPr>
        <w:pStyle w:val="4"/>
        <w:tabs>
          <w:tab w:val="left" w:pos="889"/>
        </w:tabs>
        <w:ind w:left="0" w:leftChars="0" w:right="-1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固体废物污染防治措施可行性</w:t>
      </w:r>
    </w:p>
    <w:p w14:paraId="5D54E5E4">
      <w:pPr>
        <w:pStyle w:val="16"/>
        <w:bidi w:val="0"/>
        <w:rPr>
          <w:rFonts w:hint="default" w:ascii="Times New Roman" w:hAnsi="Times New Roman" w:eastAsia="宋体" w:cs="Times New Roman"/>
          <w:color w:val="auto"/>
          <w:lang w:eastAsia="zh-CN"/>
        </w:rPr>
      </w:pPr>
      <w:r>
        <w:rPr>
          <w:rFonts w:hint="default" w:ascii="Times New Roman" w:hAnsi="Times New Roman" w:cs="Times New Roman"/>
          <w:color w:val="auto"/>
        </w:rPr>
        <w:t>本项目粪污处理采用资源化处理工艺，本项目需堆肥发酵的物质包括干清粪清理出的</w:t>
      </w:r>
      <w:r>
        <w:rPr>
          <w:rFonts w:hint="default" w:ascii="Times New Roman" w:hAnsi="Times New Roman" w:cs="Times New Roman"/>
          <w:color w:val="auto"/>
          <w:lang w:eastAsia="zh-CN"/>
        </w:rPr>
        <w:t>鸡粪</w:t>
      </w:r>
      <w:r>
        <w:rPr>
          <w:rFonts w:hint="default" w:ascii="Times New Roman" w:hAnsi="Times New Roman" w:cs="Times New Roman"/>
          <w:color w:val="auto"/>
        </w:rPr>
        <w:t>和污泥</w:t>
      </w:r>
      <w:r>
        <w:rPr>
          <w:rFonts w:hint="default" w:ascii="Times New Roman" w:hAnsi="Times New Roman" w:cs="Times New Roman"/>
          <w:color w:val="auto"/>
          <w:lang w:eastAsia="zh-CN"/>
        </w:rPr>
        <w:t>、</w:t>
      </w:r>
      <w:r>
        <w:rPr>
          <w:rFonts w:hint="default" w:ascii="Times New Roman" w:hAnsi="Times New Roman" w:eastAsia="宋体" w:cs="Times New Roman"/>
          <w:sz w:val="24"/>
          <w:szCs w:val="24"/>
        </w:rPr>
        <w:t>饲料残渣及散落毛羽</w:t>
      </w:r>
      <w:r>
        <w:rPr>
          <w:rFonts w:hint="default" w:ascii="Times New Roman" w:hAnsi="Times New Roman" w:cs="Times New Roman"/>
          <w:color w:val="auto"/>
          <w:sz w:val="24"/>
          <w:lang w:val="en-US" w:eastAsia="zh-CN"/>
        </w:rPr>
        <w:t>和破损蛋</w:t>
      </w:r>
      <w:r>
        <w:rPr>
          <w:rFonts w:hint="default" w:ascii="Times New Roman" w:hAnsi="Times New Roman" w:cs="Times New Roman"/>
          <w:color w:val="auto"/>
        </w:rPr>
        <w:t>。物料经发酵处理后，作为肥料外售资源化利用。项目生产过程中产生的粉尘经收集后全部返回生产过程</w:t>
      </w:r>
      <w:r>
        <w:rPr>
          <w:rFonts w:hint="default" w:ascii="Times New Roman" w:hAnsi="Times New Roman" w:cs="Times New Roman"/>
          <w:color w:val="auto"/>
          <w:lang w:eastAsia="zh-CN"/>
        </w:rPr>
        <w:t>。</w:t>
      </w:r>
    </w:p>
    <w:p w14:paraId="2D139A8B">
      <w:pPr>
        <w:pStyle w:val="16"/>
        <w:bidi w:val="0"/>
        <w:rPr>
          <w:rFonts w:hint="default" w:ascii="Times New Roman" w:hAnsi="Times New Roman" w:cs="Times New Roman"/>
          <w:color w:val="auto"/>
          <w:sz w:val="24"/>
          <w:highlight w:val="none"/>
        </w:rPr>
      </w:pPr>
      <w:r>
        <w:rPr>
          <w:rFonts w:hint="default" w:ascii="Times New Roman" w:hAnsi="Times New Roman" w:cs="Times New Roman"/>
          <w:color w:val="auto"/>
          <w:lang w:eastAsia="zh-CN"/>
        </w:rPr>
        <w:t>本</w:t>
      </w:r>
      <w:r>
        <w:rPr>
          <w:rFonts w:hint="default" w:ascii="Times New Roman" w:hAnsi="Times New Roman" w:cs="Times New Roman"/>
          <w:color w:val="auto"/>
          <w:lang w:val="en-US" w:eastAsia="zh-CN"/>
        </w:rPr>
        <w:t>项目</w:t>
      </w:r>
      <w:r>
        <w:rPr>
          <w:rFonts w:hint="default" w:ascii="Times New Roman" w:hAnsi="Times New Roman" w:cs="Times New Roman"/>
          <w:color w:val="auto"/>
          <w:lang w:eastAsia="zh-CN"/>
        </w:rPr>
        <w:t>病死鸡</w:t>
      </w:r>
      <w:r>
        <w:rPr>
          <w:rFonts w:hint="default" w:ascii="Times New Roman" w:hAnsi="Times New Roman" w:cs="Times New Roman"/>
          <w:color w:val="auto"/>
          <w:lang w:val="en-US" w:eastAsia="zh-CN"/>
        </w:rPr>
        <w:t>采用无害化填埋处置</w:t>
      </w:r>
      <w:r>
        <w:rPr>
          <w:rFonts w:hint="default" w:ascii="Times New Roman" w:hAnsi="Times New Roman" w:cs="Times New Roman"/>
          <w:color w:val="auto"/>
        </w:rPr>
        <w:t>。本项目兽用医疗废物暂存于医疗废物暂存间，运营单位将防疫废物煮沸后作为生活垃圾交环卫部门统一处理。</w:t>
      </w:r>
      <w:r>
        <w:rPr>
          <w:rFonts w:hint="default" w:ascii="Times New Roman" w:hAnsi="Times New Roman" w:cs="Times New Roman"/>
          <w:color w:val="auto"/>
          <w:sz w:val="24"/>
          <w:highlight w:val="none"/>
        </w:rPr>
        <w:t>生活垃圾统一交由当地环卫部门定期清运。</w:t>
      </w:r>
    </w:p>
    <w:p w14:paraId="643DFF28">
      <w:pPr>
        <w:pStyle w:val="16"/>
        <w:bidi w:val="0"/>
        <w:rPr>
          <w:rFonts w:hint="default" w:ascii="Times New Roman" w:hAnsi="Times New Roman" w:cs="Times New Roman"/>
          <w:color w:val="auto"/>
        </w:rPr>
      </w:pPr>
      <w:r>
        <w:rPr>
          <w:rFonts w:hint="default" w:ascii="Times New Roman" w:hAnsi="Times New Roman" w:cs="Times New Roman"/>
          <w:color w:val="auto"/>
        </w:rPr>
        <w:t>本项目运营期间原辅材料包装物由</w:t>
      </w:r>
      <w:r>
        <w:rPr>
          <w:rFonts w:hint="default" w:ascii="Times New Roman" w:hAnsi="Times New Roman" w:eastAsia="宋体" w:cs="Times New Roman"/>
          <w:b w:val="0"/>
          <w:color w:val="auto"/>
          <w:kern w:val="2"/>
          <w:sz w:val="24"/>
          <w:szCs w:val="24"/>
          <w:lang w:val="en-US" w:eastAsia="zh-CN" w:bidi="ar-SA"/>
        </w:rPr>
        <w:t>饲料原料厂家回收利用或外售</w:t>
      </w:r>
      <w:r>
        <w:rPr>
          <w:rFonts w:hint="default" w:ascii="Times New Roman" w:hAnsi="Times New Roman" w:cs="Times New Roman"/>
          <w:color w:val="auto"/>
        </w:rPr>
        <w:t>。对周围环境的影响不大。</w:t>
      </w:r>
    </w:p>
    <w:p w14:paraId="53170F28">
      <w:pPr>
        <w:pStyle w:val="16"/>
        <w:bidi w:val="0"/>
        <w:rPr>
          <w:rFonts w:hint="default" w:ascii="Times New Roman" w:hAnsi="Times New Roman" w:cs="Times New Roman"/>
          <w:color w:val="auto"/>
        </w:rPr>
      </w:pPr>
      <w:r>
        <w:rPr>
          <w:rFonts w:hint="default" w:ascii="Times New Roman" w:hAnsi="Times New Roman" w:cs="Times New Roman"/>
          <w:color w:val="auto"/>
        </w:rPr>
        <w:t>综上所述，本项目运营期间产</w:t>
      </w:r>
      <w:r>
        <w:rPr>
          <w:rFonts w:hint="default" w:ascii="Times New Roman" w:hAnsi="Times New Roman" w:cs="Times New Roman"/>
          <w:color w:val="auto"/>
          <w:lang w:eastAsia="zh-CN"/>
        </w:rPr>
        <w:t>生的</w:t>
      </w:r>
      <w:r>
        <w:rPr>
          <w:rFonts w:hint="default" w:ascii="Times New Roman" w:hAnsi="Times New Roman" w:cs="Times New Roman"/>
          <w:color w:val="auto"/>
        </w:rPr>
        <w:t>固体废物均得到及时妥善处置，采取的固废处置和污染防治措施可行。</w:t>
      </w:r>
    </w:p>
    <w:p w14:paraId="28A6799A">
      <w:pPr>
        <w:pStyle w:val="3"/>
        <w:bidi w:val="0"/>
        <w:rPr>
          <w:rFonts w:hint="default" w:ascii="Times New Roman" w:hAnsi="Times New Roman" w:cs="Times New Roman"/>
          <w:color w:val="auto"/>
          <w:lang w:val="en-US" w:eastAsia="zh-CN"/>
        </w:rPr>
      </w:pPr>
      <w:bookmarkStart w:id="212" w:name="_TOC_250004"/>
      <w:bookmarkEnd w:id="212"/>
      <w:bookmarkStart w:id="213" w:name="_Toc20043"/>
      <w:bookmarkStart w:id="214" w:name="_Toc23484"/>
      <w:r>
        <w:rPr>
          <w:rFonts w:hint="default" w:ascii="Times New Roman" w:hAnsi="Times New Roman" w:cs="Times New Roman"/>
          <w:color w:val="auto"/>
          <w:lang w:val="en-US" w:eastAsia="zh-CN"/>
        </w:rPr>
        <w:t>产业政策及规划符合性结论</w:t>
      </w:r>
      <w:bookmarkEnd w:id="213"/>
      <w:bookmarkEnd w:id="214"/>
    </w:p>
    <w:p w14:paraId="66472F4F">
      <w:pPr>
        <w:pStyle w:val="16"/>
        <w:bidi w:val="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w:t>
      </w:r>
      <w:r>
        <w:rPr>
          <w:rFonts w:hint="default" w:ascii="Times New Roman" w:hAnsi="Times New Roman" w:cs="Times New Roman"/>
          <w:color w:val="auto"/>
        </w:rPr>
        <w:t>产业结构调整指导目录（20</w:t>
      </w:r>
      <w:r>
        <w:rPr>
          <w:rFonts w:hint="default" w:ascii="Times New Roman" w:hAnsi="Times New Roman" w:cs="Times New Roman"/>
          <w:color w:val="auto"/>
          <w:lang w:val="en-US" w:eastAsia="zh-CN"/>
        </w:rPr>
        <w:t>24</w:t>
      </w:r>
      <w:r>
        <w:rPr>
          <w:rFonts w:hint="default" w:ascii="Times New Roman" w:hAnsi="Times New Roman" w:cs="Times New Roman"/>
          <w:color w:val="auto"/>
        </w:rPr>
        <w:t>年本</w:t>
      </w:r>
      <w:r>
        <w:rPr>
          <w:rFonts w:hint="default" w:ascii="Times New Roman" w:hAnsi="Times New Roman" w:cs="Times New Roman"/>
          <w:color w:val="auto"/>
          <w:lang w:eastAsia="zh-CN"/>
        </w:rPr>
        <w:t>）</w:t>
      </w:r>
      <w:r>
        <w:rPr>
          <w:rFonts w:hint="default" w:ascii="Times New Roman" w:hAnsi="Times New Roman" w:cs="Times New Roman"/>
          <w:color w:val="auto"/>
        </w:rPr>
        <w:t>》，本项目为该目录中“农林业：</w:t>
      </w:r>
      <w:r>
        <w:rPr>
          <w:rFonts w:hint="default" w:ascii="Times New Roman" w:hAnsi="Times New Roman" w:cs="Times New Roman"/>
          <w:color w:val="auto"/>
          <w:lang w:eastAsia="zh-CN"/>
        </w:rPr>
        <w:t>4</w:t>
      </w:r>
      <w:r>
        <w:rPr>
          <w:rFonts w:hint="default" w:ascii="Times New Roman" w:hAnsi="Times New Roman" w:cs="Times New Roman"/>
          <w:color w:val="auto"/>
        </w:rPr>
        <w:t>、畜禽标准化规模养殖技术开发与应用”，属于鼓励类建设项目，本项目建设符合国家产业政策。</w:t>
      </w:r>
    </w:p>
    <w:p w14:paraId="11B4AADA">
      <w:pPr>
        <w:pStyle w:val="16"/>
        <w:bidi w:val="0"/>
        <w:rPr>
          <w:rFonts w:hint="default" w:ascii="Times New Roman" w:hAnsi="Times New Roman" w:cs="Times New Roman"/>
          <w:color w:val="auto"/>
        </w:rPr>
      </w:pPr>
      <w:r>
        <w:rPr>
          <w:rFonts w:hint="default" w:ascii="Times New Roman" w:hAnsi="Times New Roman" w:cs="Times New Roman"/>
          <w:color w:val="auto"/>
        </w:rPr>
        <w:t>本项目位于</w:t>
      </w:r>
      <w:r>
        <w:rPr>
          <w:rFonts w:hint="default" w:ascii="Times New Roman" w:hAnsi="Times New Roman" w:cs="Times New Roman"/>
          <w:color w:val="auto"/>
          <w:lang w:val="en-US" w:eastAsia="zh-CN"/>
        </w:rPr>
        <w:t>新疆北屯市188团9连</w:t>
      </w:r>
      <w:r>
        <w:rPr>
          <w:rFonts w:hint="default" w:ascii="Times New Roman" w:hAnsi="Times New Roman" w:cs="Times New Roman"/>
          <w:color w:val="auto"/>
        </w:rPr>
        <w:t>规划农用设施用地范围内，本次环评按照相关环保规范要求，对本项目运营期养殖小区污染物实行统一的收集和治理，并积极推进养殖废弃物的资源化利用。项目符合《新疆生态环境保护“十四五”规划</w:t>
      </w:r>
      <w:r>
        <w:rPr>
          <w:rFonts w:hint="default" w:ascii="Times New Roman" w:hAnsi="Times New Roman" w:cs="Times New Roman"/>
          <w:color w:val="auto"/>
          <w:lang w:eastAsia="zh-CN"/>
        </w:rPr>
        <w:t>》《</w:t>
      </w:r>
      <w:r>
        <w:rPr>
          <w:rFonts w:hint="default" w:ascii="Times New Roman" w:hAnsi="Times New Roman" w:cs="Times New Roman"/>
          <w:color w:val="auto"/>
        </w:rPr>
        <w:t>新疆生产建设兵团“十四五”生态环境保护规划</w:t>
      </w:r>
      <w:r>
        <w:rPr>
          <w:rFonts w:hint="default" w:ascii="Times New Roman" w:hAnsi="Times New Roman" w:cs="Times New Roman"/>
          <w:color w:val="auto"/>
          <w:lang w:eastAsia="zh-CN"/>
        </w:rPr>
        <w:t>》《</w:t>
      </w:r>
      <w:r>
        <w:rPr>
          <w:rFonts w:hint="default" w:ascii="Times New Roman" w:hAnsi="Times New Roman" w:cs="Times New Roman"/>
          <w:color w:val="auto"/>
        </w:rPr>
        <w:t>新疆维吾尔自治区畜牧业现代化“十</w:t>
      </w:r>
      <w:r>
        <w:rPr>
          <w:rFonts w:hint="default" w:ascii="Times New Roman" w:hAnsi="Times New Roman" w:cs="Times New Roman"/>
          <w:color w:val="auto"/>
          <w:lang w:val="en-US" w:eastAsia="zh-CN"/>
        </w:rPr>
        <w:t>四</w:t>
      </w:r>
      <w:r>
        <w:rPr>
          <w:rFonts w:hint="default" w:ascii="Times New Roman" w:hAnsi="Times New Roman" w:cs="Times New Roman"/>
          <w:color w:val="auto"/>
        </w:rPr>
        <w:t>五”发展规划</w:t>
      </w:r>
      <w:r>
        <w:rPr>
          <w:rFonts w:hint="default" w:ascii="Times New Roman" w:hAnsi="Times New Roman" w:cs="Times New Roman"/>
          <w:color w:val="auto"/>
          <w:lang w:eastAsia="zh-CN"/>
        </w:rPr>
        <w:t>》《</w:t>
      </w:r>
      <w:r>
        <w:rPr>
          <w:rFonts w:hint="default" w:ascii="Times New Roman" w:hAnsi="Times New Roman" w:cs="Times New Roman"/>
          <w:color w:val="auto"/>
          <w:lang w:val="en-US"/>
        </w:rPr>
        <w:t>兵团</w:t>
      </w:r>
      <w:r>
        <w:rPr>
          <w:rFonts w:hint="default" w:ascii="Times New Roman" w:hAnsi="Times New Roman" w:cs="Times New Roman"/>
          <w:color w:val="auto"/>
          <w:lang w:val="en-US" w:eastAsia="zh-CN"/>
        </w:rPr>
        <w:t>第十师北屯市</w:t>
      </w:r>
      <w:r>
        <w:rPr>
          <w:rFonts w:hint="default" w:ascii="Times New Roman" w:hAnsi="Times New Roman" w:cs="Times New Roman"/>
          <w:color w:val="auto"/>
          <w:lang w:val="en-US"/>
        </w:rPr>
        <w:t>畜禽养殖禁养区和限养区划定工作实施方案》</w:t>
      </w:r>
      <w:r>
        <w:rPr>
          <w:rFonts w:hint="default" w:ascii="Times New Roman" w:hAnsi="Times New Roman" w:cs="Times New Roman"/>
          <w:color w:val="auto"/>
          <w:lang w:val="en-US" w:eastAsia="zh-CN"/>
        </w:rPr>
        <w:t>等</w:t>
      </w:r>
      <w:r>
        <w:rPr>
          <w:rFonts w:hint="default" w:ascii="Times New Roman" w:hAnsi="Times New Roman" w:cs="Times New Roman"/>
          <w:color w:val="auto"/>
        </w:rPr>
        <w:t>相关要求。</w:t>
      </w:r>
    </w:p>
    <w:p w14:paraId="579C9B56">
      <w:pPr>
        <w:pStyle w:val="3"/>
        <w:bidi w:val="0"/>
        <w:rPr>
          <w:rFonts w:hint="default" w:ascii="Times New Roman" w:hAnsi="Times New Roman" w:cs="Times New Roman"/>
          <w:color w:val="auto"/>
          <w:lang w:val="en-US" w:eastAsia="zh-CN"/>
        </w:rPr>
      </w:pPr>
      <w:bookmarkStart w:id="215" w:name="_TOC_250003"/>
      <w:bookmarkEnd w:id="215"/>
      <w:bookmarkStart w:id="216" w:name="_Toc7651"/>
      <w:bookmarkStart w:id="217" w:name="_Toc24901"/>
      <w:r>
        <w:rPr>
          <w:rFonts w:hint="default" w:ascii="Times New Roman" w:hAnsi="Times New Roman" w:cs="Times New Roman"/>
          <w:color w:val="auto"/>
          <w:lang w:val="en-US" w:eastAsia="zh-CN"/>
        </w:rPr>
        <w:t>环境影响经济损益分析结论</w:t>
      </w:r>
      <w:bookmarkEnd w:id="216"/>
      <w:bookmarkEnd w:id="217"/>
    </w:p>
    <w:p w14:paraId="602E75C2">
      <w:pPr>
        <w:pStyle w:val="16"/>
        <w:bidi w:val="0"/>
        <w:rPr>
          <w:rFonts w:hint="default" w:ascii="Times New Roman" w:hAnsi="Times New Roman" w:cs="Times New Roman"/>
          <w:color w:val="auto"/>
        </w:rPr>
      </w:pPr>
      <w:r>
        <w:rPr>
          <w:rFonts w:hint="default" w:ascii="Times New Roman" w:hAnsi="Times New Roman" w:cs="Times New Roman"/>
          <w:color w:val="auto"/>
        </w:rPr>
        <w:t>本项目为规模化养殖项目，粪污作为农肥外卖，实现综合利用，是变废为宝、资源综合利用的生态环保工程，对当地畜禽业发展和拉动有机农业产业发展具有推动作用和示范意义。本项目建设实施具有较好经济社会效益和环境效益，可做到经济效益、社会效益、环境效益的三者统一。</w:t>
      </w:r>
    </w:p>
    <w:p w14:paraId="22E362B5">
      <w:pPr>
        <w:pStyle w:val="3"/>
        <w:bidi w:val="0"/>
        <w:rPr>
          <w:rFonts w:hint="default" w:ascii="Times New Roman" w:hAnsi="Times New Roman" w:cs="Times New Roman"/>
          <w:color w:val="auto"/>
          <w:lang w:val="en-US" w:eastAsia="zh-CN"/>
        </w:rPr>
      </w:pPr>
      <w:bookmarkStart w:id="218" w:name="_TOC_250002"/>
      <w:bookmarkEnd w:id="218"/>
      <w:bookmarkStart w:id="219" w:name="_Toc11669"/>
      <w:bookmarkStart w:id="220" w:name="_Toc4060"/>
      <w:r>
        <w:rPr>
          <w:rFonts w:hint="default" w:ascii="Times New Roman" w:hAnsi="Times New Roman" w:cs="Times New Roman"/>
          <w:color w:val="auto"/>
          <w:lang w:val="en-US" w:eastAsia="zh-CN"/>
        </w:rPr>
        <w:t>公众参与结论</w:t>
      </w:r>
      <w:bookmarkEnd w:id="219"/>
      <w:bookmarkEnd w:id="220"/>
    </w:p>
    <w:p w14:paraId="40132FDE">
      <w:pPr>
        <w:pStyle w:val="16"/>
        <w:bidi w:val="0"/>
        <w:rPr>
          <w:rFonts w:hint="default" w:ascii="Times New Roman" w:hAnsi="Times New Roman" w:cs="Times New Roman"/>
          <w:color w:val="auto"/>
        </w:rPr>
      </w:pPr>
      <w:r>
        <w:rPr>
          <w:rFonts w:hint="default" w:ascii="Times New Roman" w:hAnsi="Times New Roman" w:cs="Times New Roman"/>
          <w:color w:val="auto"/>
        </w:rPr>
        <w:t>建设单位在环评单位的协助下，在</w:t>
      </w:r>
      <w:r>
        <w:rPr>
          <w:rFonts w:hint="default" w:ascii="Times New Roman" w:hAnsi="Times New Roman" w:cs="Times New Roman"/>
          <w:color w:val="auto"/>
          <w:highlight w:val="none"/>
          <w:lang w:val="en-US" w:eastAsia="zh-CN"/>
        </w:rPr>
        <w:t>第十师北屯市政府网</w:t>
      </w:r>
      <w:r>
        <w:rPr>
          <w:rFonts w:hint="default" w:ascii="Times New Roman" w:hAnsi="Times New Roman" w:cs="Times New Roman"/>
          <w:color w:val="auto"/>
        </w:rPr>
        <w:t>发布两次公示向公众告知本项目的建设情况，及本项目环境影响报告书（征求意见稿）及其网络公众意见调查表的公告。同期在</w:t>
      </w:r>
      <w:r>
        <w:rPr>
          <w:rFonts w:hint="default" w:ascii="Times New Roman" w:hAnsi="Times New Roman" w:cs="Times New Roman"/>
          <w:color w:val="auto"/>
          <w:lang w:eastAsia="zh-CN"/>
        </w:rPr>
        <w:t>新疆</w:t>
      </w:r>
      <w:r>
        <w:rPr>
          <w:rFonts w:hint="default" w:ascii="Times New Roman" w:hAnsi="Times New Roman" w:cs="Times New Roman"/>
          <w:color w:val="auto"/>
          <w:lang w:val="en-US" w:eastAsia="zh-CN"/>
        </w:rPr>
        <w:t>北屯日</w:t>
      </w:r>
      <w:r>
        <w:rPr>
          <w:rFonts w:hint="default" w:ascii="Times New Roman" w:hAnsi="Times New Roman" w:cs="Times New Roman"/>
          <w:color w:val="auto"/>
          <w:lang w:eastAsia="zh-CN"/>
        </w:rPr>
        <w:t>报</w:t>
      </w:r>
      <w:r>
        <w:rPr>
          <w:rFonts w:hint="default" w:ascii="Times New Roman" w:hAnsi="Times New Roman" w:cs="Times New Roman"/>
          <w:color w:val="auto"/>
        </w:rPr>
        <w:t>对项目环境影响报告书的环境影响评价信息进行了两次公告。根据公示及调查情况，项目公示期间未收到公众提出反对意见。</w:t>
      </w:r>
    </w:p>
    <w:p w14:paraId="504B8D15">
      <w:pPr>
        <w:pStyle w:val="3"/>
        <w:bidi w:val="0"/>
        <w:rPr>
          <w:rFonts w:hint="default" w:ascii="Times New Roman" w:hAnsi="Times New Roman" w:cs="Times New Roman"/>
          <w:color w:val="auto"/>
          <w:lang w:val="en-US" w:eastAsia="zh-CN"/>
        </w:rPr>
      </w:pPr>
      <w:bookmarkStart w:id="221" w:name="_TOC_250001"/>
      <w:bookmarkEnd w:id="221"/>
      <w:bookmarkStart w:id="222" w:name="_Toc10359"/>
      <w:bookmarkStart w:id="223" w:name="_Toc25407"/>
      <w:r>
        <w:rPr>
          <w:rFonts w:hint="default" w:ascii="Times New Roman" w:hAnsi="Times New Roman" w:cs="Times New Roman"/>
          <w:color w:val="auto"/>
          <w:lang w:val="en-US" w:eastAsia="zh-CN"/>
        </w:rPr>
        <w:t>总体结论</w:t>
      </w:r>
      <w:bookmarkEnd w:id="222"/>
      <w:bookmarkEnd w:id="223"/>
    </w:p>
    <w:p w14:paraId="0FD6D516">
      <w:pPr>
        <w:pStyle w:val="16"/>
        <w:bidi w:val="0"/>
        <w:rPr>
          <w:rFonts w:hint="default" w:ascii="Times New Roman" w:hAnsi="Times New Roman" w:cs="Times New Roman"/>
          <w:color w:val="auto"/>
        </w:rPr>
      </w:pPr>
      <w:r>
        <w:rPr>
          <w:rFonts w:hint="default" w:ascii="Times New Roman" w:hAnsi="Times New Roman" w:cs="Times New Roman"/>
          <w:color w:val="auto"/>
        </w:rPr>
        <w:t>本项目作为规模化畜禽养殖项目，符合国家产业政策要求，符合地方规划及环境功能区划要求。本项目符合《畜禽养殖业污染治理工程技术规范》（HJ497-2009）及《畜禽养殖业污染防治技术规范》（HJ/T81-2001）的有关要求</w:t>
      </w:r>
      <w:r>
        <w:rPr>
          <w:rFonts w:hint="default" w:ascii="Times New Roman" w:hAnsi="Times New Roman" w:cs="Times New Roman"/>
          <w:color w:val="auto"/>
          <w:lang w:eastAsia="zh-CN"/>
        </w:rPr>
        <w:t>，</w:t>
      </w:r>
      <w:r>
        <w:rPr>
          <w:rFonts w:hint="default" w:ascii="Times New Roman" w:hAnsi="Times New Roman" w:cs="Times New Roman"/>
          <w:color w:val="auto"/>
        </w:rPr>
        <w:t>严格落实设计和环评报告提出的污染防治措施和环境保护措施，并加强环保设施的运行维护和管理，保证各种环保设施的正常运行和污染物长期稳定达标排放，严格实施风险防范措施的前提下，从环境保护的角度出发，项目建设是可行的。</w:t>
      </w:r>
    </w:p>
    <w:p w14:paraId="22869FC4">
      <w:pPr>
        <w:pStyle w:val="3"/>
        <w:bidi w:val="0"/>
        <w:rPr>
          <w:rFonts w:hint="default" w:ascii="Times New Roman" w:hAnsi="Times New Roman" w:cs="Times New Roman"/>
          <w:color w:val="auto"/>
          <w:lang w:val="en-US" w:eastAsia="zh-CN"/>
        </w:rPr>
      </w:pPr>
      <w:bookmarkStart w:id="224" w:name="_TOC_250000"/>
      <w:bookmarkEnd w:id="224"/>
      <w:bookmarkStart w:id="225" w:name="_Toc13168"/>
      <w:bookmarkStart w:id="226" w:name="_Toc2995"/>
      <w:r>
        <w:rPr>
          <w:rFonts w:hint="default" w:ascii="Times New Roman" w:hAnsi="Times New Roman" w:cs="Times New Roman"/>
          <w:color w:val="auto"/>
          <w:lang w:val="en-US" w:eastAsia="zh-CN"/>
        </w:rPr>
        <w:t>要求与建议</w:t>
      </w:r>
      <w:bookmarkEnd w:id="225"/>
      <w:bookmarkEnd w:id="226"/>
    </w:p>
    <w:p w14:paraId="33810CDD">
      <w:pPr>
        <w:pStyle w:val="16"/>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1</w:t>
      </w:r>
      <w:r>
        <w:rPr>
          <w:rFonts w:hint="default" w:ascii="Times New Roman" w:hAnsi="Times New Roman" w:cs="Times New Roman"/>
          <w:color w:val="auto"/>
        </w:rPr>
        <w:t>）企业在生产过程中加强环境管理，落实各项环保措施和设施，严格按照本次环评报告中提出的污染防治措施进行污染物的治理和监测，确保污染处理设施的正常运行。</w:t>
      </w:r>
    </w:p>
    <w:p w14:paraId="101FAFC9">
      <w:pPr>
        <w:pStyle w:val="16"/>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2</w:t>
      </w:r>
      <w:r>
        <w:rPr>
          <w:rFonts w:hint="default" w:ascii="Times New Roman" w:hAnsi="Times New Roman" w:cs="Times New Roman"/>
          <w:color w:val="auto"/>
        </w:rPr>
        <w:t>）加强防疫工作，防止发生疫情对周围生态环境造成影响。</w:t>
      </w:r>
    </w:p>
    <w:p w14:paraId="19314859">
      <w:pPr>
        <w:pStyle w:val="16"/>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3</w:t>
      </w:r>
      <w:r>
        <w:rPr>
          <w:rFonts w:hint="default" w:ascii="Times New Roman" w:hAnsi="Times New Roman" w:cs="Times New Roman"/>
          <w:color w:val="auto"/>
        </w:rPr>
        <w:t>）选用先进的设备，落实节能措施，把污染控制从原先的末端治理向全过程转移和延伸。</w:t>
      </w:r>
    </w:p>
    <w:p w14:paraId="4561DD02">
      <w:pPr>
        <w:pStyle w:val="16"/>
        <w:bidi w:val="0"/>
        <w:rPr>
          <w:rFonts w:hint="default" w:ascii="Times New Roman" w:hAnsi="Times New Roman" w:cs="Times New Roman"/>
          <w:color w:val="auto"/>
          <w:highlight w:val="none"/>
          <w:lang w:eastAsia="zh-CN"/>
        </w:rPr>
      </w:pPr>
      <w:r>
        <w:rPr>
          <w:rFonts w:hint="default" w:ascii="Times New Roman" w:hAnsi="Times New Roman" w:cs="Times New Roman"/>
          <w:color w:val="auto"/>
        </w:rPr>
        <w:t>（</w:t>
      </w:r>
      <w:r>
        <w:rPr>
          <w:rFonts w:hint="default" w:ascii="Times New Roman" w:hAnsi="Times New Roman" w:cs="Times New Roman"/>
          <w:color w:val="auto"/>
          <w:lang w:val="en-US"/>
        </w:rPr>
        <w:t>4</w:t>
      </w:r>
      <w:r>
        <w:rPr>
          <w:rFonts w:hint="default" w:ascii="Times New Roman" w:hAnsi="Times New Roman" w:cs="Times New Roman"/>
          <w:color w:val="auto"/>
        </w:rPr>
        <w:t>）做好环境风险防范和应急及生态保护和绿化工作，加强日常环境管理工作，加强职工安全运营及环境保护教育，</w:t>
      </w:r>
      <w:r>
        <w:rPr>
          <w:rFonts w:hint="default" w:ascii="Times New Roman" w:hAnsi="Times New Roman" w:cs="Times New Roman"/>
          <w:color w:val="auto"/>
          <w:lang w:eastAsia="zh-CN"/>
        </w:rPr>
        <w:t>增强</w:t>
      </w:r>
      <w:r>
        <w:rPr>
          <w:rFonts w:hint="default" w:ascii="Times New Roman" w:hAnsi="Times New Roman" w:cs="Times New Roman"/>
          <w:color w:val="auto"/>
        </w:rPr>
        <w:t>职工安全和环保意识，严格管理。</w:t>
      </w:r>
    </w:p>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swiss"/>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Segoe UI">
    <w:panose1 w:val="020B0502040204020203"/>
    <w:charset w:val="00"/>
    <w:family w:val="auto"/>
    <w:pitch w:val="default"/>
    <w:sig w:usb0="E10022FF" w:usb1="C000E47F" w:usb2="00000029" w:usb3="00000000" w:csb0="200001DF" w:csb1="20000000"/>
  </w:font>
  <w:font w:name="等线">
    <w:altName w:val="Arial Unicode MS"/>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D1363">
    <w:pPr>
      <w:pStyle w:val="21"/>
      <w:pBdr>
        <w:top w:val="thinThickSmallGap" w:color="622423" w:sz="24" w:space="1"/>
      </w:pBdr>
      <w:jc w:val="center"/>
      <w:rPr>
        <w:rFonts w:hint="eastAsia" w:ascii="Cambria" w:hAnsi="Cambr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1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C3FF4D">
                          <w:pPr>
                            <w:pStyle w:val="21"/>
                            <w:pBdr>
                              <w:top w:val="thinThickSmallGap" w:color="622423" w:sz="24" w:space="1"/>
                            </w:pBdr>
                            <w:jc w:val="center"/>
                            <w:rPr>
                              <w:rFonts w:hint="eastAsia" w:eastAsia="宋体"/>
                              <w:lang w:eastAsia="zh-CN"/>
                            </w:rPr>
                          </w:pPr>
                        </w:p>
                      </w:txbxContent>
                    </wps:txbx>
                    <wps:bodyPr vert="horz" wrap="none" lIns="0" tIns="0" rIns="0" bIns="0" anchor="t" anchorCtr="0" upright="0">
                      <a:spAutoFit/>
                    </wps:bodyPr>
                  </wps:wsp>
                </a:graphicData>
              </a:graphic>
            </wp:anchor>
          </w:drawing>
        </mc:Choice>
        <mc:Fallback>
          <w:pict>
            <v:shape id="文本框 110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qYy3vgAQAAwgMAAA4AAAAA&#10;AAAAAQAgAAAAHgEAAGRycy9lMm9Eb2MueG1sUEsFBgAAAAAGAAYAWQEAAHAFAAAAAA==&#10;">
              <v:fill on="f" focussize="0,0"/>
              <v:stroke on="f"/>
              <v:imagedata o:title=""/>
              <o:lock v:ext="edit" aspectratio="f"/>
              <v:textbox inset="0mm,0mm,0mm,0mm" style="mso-fit-shape-to-text:t;">
                <w:txbxContent>
                  <w:p w14:paraId="1BC3FF4D">
                    <w:pPr>
                      <w:pStyle w:val="21"/>
                      <w:pBdr>
                        <w:top w:val="thinThickSmallGap" w:color="622423" w:sz="24" w:space="1"/>
                      </w:pBdr>
                      <w:jc w:val="center"/>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64E32">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4FB27">
    <w:pPr>
      <w:pStyle w:val="21"/>
      <w:pBdr>
        <w:top w:val="thinThickSmallGap" w:color="622423" w:sz="24" w:space="1"/>
      </w:pBdr>
      <w:jc w:val="center"/>
      <w:rPr>
        <w:rFonts w:hint="eastAsia" w:ascii="Cambria" w:hAnsi="Cambria"/>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20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1613E9">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6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jPhl34QEAAMIDAAAOAAAA&#10;AAAAAAEAIAAAAB4BAABkcnMvZTJvRG9jLnhtbFBLBQYAAAAABgAGAFkBAABxBQAAAAA=&#10;">
              <v:fill on="f" focussize="0,0"/>
              <v:stroke on="f"/>
              <v:imagedata o:title=""/>
              <o:lock v:ext="edit" aspectratio="f"/>
              <v:textbox inset="0mm,0mm,0mm,0mm" style="mso-fit-shape-to-text:t;">
                <w:txbxContent>
                  <w:p w14:paraId="7E1613E9">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EF4E0">
    <w:pPr>
      <w:pStyle w:val="21"/>
      <w:pBdr>
        <w:top w:val="thinThickSmallGap" w:color="622423" w:sz="24" w:space="1"/>
      </w:pBdr>
      <w:jc w:val="center"/>
      <w:rPr>
        <w:rFonts w:hint="eastAsia" w:ascii="Cambria" w:hAnsi="Cambria"/>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17EEC">
    <w:pPr>
      <w:pStyle w:val="21"/>
      <w:pBdr>
        <w:top w:val="thinThickSmallGap" w:color="622423" w:sz="24" w:space="1"/>
      </w:pBdr>
      <w:jc w:val="center"/>
      <w:rPr>
        <w:rFonts w:hint="eastAsia" w:ascii="Cambria" w:hAnsi="Cambr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posOffset>2297430</wp:posOffset>
              </wp:positionH>
              <wp:positionV relativeFrom="paragraph">
                <wp:posOffset>0</wp:posOffset>
              </wp:positionV>
              <wp:extent cx="1254125" cy="201295"/>
              <wp:effectExtent l="0" t="0" r="0" b="0"/>
              <wp:wrapNone/>
              <wp:docPr id="84" name="文本框 2061"/>
              <wp:cNvGraphicFramePr/>
              <a:graphic xmlns:a="http://schemas.openxmlformats.org/drawingml/2006/main">
                <a:graphicData uri="http://schemas.microsoft.com/office/word/2010/wordprocessingShape">
                  <wps:wsp>
                    <wps:cNvSpPr txBox="1"/>
                    <wps:spPr>
                      <a:xfrm>
                        <a:off x="0" y="0"/>
                        <a:ext cx="1254125" cy="201295"/>
                      </a:xfrm>
                      <a:prstGeom prst="rect">
                        <a:avLst/>
                      </a:prstGeom>
                      <a:noFill/>
                      <a:ln>
                        <a:noFill/>
                      </a:ln>
                    </wps:spPr>
                    <wps:txbx>
                      <w:txbxContent>
                        <w:p w14:paraId="576F9E83">
                          <w:pPr>
                            <w:pStyle w:val="21"/>
                          </w:pPr>
                          <w:r>
                            <w:t>第</w:t>
                          </w:r>
                          <w:r>
                            <w:fldChar w:fldCharType="begin"/>
                          </w:r>
                          <w:r>
                            <w:instrText xml:space="preserve"> PAGE  \* MERGEFORMAT </w:instrText>
                          </w:r>
                          <w:r>
                            <w:fldChar w:fldCharType="separate"/>
                          </w:r>
                          <w:r>
                            <w:t>2</w:t>
                          </w:r>
                          <w:r>
                            <w:fldChar w:fldCharType="end"/>
                          </w:r>
                          <w:r>
                            <w:t>页共</w:t>
                          </w:r>
                          <w:r>
                            <w:fldChar w:fldCharType="begin"/>
                          </w:r>
                          <w:r>
                            <w:instrText xml:space="preserve"> NUMPAGES  \* MERGEFORMAT </w:instrText>
                          </w:r>
                          <w:r>
                            <w:fldChar w:fldCharType="separate"/>
                          </w:r>
                          <w:r>
                            <w:t>187</w:t>
                          </w:r>
                          <w:r>
                            <w:fldChar w:fldCharType="end"/>
                          </w:r>
                          <w:r>
                            <w:t>页</w:t>
                          </w:r>
                        </w:p>
                      </w:txbxContent>
                    </wps:txbx>
                    <wps:bodyPr vert="horz" wrap="square" lIns="0" tIns="0" rIns="0" bIns="0" anchor="t" anchorCtr="0" upright="0"/>
                  </wps:wsp>
                </a:graphicData>
              </a:graphic>
            </wp:anchor>
          </w:drawing>
        </mc:Choice>
        <mc:Fallback>
          <w:pict>
            <v:shape id="文本框 2061" o:spid="_x0000_s1026" o:spt="202" type="#_x0000_t202" style="position:absolute;left:0pt;margin-left:180.9pt;margin-top:0pt;height:15.85pt;width:98.75pt;mso-position-horizontal-relative:margin;z-index:251661312;mso-width-relative:page;mso-height-relative:page;" filled="f" stroked="f" coordsize="21600,21600" o:gfxdata="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O9HpdYAAAAHAQAADwAAAAAA&#10;AAABACAAAAAiAAAAZHJzL2Rvd25yZXYueG1sUEsBAhQAFAAAAAgAh07iQCXLmLrcAQAAqQMAAA4A&#10;AAAAAAAAAQAgAAAAJQEAAGRycy9lMm9Eb2MueG1sUEsFBgAAAAAGAAYAWQEAAHMFAAAAAA==&#10;">
              <v:fill on="f" focussize="0,0"/>
              <v:stroke on="f"/>
              <v:imagedata o:title=""/>
              <o:lock v:ext="edit" aspectratio="f"/>
              <v:textbox inset="0mm,0mm,0mm,0mm">
                <w:txbxContent>
                  <w:p w14:paraId="576F9E83">
                    <w:pPr>
                      <w:pStyle w:val="21"/>
                    </w:pPr>
                    <w:r>
                      <w:t>第</w:t>
                    </w:r>
                    <w:r>
                      <w:fldChar w:fldCharType="begin"/>
                    </w:r>
                    <w:r>
                      <w:instrText xml:space="preserve"> PAGE  \* MERGEFORMAT </w:instrText>
                    </w:r>
                    <w:r>
                      <w:fldChar w:fldCharType="separate"/>
                    </w:r>
                    <w:r>
                      <w:t>2</w:t>
                    </w:r>
                    <w:r>
                      <w:fldChar w:fldCharType="end"/>
                    </w:r>
                    <w:r>
                      <w:t>页共</w:t>
                    </w:r>
                    <w:r>
                      <w:fldChar w:fldCharType="begin"/>
                    </w:r>
                    <w:r>
                      <w:instrText xml:space="preserve"> NUMPAGES  \* MERGEFORMAT </w:instrText>
                    </w:r>
                    <w:r>
                      <w:fldChar w:fldCharType="separate"/>
                    </w:r>
                    <w:r>
                      <w:t>187</w:t>
                    </w:r>
                    <w:r>
                      <w:fldChar w:fldCharType="end"/>
                    </w:r>
                    <w: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1062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2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DB28F9">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34</w:t>
                          </w:r>
                          <w:r>
                            <w:rPr>
                              <w:rFonts w:hint="eastAsia"/>
                            </w:rPr>
                            <w:fldChar w:fldCharType="end"/>
                          </w:r>
                        </w:p>
                      </w:txbxContent>
                    </wps:txbx>
                    <wps:bodyPr wrap="none" lIns="0" tIns="0" rIns="0" bIns="0" upright="0">
                      <a:spAutoFit/>
                    </wps:bodyPr>
                  </wps:wsp>
                </a:graphicData>
              </a:graphic>
            </wp:anchor>
          </w:drawing>
        </mc:Choice>
        <mc:Fallback>
          <w:pict>
            <v:shape id="文本框 207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upaBEzAEAAJ0DAAAOAAAAAAAAAAEAIAAAAB4BAABkcnMvZTJv&#10;RG9jLnhtbFBLBQYAAAAABgAGAFkBAABcBQAAAAA=&#10;">
              <v:fill on="f" focussize="0,0"/>
              <v:stroke on="f"/>
              <v:imagedata o:title=""/>
              <o:lock v:ext="edit" aspectratio="f"/>
              <v:textbox inset="0mm,0mm,0mm,0mm" style="mso-fit-shape-to-text:t;">
                <w:txbxContent>
                  <w:p w14:paraId="1FDB28F9">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34</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F75C7">
    <w:pPr>
      <w:pStyle w:val="21"/>
      <w:pBdr>
        <w:top w:val="thinThickSmallGap" w:color="622423" w:sz="24" w:space="1"/>
      </w:pBdr>
      <w:jc w:val="center"/>
      <w:rPr>
        <w:rFonts w:ascii="Cambria" w:hAnsi="Cambr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033145" cy="1828800"/>
              <wp:effectExtent l="0" t="0" r="0" b="0"/>
              <wp:wrapNone/>
              <wp:docPr id="88" name="文本框 2065"/>
              <wp:cNvGraphicFramePr/>
              <a:graphic xmlns:a="http://schemas.openxmlformats.org/drawingml/2006/main">
                <a:graphicData uri="http://schemas.microsoft.com/office/word/2010/wordprocessingShape">
                  <wps:wsp>
                    <wps:cNvSpPr txBox="1"/>
                    <wps:spPr>
                      <a:xfrm>
                        <a:off x="0" y="0"/>
                        <a:ext cx="1033145" cy="1828800"/>
                      </a:xfrm>
                      <a:prstGeom prst="rect">
                        <a:avLst/>
                      </a:prstGeom>
                      <a:noFill/>
                      <a:ln>
                        <a:noFill/>
                      </a:ln>
                    </wps:spPr>
                    <wps:txbx>
                      <w:txbxContent>
                        <w:p w14:paraId="27025FDA">
                          <w:pPr>
                            <w:pStyle w:val="21"/>
                          </w:pPr>
                          <w:r>
                            <w:t>第</w:t>
                          </w:r>
                          <w:r>
                            <w:fldChar w:fldCharType="begin"/>
                          </w:r>
                          <w:r>
                            <w:instrText xml:space="preserve"> PAGE  \* MERGEFORMAT </w:instrText>
                          </w:r>
                          <w:r>
                            <w:fldChar w:fldCharType="separate"/>
                          </w:r>
                          <w:r>
                            <w:t>63</w:t>
                          </w:r>
                          <w:r>
                            <w:fldChar w:fldCharType="end"/>
                          </w:r>
                          <w:r>
                            <w:t>页共</w:t>
                          </w:r>
                          <w:r>
                            <w:fldChar w:fldCharType="begin"/>
                          </w:r>
                          <w:r>
                            <w:instrText xml:space="preserve"> NUMPAGES  \* MERGEFORMAT </w:instrText>
                          </w:r>
                          <w:r>
                            <w:fldChar w:fldCharType="separate"/>
                          </w:r>
                          <w:r>
                            <w:t>187</w:t>
                          </w:r>
                          <w:r>
                            <w:fldChar w:fldCharType="end"/>
                          </w:r>
                          <w:r>
                            <w:t>页</w:t>
                          </w:r>
                        </w:p>
                      </w:txbxContent>
                    </wps:txbx>
                    <wps:bodyPr wrap="square" lIns="0" tIns="0" rIns="0" bIns="0" upright="0">
                      <a:spAutoFit/>
                    </wps:bodyPr>
                  </wps:wsp>
                </a:graphicData>
              </a:graphic>
            </wp:anchor>
          </w:drawing>
        </mc:Choice>
        <mc:Fallback>
          <w:pict>
            <v:shape id="文本框 2065" o:spid="_x0000_s1026" o:spt="202" type="#_x0000_t202" style="position:absolute;left:0pt;margin-top:0pt;height:144pt;width:81.35pt;mso-position-horizontal:center;mso-position-horizontal-relative:margin;z-index:251665408;mso-width-relative:page;mso-height-relative:page;" filled="f" stroked="f" coordsize="21600,21600" o:gfxdata="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yPkw/0wAAAAUBAAAPAAAAAAAAAAEAIAAAACIA&#10;AABkcnMvZG93bnJldi54bWxQSwECFAAUAAAACACHTuJAKPgU59UBAACfAwAADgAAAAAAAAABACAA&#10;AAAiAQAAZHJzL2Uyb0RvYy54bWxQSwUGAAAAAAYABgBZAQAAaQUAAAAA&#10;">
              <v:fill on="f" focussize="0,0"/>
              <v:stroke on="f"/>
              <v:imagedata o:title=""/>
              <o:lock v:ext="edit" aspectratio="f"/>
              <v:textbox inset="0mm,0mm,0mm,0mm" style="mso-fit-shape-to-text:t;">
                <w:txbxContent>
                  <w:p w14:paraId="27025FDA">
                    <w:pPr>
                      <w:pStyle w:val="21"/>
                    </w:pPr>
                    <w:r>
                      <w:t>第</w:t>
                    </w:r>
                    <w:r>
                      <w:fldChar w:fldCharType="begin"/>
                    </w:r>
                    <w:r>
                      <w:instrText xml:space="preserve"> PAGE  \* MERGEFORMAT </w:instrText>
                    </w:r>
                    <w:r>
                      <w:fldChar w:fldCharType="separate"/>
                    </w:r>
                    <w:r>
                      <w:t>63</w:t>
                    </w:r>
                    <w:r>
                      <w:fldChar w:fldCharType="end"/>
                    </w:r>
                    <w:r>
                      <w:t>页共</w:t>
                    </w:r>
                    <w:r>
                      <w:fldChar w:fldCharType="begin"/>
                    </w:r>
                    <w:r>
                      <w:instrText xml:space="preserve"> NUMPAGES  \* MERGEFORMAT </w:instrText>
                    </w:r>
                    <w:r>
                      <w:fldChar w:fldCharType="separate"/>
                    </w:r>
                    <w:r>
                      <w:t>187</w:t>
                    </w:r>
                    <w:r>
                      <w:fldChar w:fldCharType="end"/>
                    </w:r>
                    <w:r>
                      <w:t>页</w:t>
                    </w:r>
                  </w:p>
                </w:txbxContent>
              </v:textbox>
            </v:shape>
          </w:pict>
        </mc:Fallback>
      </mc:AlternateContent>
    </w:r>
  </w:p>
  <w:p w14:paraId="22475104">
    <w:pPr>
      <w:pStyle w:val="16"/>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16DA5">
    <w:pPr>
      <w:pStyle w:val="21"/>
      <w:pBdr>
        <w:top w:val="thinThickSmallGap" w:color="622423" w:sz="24" w:space="1"/>
      </w:pBdr>
      <w:jc w:val="center"/>
      <w:rPr>
        <w:rFonts w:ascii="Cambria" w:hAnsi="Cambr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033145" cy="1828800"/>
              <wp:effectExtent l="0" t="0" r="0" b="0"/>
              <wp:wrapNone/>
              <wp:docPr id="85" name="文本框 2062"/>
              <wp:cNvGraphicFramePr/>
              <a:graphic xmlns:a="http://schemas.openxmlformats.org/drawingml/2006/main">
                <a:graphicData uri="http://schemas.microsoft.com/office/word/2010/wordprocessingShape">
                  <wps:wsp>
                    <wps:cNvSpPr txBox="1"/>
                    <wps:spPr>
                      <a:xfrm>
                        <a:off x="0" y="0"/>
                        <a:ext cx="1033145" cy="1828800"/>
                      </a:xfrm>
                      <a:prstGeom prst="rect">
                        <a:avLst/>
                      </a:prstGeom>
                      <a:noFill/>
                      <a:ln>
                        <a:noFill/>
                      </a:ln>
                    </wps:spPr>
                    <wps:txbx>
                      <w:txbxContent>
                        <w:p w14:paraId="63B18B0A">
                          <w:pPr>
                            <w:pStyle w:val="21"/>
                          </w:pPr>
                          <w:r>
                            <w:t>第</w:t>
                          </w:r>
                          <w:r>
                            <w:fldChar w:fldCharType="begin"/>
                          </w:r>
                          <w:r>
                            <w:instrText xml:space="preserve"> PAGE  \* MERGEFORMAT </w:instrText>
                          </w:r>
                          <w:r>
                            <w:fldChar w:fldCharType="separate"/>
                          </w:r>
                          <w:r>
                            <w:t>63</w:t>
                          </w:r>
                          <w:r>
                            <w:fldChar w:fldCharType="end"/>
                          </w:r>
                          <w:r>
                            <w:t>页共</w:t>
                          </w:r>
                          <w:r>
                            <w:fldChar w:fldCharType="begin"/>
                          </w:r>
                          <w:r>
                            <w:instrText xml:space="preserve"> NUMPAGES  \* MERGEFORMAT </w:instrText>
                          </w:r>
                          <w:r>
                            <w:fldChar w:fldCharType="separate"/>
                          </w:r>
                          <w:r>
                            <w:t>187</w:t>
                          </w:r>
                          <w:r>
                            <w:fldChar w:fldCharType="end"/>
                          </w:r>
                          <w:r>
                            <w:t>页</w:t>
                          </w:r>
                        </w:p>
                      </w:txbxContent>
                    </wps:txbx>
                    <wps:bodyPr vert="horz" wrap="square" lIns="0" tIns="0" rIns="0" bIns="0" anchor="t" anchorCtr="0" upright="0">
                      <a:spAutoFit/>
                    </wps:bodyPr>
                  </wps:wsp>
                </a:graphicData>
              </a:graphic>
            </wp:anchor>
          </w:drawing>
        </mc:Choice>
        <mc:Fallback>
          <w:pict>
            <v:shape id="文本框 2062" o:spid="_x0000_s1026" o:spt="202" type="#_x0000_t202" style="position:absolute;left:0pt;margin-top:0pt;height:144pt;width:81.35pt;mso-position-horizontal:center;mso-position-horizontal-relative:margin;z-index:251662336;mso-width-relative:page;mso-height-relative:page;" filled="f" stroked="f" coordsize="21600,21600" o:gfxdata="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I+TD/TAAAA&#10;BQEAAA8AAAAAAAAAAQAgAAAAIgAAAGRycy9kb3ducmV2LnhtbFBLAQIUABQAAAAIAIdO4kA9Ixjm&#10;6QEAAMQDAAAOAAAAAAAAAAEAIAAAACIBAABkcnMvZTJvRG9jLnhtbFBLBQYAAAAABgAGAFkBAAB9&#10;BQAAAAA=&#10;">
              <v:fill on="f" focussize="0,0"/>
              <v:stroke on="f"/>
              <v:imagedata o:title=""/>
              <o:lock v:ext="edit" aspectratio="f"/>
              <v:textbox inset="0mm,0mm,0mm,0mm" style="mso-fit-shape-to-text:t;">
                <w:txbxContent>
                  <w:p w14:paraId="63B18B0A">
                    <w:pPr>
                      <w:pStyle w:val="21"/>
                    </w:pPr>
                    <w:r>
                      <w:t>第</w:t>
                    </w:r>
                    <w:r>
                      <w:fldChar w:fldCharType="begin"/>
                    </w:r>
                    <w:r>
                      <w:instrText xml:space="preserve"> PAGE  \* MERGEFORMAT </w:instrText>
                    </w:r>
                    <w:r>
                      <w:fldChar w:fldCharType="separate"/>
                    </w:r>
                    <w:r>
                      <w:t>63</w:t>
                    </w:r>
                    <w:r>
                      <w:fldChar w:fldCharType="end"/>
                    </w:r>
                    <w:r>
                      <w:t>页共</w:t>
                    </w:r>
                    <w:r>
                      <w:fldChar w:fldCharType="begin"/>
                    </w:r>
                    <w:r>
                      <w:instrText xml:space="preserve"> NUMPAGES  \* MERGEFORMAT </w:instrText>
                    </w:r>
                    <w:r>
                      <w:fldChar w:fldCharType="separate"/>
                    </w:r>
                    <w:r>
                      <w:t>187</w:t>
                    </w:r>
                    <w:r>
                      <w:fldChar w:fldCharType="end"/>
                    </w:r>
                    <w:r>
                      <w:t>页</w:t>
                    </w:r>
                  </w:p>
                </w:txbxContent>
              </v:textbox>
            </v:shape>
          </w:pict>
        </mc:Fallback>
      </mc:AlternateContent>
    </w:r>
  </w:p>
  <w:p w14:paraId="5EB07F17">
    <w:pPr>
      <w:pStyle w:val="16"/>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87772">
    <w:pPr>
      <w:pStyle w:val="21"/>
      <w:pBdr>
        <w:top w:val="thinThickSmallGap" w:color="622423" w:sz="24" w:space="1"/>
      </w:pBdr>
      <w:jc w:val="center"/>
      <w:rPr>
        <w:rFonts w:ascii="Cambria" w:hAnsi="Cambr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20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EC0EE">
                          <w:pPr>
                            <w:pStyle w:val="21"/>
                          </w:pPr>
                          <w:r>
                            <w:t>第</w:t>
                          </w:r>
                          <w:r>
                            <w:fldChar w:fldCharType="begin"/>
                          </w:r>
                          <w:r>
                            <w:instrText xml:space="preserve"> PAGE  \* MERGEFORMAT </w:instrText>
                          </w:r>
                          <w:r>
                            <w:fldChar w:fldCharType="separate"/>
                          </w:r>
                          <w:r>
                            <w:t>146</w:t>
                          </w:r>
                          <w:r>
                            <w:fldChar w:fldCharType="end"/>
                          </w:r>
                          <w:r>
                            <w:t>页共</w:t>
                          </w:r>
                          <w:r>
                            <w:fldChar w:fldCharType="begin"/>
                          </w:r>
                          <w:r>
                            <w:instrText xml:space="preserve"> NUMPAGES  \* MERGEFORMAT </w:instrText>
                          </w:r>
                          <w:r>
                            <w:fldChar w:fldCharType="separate"/>
                          </w:r>
                          <w:r>
                            <w:t>187</w:t>
                          </w:r>
                          <w:r>
                            <w:fldChar w:fldCharType="end"/>
                          </w:r>
                          <w:r>
                            <w:t>页</w:t>
                          </w:r>
                        </w:p>
                      </w:txbxContent>
                    </wps:txbx>
                    <wps:bodyPr vert="horz" wrap="none" lIns="0" tIns="0" rIns="0" bIns="0" anchor="t" anchorCtr="0" upright="0">
                      <a:spAutoFit/>
                    </wps:bodyPr>
                  </wps:wsp>
                </a:graphicData>
              </a:graphic>
            </wp:anchor>
          </w:drawing>
        </mc:Choice>
        <mc:Fallback>
          <w:pict>
            <v:shape id="文本框 206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HlQmF4QEAAMIDAAAOAAAA&#10;AAAAAAEAIAAAAB4BAABkcnMvZTJvRG9jLnhtbFBLBQYAAAAABgAGAFkBAABxBQAAAAA=&#10;">
              <v:fill on="f" focussize="0,0"/>
              <v:stroke on="f"/>
              <v:imagedata o:title=""/>
              <o:lock v:ext="edit" aspectratio="f"/>
              <v:textbox inset="0mm,0mm,0mm,0mm" style="mso-fit-shape-to-text:t;">
                <w:txbxContent>
                  <w:p w14:paraId="7E3EC0EE">
                    <w:pPr>
                      <w:pStyle w:val="21"/>
                    </w:pPr>
                    <w:r>
                      <w:t>第</w:t>
                    </w:r>
                    <w:r>
                      <w:fldChar w:fldCharType="begin"/>
                    </w:r>
                    <w:r>
                      <w:instrText xml:space="preserve"> PAGE  \* MERGEFORMAT </w:instrText>
                    </w:r>
                    <w:r>
                      <w:fldChar w:fldCharType="separate"/>
                    </w:r>
                    <w:r>
                      <w:t>146</w:t>
                    </w:r>
                    <w:r>
                      <w:fldChar w:fldCharType="end"/>
                    </w:r>
                    <w:r>
                      <w:t>页共</w:t>
                    </w:r>
                    <w:r>
                      <w:fldChar w:fldCharType="begin"/>
                    </w:r>
                    <w:r>
                      <w:instrText xml:space="preserve"> NUMPAGES  \* MERGEFORMAT </w:instrText>
                    </w:r>
                    <w:r>
                      <w:fldChar w:fldCharType="separate"/>
                    </w:r>
                    <w:r>
                      <w:t>187</w:t>
                    </w:r>
                    <w:r>
                      <w:fldChar w:fldCharType="end"/>
                    </w:r>
                    <w:r>
                      <w:t>页</w:t>
                    </w:r>
                  </w:p>
                </w:txbxContent>
              </v:textbox>
            </v:shape>
          </w:pict>
        </mc:Fallback>
      </mc:AlternateContent>
    </w:r>
  </w:p>
  <w:p w14:paraId="4FE2E27B">
    <w:pPr>
      <w:pStyle w:val="16"/>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64ADF">
    <w:pPr>
      <w:pStyle w:val="22"/>
      <w:pBdr>
        <w:bottom w:val="thinThickSmallGap" w:color="auto" w:sz="12" w:space="0"/>
      </w:pBdr>
      <w:jc w:val="center"/>
      <w:rPr>
        <w:b/>
        <w:bCs/>
        <w:sz w:val="21"/>
        <w:szCs w:val="21"/>
      </w:rPr>
    </w:pPr>
    <w:r>
      <w:rPr>
        <w:rFonts w:hint="eastAsia" w:ascii="宋体" w:hAnsi="宋体" w:eastAsia="宋体" w:cs="宋体"/>
        <w:b/>
        <w:bCs/>
        <w:i w:val="0"/>
        <w:iCs w:val="0"/>
        <w:caps w:val="0"/>
        <w:color w:val="000000"/>
        <w:spacing w:val="15"/>
        <w:sz w:val="21"/>
        <w:szCs w:val="21"/>
        <w:shd w:val="clear" w:color="auto" w:fill="FFFFFF"/>
        <w:lang w:eastAsia="zh-CN"/>
      </w:rPr>
      <w:t>全智能数字化蛋鸡养殖科技园区</w:t>
    </w:r>
    <w:r>
      <w:rPr>
        <w:rFonts w:hint="eastAsia" w:ascii="宋体" w:hAnsi="宋体" w:eastAsia="宋体" w:cs="宋体"/>
        <w:b/>
        <w:bCs/>
        <w:i w:val="0"/>
        <w:iCs w:val="0"/>
        <w:caps w:val="0"/>
        <w:color w:val="000000"/>
        <w:spacing w:val="15"/>
        <w:sz w:val="21"/>
        <w:szCs w:val="21"/>
        <w:shd w:val="clear" w:color="auto" w:fill="FFFFFF"/>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44C98">
    <w:pPr>
      <w:pStyle w:val="22"/>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A0991"/>
    <w:multiLevelType w:val="singleLevel"/>
    <w:tmpl w:val="8DCA0991"/>
    <w:lvl w:ilvl="0" w:tentative="0">
      <w:start w:val="2"/>
      <w:numFmt w:val="decimal"/>
      <w:suff w:val="nothing"/>
      <w:lvlText w:val="（%1）"/>
      <w:lvlJc w:val="left"/>
      <w:pPr>
        <w:ind w:left="-40"/>
      </w:pPr>
    </w:lvl>
  </w:abstractNum>
  <w:abstractNum w:abstractNumId="1">
    <w:nsid w:val="B15957AB"/>
    <w:multiLevelType w:val="singleLevel"/>
    <w:tmpl w:val="B15957AB"/>
    <w:lvl w:ilvl="0" w:tentative="0">
      <w:start w:val="3"/>
      <w:numFmt w:val="decimal"/>
      <w:suff w:val="nothing"/>
      <w:lvlText w:val="（%1）"/>
      <w:lvlJc w:val="left"/>
    </w:lvl>
  </w:abstractNum>
  <w:abstractNum w:abstractNumId="2">
    <w:nsid w:val="E5BBBCC5"/>
    <w:multiLevelType w:val="multilevel"/>
    <w:tmpl w:val="E5BBBCC5"/>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suff w:val="space"/>
      <w:lvlText w:val="%1.%2.%3.%4."/>
      <w:lvlJc w:val="left"/>
      <w:pPr>
        <w:tabs>
          <w:tab w:val="left" w:pos="0"/>
        </w:tabs>
        <w:ind w:left="0" w:firstLine="0"/>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
    <w:nsid w:val="FD17932C"/>
    <w:multiLevelType w:val="singleLevel"/>
    <w:tmpl w:val="FD17932C"/>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4">
    <w:nsid w:val="FF0A1771"/>
    <w:multiLevelType w:val="singleLevel"/>
    <w:tmpl w:val="FF0A1771"/>
    <w:lvl w:ilvl="0" w:tentative="0">
      <w:start w:val="1"/>
      <w:numFmt w:val="lowerLetter"/>
      <w:suff w:val="nothing"/>
      <w:lvlText w:val="%1）"/>
      <w:lvlJc w:val="left"/>
    </w:lvl>
  </w:abstractNum>
  <w:abstractNum w:abstractNumId="5">
    <w:nsid w:val="0709FD3E"/>
    <w:multiLevelType w:val="multilevel"/>
    <w:tmpl w:val="0709FD3E"/>
    <w:lvl w:ilvl="0" w:tentative="0">
      <w:start w:val="1"/>
      <w:numFmt w:val="decimal"/>
      <w:lvlText w:val="%1）"/>
      <w:lvlJc w:val="left"/>
      <w:pPr>
        <w:ind w:left="434" w:hanging="318"/>
      </w:pPr>
      <w:rPr>
        <w:rFonts w:hint="default" w:ascii="Times New Roman" w:hAnsi="Times New Roman" w:eastAsia="Times New Roman" w:cs="Times New Roman"/>
        <w:w w:val="100"/>
        <w:sz w:val="19"/>
        <w:szCs w:val="19"/>
        <w:lang w:val="zh-CN" w:eastAsia="zh-CN" w:bidi="zh-CN"/>
      </w:rPr>
    </w:lvl>
    <w:lvl w:ilvl="1" w:tentative="0">
      <w:start w:val="0"/>
      <w:numFmt w:val="bullet"/>
      <w:lvlText w:val="•"/>
      <w:lvlJc w:val="left"/>
      <w:pPr>
        <w:ind w:left="1034" w:hanging="318"/>
      </w:pPr>
      <w:rPr>
        <w:rFonts w:hint="default"/>
        <w:lang w:val="zh-CN" w:eastAsia="zh-CN" w:bidi="zh-CN"/>
      </w:rPr>
    </w:lvl>
    <w:lvl w:ilvl="2" w:tentative="0">
      <w:start w:val="0"/>
      <w:numFmt w:val="bullet"/>
      <w:lvlText w:val="•"/>
      <w:lvlJc w:val="left"/>
      <w:pPr>
        <w:ind w:left="1628" w:hanging="318"/>
      </w:pPr>
      <w:rPr>
        <w:rFonts w:hint="default"/>
        <w:lang w:val="zh-CN" w:eastAsia="zh-CN" w:bidi="zh-CN"/>
      </w:rPr>
    </w:lvl>
    <w:lvl w:ilvl="3" w:tentative="0">
      <w:start w:val="0"/>
      <w:numFmt w:val="bullet"/>
      <w:lvlText w:val="•"/>
      <w:lvlJc w:val="left"/>
      <w:pPr>
        <w:ind w:left="2222" w:hanging="318"/>
      </w:pPr>
      <w:rPr>
        <w:rFonts w:hint="default"/>
        <w:lang w:val="zh-CN" w:eastAsia="zh-CN" w:bidi="zh-CN"/>
      </w:rPr>
    </w:lvl>
    <w:lvl w:ilvl="4" w:tentative="0">
      <w:start w:val="0"/>
      <w:numFmt w:val="bullet"/>
      <w:lvlText w:val="•"/>
      <w:lvlJc w:val="left"/>
      <w:pPr>
        <w:ind w:left="2817" w:hanging="318"/>
      </w:pPr>
      <w:rPr>
        <w:rFonts w:hint="default"/>
        <w:lang w:val="zh-CN" w:eastAsia="zh-CN" w:bidi="zh-CN"/>
      </w:rPr>
    </w:lvl>
    <w:lvl w:ilvl="5" w:tentative="0">
      <w:start w:val="0"/>
      <w:numFmt w:val="bullet"/>
      <w:lvlText w:val="•"/>
      <w:lvlJc w:val="left"/>
      <w:pPr>
        <w:ind w:left="3411" w:hanging="318"/>
      </w:pPr>
      <w:rPr>
        <w:rFonts w:hint="default"/>
        <w:lang w:val="zh-CN" w:eastAsia="zh-CN" w:bidi="zh-CN"/>
      </w:rPr>
    </w:lvl>
    <w:lvl w:ilvl="6" w:tentative="0">
      <w:start w:val="0"/>
      <w:numFmt w:val="bullet"/>
      <w:lvlText w:val="•"/>
      <w:lvlJc w:val="left"/>
      <w:pPr>
        <w:ind w:left="4005" w:hanging="318"/>
      </w:pPr>
      <w:rPr>
        <w:rFonts w:hint="default"/>
        <w:lang w:val="zh-CN" w:eastAsia="zh-CN" w:bidi="zh-CN"/>
      </w:rPr>
    </w:lvl>
    <w:lvl w:ilvl="7" w:tentative="0">
      <w:start w:val="0"/>
      <w:numFmt w:val="bullet"/>
      <w:lvlText w:val="•"/>
      <w:lvlJc w:val="left"/>
      <w:pPr>
        <w:ind w:left="4600" w:hanging="318"/>
      </w:pPr>
      <w:rPr>
        <w:rFonts w:hint="default"/>
        <w:lang w:val="zh-CN" w:eastAsia="zh-CN" w:bidi="zh-CN"/>
      </w:rPr>
    </w:lvl>
    <w:lvl w:ilvl="8" w:tentative="0">
      <w:start w:val="0"/>
      <w:numFmt w:val="bullet"/>
      <w:lvlText w:val="•"/>
      <w:lvlJc w:val="left"/>
      <w:pPr>
        <w:ind w:left="5194" w:hanging="318"/>
      </w:pPr>
      <w:rPr>
        <w:rFonts w:hint="default"/>
        <w:lang w:val="zh-CN" w:eastAsia="zh-CN" w:bidi="zh-CN"/>
      </w:rPr>
    </w:lvl>
  </w:abstractNum>
  <w:abstractNum w:abstractNumId="6">
    <w:nsid w:val="0CEF100B"/>
    <w:multiLevelType w:val="multilevel"/>
    <w:tmpl w:val="0CEF100B"/>
    <w:lvl w:ilvl="0" w:tentative="0">
      <w:start w:val="7"/>
      <w:numFmt w:val="decimal"/>
      <w:lvlText w:val="%1）"/>
      <w:lvlJc w:val="left"/>
      <w:pPr>
        <w:ind w:left="117" w:hanging="318"/>
      </w:pPr>
      <w:rPr>
        <w:rFonts w:hint="default" w:ascii="Times New Roman" w:hAnsi="Times New Roman" w:eastAsia="Times New Roman" w:cs="Times New Roman"/>
        <w:spacing w:val="-10"/>
        <w:w w:val="100"/>
        <w:sz w:val="19"/>
        <w:szCs w:val="19"/>
        <w:lang w:val="zh-CN" w:eastAsia="zh-CN" w:bidi="zh-CN"/>
      </w:rPr>
    </w:lvl>
    <w:lvl w:ilvl="1" w:tentative="0">
      <w:start w:val="0"/>
      <w:numFmt w:val="bullet"/>
      <w:lvlText w:val="•"/>
      <w:lvlJc w:val="left"/>
      <w:pPr>
        <w:ind w:left="746" w:hanging="318"/>
      </w:pPr>
      <w:rPr>
        <w:rFonts w:hint="default"/>
        <w:lang w:val="zh-CN" w:eastAsia="zh-CN" w:bidi="zh-CN"/>
      </w:rPr>
    </w:lvl>
    <w:lvl w:ilvl="2" w:tentative="0">
      <w:start w:val="0"/>
      <w:numFmt w:val="bullet"/>
      <w:lvlText w:val="•"/>
      <w:lvlJc w:val="left"/>
      <w:pPr>
        <w:ind w:left="1372" w:hanging="318"/>
      </w:pPr>
      <w:rPr>
        <w:rFonts w:hint="default"/>
        <w:lang w:val="zh-CN" w:eastAsia="zh-CN" w:bidi="zh-CN"/>
      </w:rPr>
    </w:lvl>
    <w:lvl w:ilvl="3" w:tentative="0">
      <w:start w:val="0"/>
      <w:numFmt w:val="bullet"/>
      <w:lvlText w:val="•"/>
      <w:lvlJc w:val="left"/>
      <w:pPr>
        <w:ind w:left="1998" w:hanging="318"/>
      </w:pPr>
      <w:rPr>
        <w:rFonts w:hint="default"/>
        <w:lang w:val="zh-CN" w:eastAsia="zh-CN" w:bidi="zh-CN"/>
      </w:rPr>
    </w:lvl>
    <w:lvl w:ilvl="4" w:tentative="0">
      <w:start w:val="0"/>
      <w:numFmt w:val="bullet"/>
      <w:lvlText w:val="•"/>
      <w:lvlJc w:val="left"/>
      <w:pPr>
        <w:ind w:left="2625" w:hanging="318"/>
      </w:pPr>
      <w:rPr>
        <w:rFonts w:hint="default"/>
        <w:lang w:val="zh-CN" w:eastAsia="zh-CN" w:bidi="zh-CN"/>
      </w:rPr>
    </w:lvl>
    <w:lvl w:ilvl="5" w:tentative="0">
      <w:start w:val="0"/>
      <w:numFmt w:val="bullet"/>
      <w:lvlText w:val="•"/>
      <w:lvlJc w:val="left"/>
      <w:pPr>
        <w:ind w:left="3251" w:hanging="318"/>
      </w:pPr>
      <w:rPr>
        <w:rFonts w:hint="default"/>
        <w:lang w:val="zh-CN" w:eastAsia="zh-CN" w:bidi="zh-CN"/>
      </w:rPr>
    </w:lvl>
    <w:lvl w:ilvl="6" w:tentative="0">
      <w:start w:val="0"/>
      <w:numFmt w:val="bullet"/>
      <w:lvlText w:val="•"/>
      <w:lvlJc w:val="left"/>
      <w:pPr>
        <w:ind w:left="3877" w:hanging="318"/>
      </w:pPr>
      <w:rPr>
        <w:rFonts w:hint="default"/>
        <w:lang w:val="zh-CN" w:eastAsia="zh-CN" w:bidi="zh-CN"/>
      </w:rPr>
    </w:lvl>
    <w:lvl w:ilvl="7" w:tentative="0">
      <w:start w:val="0"/>
      <w:numFmt w:val="bullet"/>
      <w:lvlText w:val="•"/>
      <w:lvlJc w:val="left"/>
      <w:pPr>
        <w:ind w:left="4504" w:hanging="318"/>
      </w:pPr>
      <w:rPr>
        <w:rFonts w:hint="default"/>
        <w:lang w:val="zh-CN" w:eastAsia="zh-CN" w:bidi="zh-CN"/>
      </w:rPr>
    </w:lvl>
    <w:lvl w:ilvl="8" w:tentative="0">
      <w:start w:val="0"/>
      <w:numFmt w:val="bullet"/>
      <w:lvlText w:val="•"/>
      <w:lvlJc w:val="left"/>
      <w:pPr>
        <w:ind w:left="5130" w:hanging="318"/>
      </w:pPr>
      <w:rPr>
        <w:rFonts w:hint="default"/>
        <w:lang w:val="zh-CN" w:eastAsia="zh-CN" w:bidi="zh-CN"/>
      </w:rPr>
    </w:lvl>
  </w:abstractNum>
  <w:abstractNum w:abstractNumId="7">
    <w:nsid w:val="2C185851"/>
    <w:multiLevelType w:val="multilevel"/>
    <w:tmpl w:val="2C185851"/>
    <w:lvl w:ilvl="0" w:tentative="0">
      <w:start w:val="6"/>
      <w:numFmt w:val="decimal"/>
      <w:lvlText w:val="%1"/>
      <w:lvlJc w:val="left"/>
      <w:pPr>
        <w:ind w:left="739" w:hanging="442"/>
      </w:pPr>
      <w:rPr>
        <w:rFonts w:hint="default" w:ascii="Times New Roman" w:hAnsi="Times New Roman" w:eastAsia="宋体" w:cs="Times New Roman"/>
        <w:b/>
        <w:bCs/>
        <w:w w:val="99"/>
        <w:sz w:val="44"/>
        <w:szCs w:val="44"/>
      </w:rPr>
    </w:lvl>
    <w:lvl w:ilvl="1" w:tentative="0">
      <w:start w:val="1"/>
      <w:numFmt w:val="decimal"/>
      <w:lvlText w:val="%1.%2"/>
      <w:lvlJc w:val="left"/>
      <w:pPr>
        <w:ind w:left="859" w:hanging="562"/>
      </w:pPr>
      <w:rPr>
        <w:rFonts w:hint="default" w:ascii="Times New Roman" w:hAnsi="Times New Roman" w:eastAsia="宋体" w:cs="Times New Roman"/>
        <w:b/>
        <w:bCs/>
        <w:w w:val="99"/>
        <w:sz w:val="32"/>
        <w:szCs w:val="32"/>
      </w:rPr>
    </w:lvl>
    <w:lvl w:ilvl="2" w:tentative="0">
      <w:start w:val="1"/>
      <w:numFmt w:val="decimal"/>
      <w:lvlText w:val="%1.%2.%3"/>
      <w:lvlJc w:val="left"/>
      <w:pPr>
        <w:ind w:left="929" w:hanging="632"/>
      </w:pPr>
      <w:rPr>
        <w:rFonts w:hint="default" w:ascii="Times New Roman" w:hAnsi="Times New Roman" w:eastAsia="宋体" w:cs="Times New Roman"/>
        <w:b/>
        <w:bCs/>
        <w:w w:val="100"/>
        <w:sz w:val="28"/>
        <w:szCs w:val="28"/>
      </w:rPr>
    </w:lvl>
    <w:lvl w:ilvl="3" w:tentative="0">
      <w:start w:val="1"/>
      <w:numFmt w:val="decimal"/>
      <w:lvlText w:val="（%4）"/>
      <w:lvlJc w:val="left"/>
      <w:pPr>
        <w:ind w:left="298" w:hanging="361"/>
      </w:pPr>
      <w:rPr>
        <w:rFonts w:hint="default"/>
        <w:w w:val="100"/>
        <w:sz w:val="24"/>
        <w:szCs w:val="24"/>
      </w:rPr>
    </w:lvl>
    <w:lvl w:ilvl="4" w:tentative="0">
      <w:start w:val="0"/>
      <w:numFmt w:val="bullet"/>
      <w:lvlText w:val="•"/>
      <w:lvlJc w:val="left"/>
      <w:pPr>
        <w:ind w:left="840" w:hanging="361"/>
      </w:pPr>
      <w:rPr>
        <w:rFonts w:hint="default"/>
      </w:rPr>
    </w:lvl>
    <w:lvl w:ilvl="5" w:tentative="0">
      <w:start w:val="0"/>
      <w:numFmt w:val="bullet"/>
      <w:lvlText w:val="•"/>
      <w:lvlJc w:val="left"/>
      <w:pPr>
        <w:ind w:left="860" w:hanging="361"/>
      </w:pPr>
      <w:rPr>
        <w:rFonts w:hint="default"/>
      </w:rPr>
    </w:lvl>
    <w:lvl w:ilvl="6" w:tentative="0">
      <w:start w:val="0"/>
      <w:numFmt w:val="bullet"/>
      <w:lvlText w:val="•"/>
      <w:lvlJc w:val="left"/>
      <w:pPr>
        <w:ind w:left="880" w:hanging="361"/>
      </w:pPr>
      <w:rPr>
        <w:rFonts w:hint="default"/>
      </w:rPr>
    </w:lvl>
    <w:lvl w:ilvl="7" w:tentative="0">
      <w:start w:val="0"/>
      <w:numFmt w:val="bullet"/>
      <w:lvlText w:val="•"/>
      <w:lvlJc w:val="left"/>
      <w:pPr>
        <w:ind w:left="920" w:hanging="361"/>
      </w:pPr>
      <w:rPr>
        <w:rFonts w:hint="default"/>
      </w:rPr>
    </w:lvl>
    <w:lvl w:ilvl="8" w:tentative="0">
      <w:start w:val="0"/>
      <w:numFmt w:val="bullet"/>
      <w:lvlText w:val="•"/>
      <w:lvlJc w:val="left"/>
      <w:pPr>
        <w:ind w:left="3542" w:hanging="361"/>
      </w:pPr>
      <w:rPr>
        <w:rFonts w:hint="default"/>
      </w:rPr>
    </w:lvl>
  </w:abstractNum>
  <w:abstractNum w:abstractNumId="8">
    <w:nsid w:val="4358EA5D"/>
    <w:multiLevelType w:val="singleLevel"/>
    <w:tmpl w:val="4358EA5D"/>
    <w:lvl w:ilvl="0" w:tentative="0">
      <w:start w:val="1"/>
      <w:numFmt w:val="decimal"/>
      <w:suff w:val="nothing"/>
      <w:lvlText w:val="（%1）"/>
      <w:lvlJc w:val="left"/>
    </w:lvl>
  </w:abstractNum>
  <w:abstractNum w:abstractNumId="9">
    <w:nsid w:val="786F0A22"/>
    <w:multiLevelType w:val="singleLevel"/>
    <w:tmpl w:val="786F0A22"/>
    <w:lvl w:ilvl="0" w:tentative="0">
      <w:start w:val="1"/>
      <w:numFmt w:val="decimal"/>
      <w:suff w:val="nothing"/>
      <w:lvlText w:val="（%1）"/>
      <w:lvlJc w:val="left"/>
    </w:lvl>
  </w:abstractNum>
  <w:abstractNum w:abstractNumId="10">
    <w:nsid w:val="7E86D06C"/>
    <w:multiLevelType w:val="singleLevel"/>
    <w:tmpl w:val="7E86D06C"/>
    <w:lvl w:ilvl="0" w:tentative="0">
      <w:start w:val="1"/>
      <w:numFmt w:val="decimal"/>
      <w:suff w:val="nothing"/>
      <w:lvlText w:val="%1）"/>
      <w:lvlJc w:val="left"/>
    </w:lvl>
  </w:abstractNum>
  <w:num w:numId="1">
    <w:abstractNumId w:val="2"/>
  </w:num>
  <w:num w:numId="2">
    <w:abstractNumId w:val="3"/>
  </w:num>
  <w:num w:numId="3">
    <w:abstractNumId w:val="4"/>
  </w:num>
  <w:num w:numId="4">
    <w:abstractNumId w:val="1"/>
  </w:num>
  <w:num w:numId="5">
    <w:abstractNumId w:val="0"/>
  </w:num>
  <w:num w:numId="6">
    <w:abstractNumId w:val="10"/>
  </w:num>
  <w:num w:numId="7">
    <w:abstractNumId w:val="5"/>
  </w:num>
  <w:num w:numId="8">
    <w:abstractNumId w:val="6"/>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720"/>
  <w:hyphenationZone w:val="36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ZmQ2YmVjYmVhYWI2YjE5NGU2ZDk0MDNjNjk5NGEifQ=="/>
    <w:docVar w:name="KSO_WPS_MARK_KEY" w:val="fc7235e3-9765-4e87-83ed-04902cd75e64"/>
  </w:docVars>
  <w:rsids>
    <w:rsidRoot w:val="00172A27"/>
    <w:rsid w:val="00007114"/>
    <w:rsid w:val="00011627"/>
    <w:rsid w:val="00017D9D"/>
    <w:rsid w:val="0002115A"/>
    <w:rsid w:val="0002187D"/>
    <w:rsid w:val="00022DAC"/>
    <w:rsid w:val="00023C88"/>
    <w:rsid w:val="00030435"/>
    <w:rsid w:val="0004277B"/>
    <w:rsid w:val="0004746E"/>
    <w:rsid w:val="00047AB1"/>
    <w:rsid w:val="00051B11"/>
    <w:rsid w:val="00057A67"/>
    <w:rsid w:val="00060A71"/>
    <w:rsid w:val="00061E33"/>
    <w:rsid w:val="000627CF"/>
    <w:rsid w:val="00066182"/>
    <w:rsid w:val="0007013D"/>
    <w:rsid w:val="000771A6"/>
    <w:rsid w:val="00095A31"/>
    <w:rsid w:val="000965C4"/>
    <w:rsid w:val="000966F4"/>
    <w:rsid w:val="000A57AC"/>
    <w:rsid w:val="000B02F6"/>
    <w:rsid w:val="000C2583"/>
    <w:rsid w:val="000D6F0A"/>
    <w:rsid w:val="000F305C"/>
    <w:rsid w:val="000F36A8"/>
    <w:rsid w:val="000F5796"/>
    <w:rsid w:val="00100D1F"/>
    <w:rsid w:val="00100F65"/>
    <w:rsid w:val="001015B3"/>
    <w:rsid w:val="00107B5B"/>
    <w:rsid w:val="001104D5"/>
    <w:rsid w:val="00110F2C"/>
    <w:rsid w:val="00111731"/>
    <w:rsid w:val="00111E73"/>
    <w:rsid w:val="0011494F"/>
    <w:rsid w:val="00130AD7"/>
    <w:rsid w:val="00147E7D"/>
    <w:rsid w:val="001655AD"/>
    <w:rsid w:val="00170B47"/>
    <w:rsid w:val="00172175"/>
    <w:rsid w:val="001740C3"/>
    <w:rsid w:val="00176D5B"/>
    <w:rsid w:val="00182D33"/>
    <w:rsid w:val="00185338"/>
    <w:rsid w:val="00186DF4"/>
    <w:rsid w:val="00191E98"/>
    <w:rsid w:val="001A21EF"/>
    <w:rsid w:val="001A7977"/>
    <w:rsid w:val="001B6CC7"/>
    <w:rsid w:val="001C2059"/>
    <w:rsid w:val="001D5E5C"/>
    <w:rsid w:val="001E4AA5"/>
    <w:rsid w:val="001F27E0"/>
    <w:rsid w:val="001F6AB0"/>
    <w:rsid w:val="002031C0"/>
    <w:rsid w:val="002044B2"/>
    <w:rsid w:val="002117EE"/>
    <w:rsid w:val="00216884"/>
    <w:rsid w:val="00227483"/>
    <w:rsid w:val="00236A23"/>
    <w:rsid w:val="00236B01"/>
    <w:rsid w:val="00240B6B"/>
    <w:rsid w:val="00255F0C"/>
    <w:rsid w:val="00281098"/>
    <w:rsid w:val="00281AEB"/>
    <w:rsid w:val="0028540D"/>
    <w:rsid w:val="002928B4"/>
    <w:rsid w:val="00293FAE"/>
    <w:rsid w:val="0029428D"/>
    <w:rsid w:val="002A085C"/>
    <w:rsid w:val="002A3524"/>
    <w:rsid w:val="002A4376"/>
    <w:rsid w:val="002C2A67"/>
    <w:rsid w:val="002C3105"/>
    <w:rsid w:val="002C3EC5"/>
    <w:rsid w:val="002C529D"/>
    <w:rsid w:val="002C7F9E"/>
    <w:rsid w:val="002D20BE"/>
    <w:rsid w:val="002D3517"/>
    <w:rsid w:val="002D3937"/>
    <w:rsid w:val="002D6818"/>
    <w:rsid w:val="002F0DC5"/>
    <w:rsid w:val="002F4FE6"/>
    <w:rsid w:val="00315CEF"/>
    <w:rsid w:val="00322773"/>
    <w:rsid w:val="00336E10"/>
    <w:rsid w:val="00343F9B"/>
    <w:rsid w:val="003457DC"/>
    <w:rsid w:val="00346724"/>
    <w:rsid w:val="00347C9C"/>
    <w:rsid w:val="00352C9D"/>
    <w:rsid w:val="0035341E"/>
    <w:rsid w:val="0035361F"/>
    <w:rsid w:val="00363F6B"/>
    <w:rsid w:val="00364F97"/>
    <w:rsid w:val="00370E4B"/>
    <w:rsid w:val="00371A81"/>
    <w:rsid w:val="003775C6"/>
    <w:rsid w:val="00380E0B"/>
    <w:rsid w:val="00381E76"/>
    <w:rsid w:val="003877BC"/>
    <w:rsid w:val="00390383"/>
    <w:rsid w:val="0039125F"/>
    <w:rsid w:val="003A0CBF"/>
    <w:rsid w:val="003A57E9"/>
    <w:rsid w:val="003B54A3"/>
    <w:rsid w:val="003C535A"/>
    <w:rsid w:val="003E414D"/>
    <w:rsid w:val="003F1C02"/>
    <w:rsid w:val="003F76C5"/>
    <w:rsid w:val="00401DCB"/>
    <w:rsid w:val="004101A6"/>
    <w:rsid w:val="00420E3F"/>
    <w:rsid w:val="004341F5"/>
    <w:rsid w:val="00461C38"/>
    <w:rsid w:val="00463F86"/>
    <w:rsid w:val="00464B09"/>
    <w:rsid w:val="00465758"/>
    <w:rsid w:val="00467ED7"/>
    <w:rsid w:val="004706CC"/>
    <w:rsid w:val="00473846"/>
    <w:rsid w:val="00475339"/>
    <w:rsid w:val="0047744A"/>
    <w:rsid w:val="004802D8"/>
    <w:rsid w:val="004843A8"/>
    <w:rsid w:val="0048776F"/>
    <w:rsid w:val="00493433"/>
    <w:rsid w:val="00496D11"/>
    <w:rsid w:val="004A22ED"/>
    <w:rsid w:val="004A41CA"/>
    <w:rsid w:val="004B69E2"/>
    <w:rsid w:val="004B6D17"/>
    <w:rsid w:val="004C5193"/>
    <w:rsid w:val="004D0211"/>
    <w:rsid w:val="004E5360"/>
    <w:rsid w:val="004F1DE9"/>
    <w:rsid w:val="004F1E21"/>
    <w:rsid w:val="004F258A"/>
    <w:rsid w:val="004F6F03"/>
    <w:rsid w:val="00502128"/>
    <w:rsid w:val="00502E4F"/>
    <w:rsid w:val="00505632"/>
    <w:rsid w:val="00507E36"/>
    <w:rsid w:val="0051042C"/>
    <w:rsid w:val="005246FB"/>
    <w:rsid w:val="00526611"/>
    <w:rsid w:val="00526925"/>
    <w:rsid w:val="00526968"/>
    <w:rsid w:val="00527518"/>
    <w:rsid w:val="00536ECC"/>
    <w:rsid w:val="00537D26"/>
    <w:rsid w:val="00543C1C"/>
    <w:rsid w:val="005440FB"/>
    <w:rsid w:val="005504B5"/>
    <w:rsid w:val="005508C4"/>
    <w:rsid w:val="00550908"/>
    <w:rsid w:val="00551BDE"/>
    <w:rsid w:val="00572863"/>
    <w:rsid w:val="00576385"/>
    <w:rsid w:val="00582116"/>
    <w:rsid w:val="00582E93"/>
    <w:rsid w:val="00585DCD"/>
    <w:rsid w:val="00591ECA"/>
    <w:rsid w:val="005962F2"/>
    <w:rsid w:val="005A5A0E"/>
    <w:rsid w:val="005A7F3A"/>
    <w:rsid w:val="005B6679"/>
    <w:rsid w:val="005C01BB"/>
    <w:rsid w:val="005C107A"/>
    <w:rsid w:val="005C27A8"/>
    <w:rsid w:val="005D1052"/>
    <w:rsid w:val="005D4309"/>
    <w:rsid w:val="005D4870"/>
    <w:rsid w:val="005D4CAA"/>
    <w:rsid w:val="005D7CF6"/>
    <w:rsid w:val="005E1494"/>
    <w:rsid w:val="005E5547"/>
    <w:rsid w:val="005E7BD2"/>
    <w:rsid w:val="005F59F7"/>
    <w:rsid w:val="005F5CE8"/>
    <w:rsid w:val="00602E96"/>
    <w:rsid w:val="0060563F"/>
    <w:rsid w:val="006063FF"/>
    <w:rsid w:val="006104CD"/>
    <w:rsid w:val="00611F94"/>
    <w:rsid w:val="00613C70"/>
    <w:rsid w:val="006206AF"/>
    <w:rsid w:val="00620C4A"/>
    <w:rsid w:val="006220CD"/>
    <w:rsid w:val="00625DD8"/>
    <w:rsid w:val="0063114A"/>
    <w:rsid w:val="0063157C"/>
    <w:rsid w:val="00632B31"/>
    <w:rsid w:val="00633989"/>
    <w:rsid w:val="00637B07"/>
    <w:rsid w:val="00645B2F"/>
    <w:rsid w:val="00653326"/>
    <w:rsid w:val="00656C11"/>
    <w:rsid w:val="0065701F"/>
    <w:rsid w:val="0066059D"/>
    <w:rsid w:val="0066323D"/>
    <w:rsid w:val="00663E09"/>
    <w:rsid w:val="00664838"/>
    <w:rsid w:val="006728F5"/>
    <w:rsid w:val="0067593D"/>
    <w:rsid w:val="0068244F"/>
    <w:rsid w:val="00685512"/>
    <w:rsid w:val="006A100E"/>
    <w:rsid w:val="006A1388"/>
    <w:rsid w:val="006A16E9"/>
    <w:rsid w:val="006B2C23"/>
    <w:rsid w:val="006B47A5"/>
    <w:rsid w:val="006B5437"/>
    <w:rsid w:val="006C2B69"/>
    <w:rsid w:val="006C4531"/>
    <w:rsid w:val="006C5AFE"/>
    <w:rsid w:val="006D0000"/>
    <w:rsid w:val="006D1B07"/>
    <w:rsid w:val="006E1071"/>
    <w:rsid w:val="006E2372"/>
    <w:rsid w:val="006E3959"/>
    <w:rsid w:val="006E6CA7"/>
    <w:rsid w:val="006E6DBD"/>
    <w:rsid w:val="006E713A"/>
    <w:rsid w:val="006F057F"/>
    <w:rsid w:val="006F1CD7"/>
    <w:rsid w:val="006F341D"/>
    <w:rsid w:val="006F5895"/>
    <w:rsid w:val="006F5CF1"/>
    <w:rsid w:val="006F71B3"/>
    <w:rsid w:val="00703EF9"/>
    <w:rsid w:val="00706D28"/>
    <w:rsid w:val="007076E3"/>
    <w:rsid w:val="007140B6"/>
    <w:rsid w:val="00714446"/>
    <w:rsid w:val="007171F7"/>
    <w:rsid w:val="0072762D"/>
    <w:rsid w:val="00731CD4"/>
    <w:rsid w:val="00745DF2"/>
    <w:rsid w:val="0075064F"/>
    <w:rsid w:val="0076096E"/>
    <w:rsid w:val="00764F2D"/>
    <w:rsid w:val="0076505E"/>
    <w:rsid w:val="00765261"/>
    <w:rsid w:val="00765880"/>
    <w:rsid w:val="0077747B"/>
    <w:rsid w:val="00793C75"/>
    <w:rsid w:val="00795860"/>
    <w:rsid w:val="00795DA4"/>
    <w:rsid w:val="007A07DC"/>
    <w:rsid w:val="007A267A"/>
    <w:rsid w:val="007A7029"/>
    <w:rsid w:val="007B5291"/>
    <w:rsid w:val="007B5A1E"/>
    <w:rsid w:val="007D1130"/>
    <w:rsid w:val="007D3700"/>
    <w:rsid w:val="007E3CAD"/>
    <w:rsid w:val="007E7BD4"/>
    <w:rsid w:val="007F07D4"/>
    <w:rsid w:val="007F1C40"/>
    <w:rsid w:val="007F685A"/>
    <w:rsid w:val="007F7755"/>
    <w:rsid w:val="0080079F"/>
    <w:rsid w:val="0080096E"/>
    <w:rsid w:val="00806D74"/>
    <w:rsid w:val="00816908"/>
    <w:rsid w:val="00816D69"/>
    <w:rsid w:val="00823255"/>
    <w:rsid w:val="00825889"/>
    <w:rsid w:val="00840584"/>
    <w:rsid w:val="00850CCB"/>
    <w:rsid w:val="008549E7"/>
    <w:rsid w:val="0085633A"/>
    <w:rsid w:val="00857D59"/>
    <w:rsid w:val="00860C22"/>
    <w:rsid w:val="008734B8"/>
    <w:rsid w:val="00875C1D"/>
    <w:rsid w:val="00876EE0"/>
    <w:rsid w:val="00882120"/>
    <w:rsid w:val="0088352B"/>
    <w:rsid w:val="0089330C"/>
    <w:rsid w:val="008979D3"/>
    <w:rsid w:val="008A1677"/>
    <w:rsid w:val="008A27D4"/>
    <w:rsid w:val="008B587A"/>
    <w:rsid w:val="008C06F1"/>
    <w:rsid w:val="008C301D"/>
    <w:rsid w:val="008D3C05"/>
    <w:rsid w:val="008D738C"/>
    <w:rsid w:val="008E046E"/>
    <w:rsid w:val="008E6F45"/>
    <w:rsid w:val="008F07B2"/>
    <w:rsid w:val="008F37EF"/>
    <w:rsid w:val="008F388F"/>
    <w:rsid w:val="008F5CC0"/>
    <w:rsid w:val="0090174B"/>
    <w:rsid w:val="00912952"/>
    <w:rsid w:val="00916DD0"/>
    <w:rsid w:val="009201E0"/>
    <w:rsid w:val="009210F6"/>
    <w:rsid w:val="00927341"/>
    <w:rsid w:val="00930447"/>
    <w:rsid w:val="00944323"/>
    <w:rsid w:val="00944591"/>
    <w:rsid w:val="00945E3F"/>
    <w:rsid w:val="00954B70"/>
    <w:rsid w:val="0096372C"/>
    <w:rsid w:val="00972178"/>
    <w:rsid w:val="00976C46"/>
    <w:rsid w:val="009802BB"/>
    <w:rsid w:val="009831F8"/>
    <w:rsid w:val="00987567"/>
    <w:rsid w:val="00991660"/>
    <w:rsid w:val="00992856"/>
    <w:rsid w:val="009951D2"/>
    <w:rsid w:val="009A0A62"/>
    <w:rsid w:val="009B235F"/>
    <w:rsid w:val="009B7DDB"/>
    <w:rsid w:val="009C2061"/>
    <w:rsid w:val="009C39A8"/>
    <w:rsid w:val="009C5C93"/>
    <w:rsid w:val="009C6C3E"/>
    <w:rsid w:val="009D0B0A"/>
    <w:rsid w:val="009D31F4"/>
    <w:rsid w:val="009D3920"/>
    <w:rsid w:val="009D44D1"/>
    <w:rsid w:val="009D63AC"/>
    <w:rsid w:val="009D7B5D"/>
    <w:rsid w:val="009E6175"/>
    <w:rsid w:val="009E6178"/>
    <w:rsid w:val="009F0FA5"/>
    <w:rsid w:val="009F3F38"/>
    <w:rsid w:val="009F581C"/>
    <w:rsid w:val="00A00356"/>
    <w:rsid w:val="00A03DA5"/>
    <w:rsid w:val="00A1536F"/>
    <w:rsid w:val="00A203AC"/>
    <w:rsid w:val="00A31B16"/>
    <w:rsid w:val="00A416FB"/>
    <w:rsid w:val="00A41FBD"/>
    <w:rsid w:val="00A44609"/>
    <w:rsid w:val="00A46A88"/>
    <w:rsid w:val="00A47316"/>
    <w:rsid w:val="00A517E2"/>
    <w:rsid w:val="00A60037"/>
    <w:rsid w:val="00A71450"/>
    <w:rsid w:val="00A74703"/>
    <w:rsid w:val="00A76A68"/>
    <w:rsid w:val="00A8009F"/>
    <w:rsid w:val="00A81ED0"/>
    <w:rsid w:val="00A83DD4"/>
    <w:rsid w:val="00A84B2B"/>
    <w:rsid w:val="00A92264"/>
    <w:rsid w:val="00A95E98"/>
    <w:rsid w:val="00AA26F8"/>
    <w:rsid w:val="00AA6D2E"/>
    <w:rsid w:val="00AB5EBB"/>
    <w:rsid w:val="00AC71FD"/>
    <w:rsid w:val="00AD0596"/>
    <w:rsid w:val="00AD1D40"/>
    <w:rsid w:val="00AD1E89"/>
    <w:rsid w:val="00AD201B"/>
    <w:rsid w:val="00AD6CAB"/>
    <w:rsid w:val="00AE4CD5"/>
    <w:rsid w:val="00AF3932"/>
    <w:rsid w:val="00B06156"/>
    <w:rsid w:val="00B07691"/>
    <w:rsid w:val="00B3523A"/>
    <w:rsid w:val="00B50A46"/>
    <w:rsid w:val="00B51BFF"/>
    <w:rsid w:val="00B62296"/>
    <w:rsid w:val="00B63835"/>
    <w:rsid w:val="00B72861"/>
    <w:rsid w:val="00B8243A"/>
    <w:rsid w:val="00B86BF9"/>
    <w:rsid w:val="00B904FD"/>
    <w:rsid w:val="00B93ABB"/>
    <w:rsid w:val="00B962B7"/>
    <w:rsid w:val="00B96DA6"/>
    <w:rsid w:val="00BA4D72"/>
    <w:rsid w:val="00BA55D0"/>
    <w:rsid w:val="00BB08D4"/>
    <w:rsid w:val="00BB3D19"/>
    <w:rsid w:val="00BB500D"/>
    <w:rsid w:val="00BC161F"/>
    <w:rsid w:val="00BC5043"/>
    <w:rsid w:val="00BC6812"/>
    <w:rsid w:val="00BE0FCB"/>
    <w:rsid w:val="00BE60C5"/>
    <w:rsid w:val="00BE6A5F"/>
    <w:rsid w:val="00BF152C"/>
    <w:rsid w:val="00BF7796"/>
    <w:rsid w:val="00C0475F"/>
    <w:rsid w:val="00C13E3A"/>
    <w:rsid w:val="00C2062A"/>
    <w:rsid w:val="00C343C4"/>
    <w:rsid w:val="00C6387F"/>
    <w:rsid w:val="00C70836"/>
    <w:rsid w:val="00C74AD8"/>
    <w:rsid w:val="00C8125C"/>
    <w:rsid w:val="00C814C8"/>
    <w:rsid w:val="00C83F1A"/>
    <w:rsid w:val="00C85186"/>
    <w:rsid w:val="00C86201"/>
    <w:rsid w:val="00C86B43"/>
    <w:rsid w:val="00C8760B"/>
    <w:rsid w:val="00C9347A"/>
    <w:rsid w:val="00C96A47"/>
    <w:rsid w:val="00C96AED"/>
    <w:rsid w:val="00CA139A"/>
    <w:rsid w:val="00CA2798"/>
    <w:rsid w:val="00CC4EA1"/>
    <w:rsid w:val="00CC5470"/>
    <w:rsid w:val="00CD53D1"/>
    <w:rsid w:val="00CE522F"/>
    <w:rsid w:val="00CE6835"/>
    <w:rsid w:val="00CF6533"/>
    <w:rsid w:val="00D004D8"/>
    <w:rsid w:val="00D00B69"/>
    <w:rsid w:val="00D00C07"/>
    <w:rsid w:val="00D04946"/>
    <w:rsid w:val="00D07367"/>
    <w:rsid w:val="00D15D5F"/>
    <w:rsid w:val="00D178BC"/>
    <w:rsid w:val="00D25AF4"/>
    <w:rsid w:val="00D27CA3"/>
    <w:rsid w:val="00D43D92"/>
    <w:rsid w:val="00D57C2B"/>
    <w:rsid w:val="00D67D00"/>
    <w:rsid w:val="00D7129C"/>
    <w:rsid w:val="00D71DD2"/>
    <w:rsid w:val="00D722C9"/>
    <w:rsid w:val="00D74247"/>
    <w:rsid w:val="00D75101"/>
    <w:rsid w:val="00D774A4"/>
    <w:rsid w:val="00D8045A"/>
    <w:rsid w:val="00D81E12"/>
    <w:rsid w:val="00D9517C"/>
    <w:rsid w:val="00D96DFF"/>
    <w:rsid w:val="00DA06BE"/>
    <w:rsid w:val="00DA0DA6"/>
    <w:rsid w:val="00DA5160"/>
    <w:rsid w:val="00DB349A"/>
    <w:rsid w:val="00DC23AC"/>
    <w:rsid w:val="00DC3FE6"/>
    <w:rsid w:val="00DD06D6"/>
    <w:rsid w:val="00DD207C"/>
    <w:rsid w:val="00DE2C22"/>
    <w:rsid w:val="00DE3E6F"/>
    <w:rsid w:val="00DE4457"/>
    <w:rsid w:val="00DF0068"/>
    <w:rsid w:val="00DF23D4"/>
    <w:rsid w:val="00DF4C3E"/>
    <w:rsid w:val="00E13687"/>
    <w:rsid w:val="00E13CFD"/>
    <w:rsid w:val="00E448CC"/>
    <w:rsid w:val="00E50A21"/>
    <w:rsid w:val="00E50A7E"/>
    <w:rsid w:val="00E70F51"/>
    <w:rsid w:val="00E72023"/>
    <w:rsid w:val="00E75EC9"/>
    <w:rsid w:val="00E76977"/>
    <w:rsid w:val="00E81471"/>
    <w:rsid w:val="00E83DA8"/>
    <w:rsid w:val="00E92524"/>
    <w:rsid w:val="00E94DC9"/>
    <w:rsid w:val="00E96145"/>
    <w:rsid w:val="00EA14DF"/>
    <w:rsid w:val="00EA6171"/>
    <w:rsid w:val="00EA62B7"/>
    <w:rsid w:val="00EC184E"/>
    <w:rsid w:val="00EC2483"/>
    <w:rsid w:val="00EC2511"/>
    <w:rsid w:val="00EC36CB"/>
    <w:rsid w:val="00ED03B9"/>
    <w:rsid w:val="00EE44FB"/>
    <w:rsid w:val="00EF2B8E"/>
    <w:rsid w:val="00EF5440"/>
    <w:rsid w:val="00EF62F1"/>
    <w:rsid w:val="00F001ED"/>
    <w:rsid w:val="00F109F8"/>
    <w:rsid w:val="00F1191B"/>
    <w:rsid w:val="00F15E15"/>
    <w:rsid w:val="00F16C5D"/>
    <w:rsid w:val="00F21A66"/>
    <w:rsid w:val="00F2382A"/>
    <w:rsid w:val="00F269F7"/>
    <w:rsid w:val="00F321BF"/>
    <w:rsid w:val="00F43BF3"/>
    <w:rsid w:val="00F44794"/>
    <w:rsid w:val="00F46648"/>
    <w:rsid w:val="00F51426"/>
    <w:rsid w:val="00F57A5B"/>
    <w:rsid w:val="00F6445F"/>
    <w:rsid w:val="00F671C4"/>
    <w:rsid w:val="00F71249"/>
    <w:rsid w:val="00F77F29"/>
    <w:rsid w:val="00F845B5"/>
    <w:rsid w:val="00F852A1"/>
    <w:rsid w:val="00F8659F"/>
    <w:rsid w:val="00F9131D"/>
    <w:rsid w:val="00F94B5D"/>
    <w:rsid w:val="00F955C0"/>
    <w:rsid w:val="00F96A5F"/>
    <w:rsid w:val="00FA753F"/>
    <w:rsid w:val="00FB158B"/>
    <w:rsid w:val="00FB1969"/>
    <w:rsid w:val="00FB47D6"/>
    <w:rsid w:val="00FC151D"/>
    <w:rsid w:val="00FC2209"/>
    <w:rsid w:val="00FD0CD3"/>
    <w:rsid w:val="00FD2D8A"/>
    <w:rsid w:val="00FD3B83"/>
    <w:rsid w:val="00FD648E"/>
    <w:rsid w:val="00FE310B"/>
    <w:rsid w:val="00FE4DE5"/>
    <w:rsid w:val="00FE5DE6"/>
    <w:rsid w:val="00FE5E9E"/>
    <w:rsid w:val="00FE69AA"/>
    <w:rsid w:val="00FF0446"/>
    <w:rsid w:val="01233A9E"/>
    <w:rsid w:val="012D66CB"/>
    <w:rsid w:val="018D16D4"/>
    <w:rsid w:val="019A6119"/>
    <w:rsid w:val="01C8055D"/>
    <w:rsid w:val="01D22B07"/>
    <w:rsid w:val="01E21263"/>
    <w:rsid w:val="01EA67F4"/>
    <w:rsid w:val="01F36FCC"/>
    <w:rsid w:val="01FA03BD"/>
    <w:rsid w:val="02134F90"/>
    <w:rsid w:val="02465EAF"/>
    <w:rsid w:val="02575771"/>
    <w:rsid w:val="02D41B01"/>
    <w:rsid w:val="02D92787"/>
    <w:rsid w:val="0302517C"/>
    <w:rsid w:val="03201409"/>
    <w:rsid w:val="03577680"/>
    <w:rsid w:val="035D38D5"/>
    <w:rsid w:val="03662590"/>
    <w:rsid w:val="037F5278"/>
    <w:rsid w:val="038F0F77"/>
    <w:rsid w:val="03CD1571"/>
    <w:rsid w:val="03DA4021"/>
    <w:rsid w:val="04147648"/>
    <w:rsid w:val="041A2015"/>
    <w:rsid w:val="046A2A3A"/>
    <w:rsid w:val="04784101"/>
    <w:rsid w:val="04CD7EC2"/>
    <w:rsid w:val="04CF01C7"/>
    <w:rsid w:val="05050B71"/>
    <w:rsid w:val="051627B1"/>
    <w:rsid w:val="054222FC"/>
    <w:rsid w:val="058149E1"/>
    <w:rsid w:val="058371F2"/>
    <w:rsid w:val="05A212BC"/>
    <w:rsid w:val="05AE111C"/>
    <w:rsid w:val="05B1176C"/>
    <w:rsid w:val="05CE01C7"/>
    <w:rsid w:val="05D84948"/>
    <w:rsid w:val="06144F07"/>
    <w:rsid w:val="061F4E1A"/>
    <w:rsid w:val="06327150"/>
    <w:rsid w:val="06327FFE"/>
    <w:rsid w:val="066E05CE"/>
    <w:rsid w:val="06740A41"/>
    <w:rsid w:val="06AB256C"/>
    <w:rsid w:val="06C278B5"/>
    <w:rsid w:val="06C3164A"/>
    <w:rsid w:val="06F1120B"/>
    <w:rsid w:val="072430CB"/>
    <w:rsid w:val="0724328A"/>
    <w:rsid w:val="07580F87"/>
    <w:rsid w:val="075D37CA"/>
    <w:rsid w:val="075D5156"/>
    <w:rsid w:val="07A30D48"/>
    <w:rsid w:val="07DE0237"/>
    <w:rsid w:val="080041F1"/>
    <w:rsid w:val="085D1644"/>
    <w:rsid w:val="08760957"/>
    <w:rsid w:val="089F08F1"/>
    <w:rsid w:val="08A62950"/>
    <w:rsid w:val="08B103EE"/>
    <w:rsid w:val="08B125BC"/>
    <w:rsid w:val="08BA0844"/>
    <w:rsid w:val="08BF747F"/>
    <w:rsid w:val="08E2550B"/>
    <w:rsid w:val="091C13C7"/>
    <w:rsid w:val="093D39AD"/>
    <w:rsid w:val="094972FA"/>
    <w:rsid w:val="094E6995"/>
    <w:rsid w:val="098F1CD1"/>
    <w:rsid w:val="0A00681E"/>
    <w:rsid w:val="0A1549E8"/>
    <w:rsid w:val="0A2A75FF"/>
    <w:rsid w:val="0A2E22D2"/>
    <w:rsid w:val="0A371079"/>
    <w:rsid w:val="0A5649D2"/>
    <w:rsid w:val="0A8D6A41"/>
    <w:rsid w:val="0A99282A"/>
    <w:rsid w:val="0AAD17D4"/>
    <w:rsid w:val="0AE222D4"/>
    <w:rsid w:val="0B0E6838"/>
    <w:rsid w:val="0B0F0861"/>
    <w:rsid w:val="0B1676E4"/>
    <w:rsid w:val="0B756C9E"/>
    <w:rsid w:val="0B834DE6"/>
    <w:rsid w:val="0B92260E"/>
    <w:rsid w:val="0BBA591E"/>
    <w:rsid w:val="0BC25BA7"/>
    <w:rsid w:val="0BE43E7E"/>
    <w:rsid w:val="0C0369A6"/>
    <w:rsid w:val="0C2B02F5"/>
    <w:rsid w:val="0C4C4B72"/>
    <w:rsid w:val="0C60721B"/>
    <w:rsid w:val="0C6D153E"/>
    <w:rsid w:val="0C6D32E1"/>
    <w:rsid w:val="0C6E64A7"/>
    <w:rsid w:val="0C7F14BC"/>
    <w:rsid w:val="0C822A89"/>
    <w:rsid w:val="0C965D89"/>
    <w:rsid w:val="0CA60952"/>
    <w:rsid w:val="0CEB2D77"/>
    <w:rsid w:val="0D007CE7"/>
    <w:rsid w:val="0D107AA5"/>
    <w:rsid w:val="0D1D0185"/>
    <w:rsid w:val="0D2D5933"/>
    <w:rsid w:val="0D614886"/>
    <w:rsid w:val="0D71793F"/>
    <w:rsid w:val="0D7E7B62"/>
    <w:rsid w:val="0DDA1008"/>
    <w:rsid w:val="0E030A12"/>
    <w:rsid w:val="0E344BF5"/>
    <w:rsid w:val="0E511C4E"/>
    <w:rsid w:val="0E52151F"/>
    <w:rsid w:val="0E785533"/>
    <w:rsid w:val="0E830373"/>
    <w:rsid w:val="0E832C57"/>
    <w:rsid w:val="0EE865B1"/>
    <w:rsid w:val="0F096081"/>
    <w:rsid w:val="0F2065EE"/>
    <w:rsid w:val="0F461C36"/>
    <w:rsid w:val="0F7E4A93"/>
    <w:rsid w:val="0F824086"/>
    <w:rsid w:val="0F9B04D3"/>
    <w:rsid w:val="0FE35145"/>
    <w:rsid w:val="1058025B"/>
    <w:rsid w:val="106519DD"/>
    <w:rsid w:val="10745A0F"/>
    <w:rsid w:val="11483E76"/>
    <w:rsid w:val="116B5537"/>
    <w:rsid w:val="119D06BE"/>
    <w:rsid w:val="11EA4711"/>
    <w:rsid w:val="11F53B2E"/>
    <w:rsid w:val="11FD17D8"/>
    <w:rsid w:val="12176D07"/>
    <w:rsid w:val="122375E8"/>
    <w:rsid w:val="124D7B6C"/>
    <w:rsid w:val="12CD47DF"/>
    <w:rsid w:val="12FF0AE7"/>
    <w:rsid w:val="13044032"/>
    <w:rsid w:val="130B404C"/>
    <w:rsid w:val="13364B2C"/>
    <w:rsid w:val="134A26D2"/>
    <w:rsid w:val="138F0D93"/>
    <w:rsid w:val="13A10F7E"/>
    <w:rsid w:val="13A520F1"/>
    <w:rsid w:val="13B555AD"/>
    <w:rsid w:val="14005034"/>
    <w:rsid w:val="141334FE"/>
    <w:rsid w:val="14142AEA"/>
    <w:rsid w:val="147C5547"/>
    <w:rsid w:val="14A306C5"/>
    <w:rsid w:val="14CC4B3C"/>
    <w:rsid w:val="14D26E56"/>
    <w:rsid w:val="14D317E3"/>
    <w:rsid w:val="14EE0368"/>
    <w:rsid w:val="14F03B81"/>
    <w:rsid w:val="14F53680"/>
    <w:rsid w:val="15017368"/>
    <w:rsid w:val="15284D9E"/>
    <w:rsid w:val="152C5D18"/>
    <w:rsid w:val="1577160E"/>
    <w:rsid w:val="157C0DB9"/>
    <w:rsid w:val="15A17D70"/>
    <w:rsid w:val="15A703A2"/>
    <w:rsid w:val="15CE7BD3"/>
    <w:rsid w:val="15D3322D"/>
    <w:rsid w:val="15E96C0C"/>
    <w:rsid w:val="15FA0142"/>
    <w:rsid w:val="16490A44"/>
    <w:rsid w:val="1664363B"/>
    <w:rsid w:val="16B56059"/>
    <w:rsid w:val="16F1492D"/>
    <w:rsid w:val="17522DA1"/>
    <w:rsid w:val="175956CC"/>
    <w:rsid w:val="179124D6"/>
    <w:rsid w:val="17AB3F24"/>
    <w:rsid w:val="184C197E"/>
    <w:rsid w:val="18A1707D"/>
    <w:rsid w:val="18A65BEF"/>
    <w:rsid w:val="18E5610C"/>
    <w:rsid w:val="1900791E"/>
    <w:rsid w:val="190C0DA7"/>
    <w:rsid w:val="190D56A3"/>
    <w:rsid w:val="192E6155"/>
    <w:rsid w:val="19480688"/>
    <w:rsid w:val="19531A4B"/>
    <w:rsid w:val="19862DA2"/>
    <w:rsid w:val="19DE7569"/>
    <w:rsid w:val="1A1265E4"/>
    <w:rsid w:val="1A2876FC"/>
    <w:rsid w:val="1A7578F5"/>
    <w:rsid w:val="1A784B40"/>
    <w:rsid w:val="1AB33345"/>
    <w:rsid w:val="1B006069"/>
    <w:rsid w:val="1B0B42F7"/>
    <w:rsid w:val="1B0D6EF9"/>
    <w:rsid w:val="1B121376"/>
    <w:rsid w:val="1B153830"/>
    <w:rsid w:val="1B46764B"/>
    <w:rsid w:val="1B571136"/>
    <w:rsid w:val="1B965F1C"/>
    <w:rsid w:val="1BA710FC"/>
    <w:rsid w:val="1BB61551"/>
    <w:rsid w:val="1BD36DAF"/>
    <w:rsid w:val="1BD6553D"/>
    <w:rsid w:val="1BE55780"/>
    <w:rsid w:val="1BEF08D2"/>
    <w:rsid w:val="1C2B4C7E"/>
    <w:rsid w:val="1C2F55CD"/>
    <w:rsid w:val="1C3A6AF0"/>
    <w:rsid w:val="1C3E5837"/>
    <w:rsid w:val="1C5E603C"/>
    <w:rsid w:val="1C6521B8"/>
    <w:rsid w:val="1C76221A"/>
    <w:rsid w:val="1C982888"/>
    <w:rsid w:val="1CC67062"/>
    <w:rsid w:val="1CD9119B"/>
    <w:rsid w:val="1D0E48A2"/>
    <w:rsid w:val="1D455AC4"/>
    <w:rsid w:val="1D5A65E9"/>
    <w:rsid w:val="1D8F728F"/>
    <w:rsid w:val="1DA91EAE"/>
    <w:rsid w:val="1DBB273F"/>
    <w:rsid w:val="1DBD168C"/>
    <w:rsid w:val="1DCF3B89"/>
    <w:rsid w:val="1DEF370A"/>
    <w:rsid w:val="1DFB4D49"/>
    <w:rsid w:val="1E14195B"/>
    <w:rsid w:val="1E1548B1"/>
    <w:rsid w:val="1E3B7C23"/>
    <w:rsid w:val="1E5D2C7A"/>
    <w:rsid w:val="1E826190"/>
    <w:rsid w:val="1E9F1946"/>
    <w:rsid w:val="1EA91422"/>
    <w:rsid w:val="1EAE625C"/>
    <w:rsid w:val="1EBE6931"/>
    <w:rsid w:val="1ED64D67"/>
    <w:rsid w:val="1ED90489"/>
    <w:rsid w:val="1EF2691A"/>
    <w:rsid w:val="1EFA0440"/>
    <w:rsid w:val="1F1620F4"/>
    <w:rsid w:val="1F1943BE"/>
    <w:rsid w:val="1F27453A"/>
    <w:rsid w:val="1F6824F6"/>
    <w:rsid w:val="1F6B0692"/>
    <w:rsid w:val="1F6F64FB"/>
    <w:rsid w:val="1F764D61"/>
    <w:rsid w:val="1FC74396"/>
    <w:rsid w:val="1FD8244E"/>
    <w:rsid w:val="1FDB443A"/>
    <w:rsid w:val="1FEA7C53"/>
    <w:rsid w:val="1FF40688"/>
    <w:rsid w:val="1FF62AD4"/>
    <w:rsid w:val="200A3A07"/>
    <w:rsid w:val="20174EE1"/>
    <w:rsid w:val="207B3859"/>
    <w:rsid w:val="20914D43"/>
    <w:rsid w:val="20A43E5C"/>
    <w:rsid w:val="20AF62C2"/>
    <w:rsid w:val="20B66206"/>
    <w:rsid w:val="20BB02B9"/>
    <w:rsid w:val="20CF758B"/>
    <w:rsid w:val="210165B1"/>
    <w:rsid w:val="21061788"/>
    <w:rsid w:val="21413E90"/>
    <w:rsid w:val="214727C9"/>
    <w:rsid w:val="2184648F"/>
    <w:rsid w:val="21893A0C"/>
    <w:rsid w:val="218B7A68"/>
    <w:rsid w:val="2190618E"/>
    <w:rsid w:val="21935BE8"/>
    <w:rsid w:val="21B74C4E"/>
    <w:rsid w:val="21D70DF2"/>
    <w:rsid w:val="21D81BD8"/>
    <w:rsid w:val="21EB06F8"/>
    <w:rsid w:val="21EE4C73"/>
    <w:rsid w:val="21F71677"/>
    <w:rsid w:val="222E5D34"/>
    <w:rsid w:val="223801D1"/>
    <w:rsid w:val="22715CCB"/>
    <w:rsid w:val="22726258"/>
    <w:rsid w:val="22905D6C"/>
    <w:rsid w:val="22940367"/>
    <w:rsid w:val="22A24352"/>
    <w:rsid w:val="22B7667A"/>
    <w:rsid w:val="22D24584"/>
    <w:rsid w:val="22E26EBD"/>
    <w:rsid w:val="22E8207E"/>
    <w:rsid w:val="23181E63"/>
    <w:rsid w:val="2339304C"/>
    <w:rsid w:val="2369138D"/>
    <w:rsid w:val="238678A7"/>
    <w:rsid w:val="23963804"/>
    <w:rsid w:val="23C445EF"/>
    <w:rsid w:val="23D117E8"/>
    <w:rsid w:val="23EA5449"/>
    <w:rsid w:val="23F26A32"/>
    <w:rsid w:val="23F46D37"/>
    <w:rsid w:val="2406098A"/>
    <w:rsid w:val="24826773"/>
    <w:rsid w:val="248E78E7"/>
    <w:rsid w:val="25071235"/>
    <w:rsid w:val="25241C85"/>
    <w:rsid w:val="253B4E08"/>
    <w:rsid w:val="253B55F6"/>
    <w:rsid w:val="2544512E"/>
    <w:rsid w:val="258F6A16"/>
    <w:rsid w:val="25A718F0"/>
    <w:rsid w:val="25A72D22"/>
    <w:rsid w:val="25D770AE"/>
    <w:rsid w:val="25F747AF"/>
    <w:rsid w:val="25FE0E3C"/>
    <w:rsid w:val="260B112A"/>
    <w:rsid w:val="260D5C24"/>
    <w:rsid w:val="262822BB"/>
    <w:rsid w:val="264C1327"/>
    <w:rsid w:val="269305F7"/>
    <w:rsid w:val="26981E89"/>
    <w:rsid w:val="26B6759D"/>
    <w:rsid w:val="26E1497A"/>
    <w:rsid w:val="26FA7EC0"/>
    <w:rsid w:val="27086750"/>
    <w:rsid w:val="2715112B"/>
    <w:rsid w:val="27327868"/>
    <w:rsid w:val="273F32C0"/>
    <w:rsid w:val="27487DE5"/>
    <w:rsid w:val="27617D6E"/>
    <w:rsid w:val="2775043E"/>
    <w:rsid w:val="27ED0864"/>
    <w:rsid w:val="2859068C"/>
    <w:rsid w:val="28697739"/>
    <w:rsid w:val="286B58D0"/>
    <w:rsid w:val="28754330"/>
    <w:rsid w:val="28B57311"/>
    <w:rsid w:val="28D15A45"/>
    <w:rsid w:val="28DB23E5"/>
    <w:rsid w:val="291A1393"/>
    <w:rsid w:val="293470A9"/>
    <w:rsid w:val="294303EE"/>
    <w:rsid w:val="295233F1"/>
    <w:rsid w:val="29883BEF"/>
    <w:rsid w:val="299D0420"/>
    <w:rsid w:val="29AB51E3"/>
    <w:rsid w:val="29CC0A6E"/>
    <w:rsid w:val="2A4075D3"/>
    <w:rsid w:val="2A602A13"/>
    <w:rsid w:val="2A777E32"/>
    <w:rsid w:val="2ACE536A"/>
    <w:rsid w:val="2AE522F9"/>
    <w:rsid w:val="2B083B7A"/>
    <w:rsid w:val="2B932D42"/>
    <w:rsid w:val="2BA609ED"/>
    <w:rsid w:val="2BBF5F83"/>
    <w:rsid w:val="2BC2048D"/>
    <w:rsid w:val="2BC21BA1"/>
    <w:rsid w:val="2BCC27B1"/>
    <w:rsid w:val="2C1A7F27"/>
    <w:rsid w:val="2C222404"/>
    <w:rsid w:val="2C40017D"/>
    <w:rsid w:val="2C5767DE"/>
    <w:rsid w:val="2C645648"/>
    <w:rsid w:val="2C6E1F9B"/>
    <w:rsid w:val="2C701096"/>
    <w:rsid w:val="2CCD1427"/>
    <w:rsid w:val="2D0068BE"/>
    <w:rsid w:val="2D104627"/>
    <w:rsid w:val="2D33789C"/>
    <w:rsid w:val="2D364384"/>
    <w:rsid w:val="2D543A90"/>
    <w:rsid w:val="2D595CA6"/>
    <w:rsid w:val="2D6F549B"/>
    <w:rsid w:val="2D8310AD"/>
    <w:rsid w:val="2D950611"/>
    <w:rsid w:val="2DDE671A"/>
    <w:rsid w:val="2E50117F"/>
    <w:rsid w:val="2E9E0F95"/>
    <w:rsid w:val="2EB14CE7"/>
    <w:rsid w:val="2EB94106"/>
    <w:rsid w:val="2ED34BDB"/>
    <w:rsid w:val="2EFA65C8"/>
    <w:rsid w:val="2F1C0570"/>
    <w:rsid w:val="2F4A7493"/>
    <w:rsid w:val="2F9D65AC"/>
    <w:rsid w:val="2FA34273"/>
    <w:rsid w:val="2FB25651"/>
    <w:rsid w:val="2FE219A0"/>
    <w:rsid w:val="2FF97326"/>
    <w:rsid w:val="308E41E1"/>
    <w:rsid w:val="309B06AC"/>
    <w:rsid w:val="30E21F7C"/>
    <w:rsid w:val="311A4F17"/>
    <w:rsid w:val="312B334A"/>
    <w:rsid w:val="316265C6"/>
    <w:rsid w:val="31687BA1"/>
    <w:rsid w:val="317954A8"/>
    <w:rsid w:val="319375DC"/>
    <w:rsid w:val="319D4FDA"/>
    <w:rsid w:val="31CE5713"/>
    <w:rsid w:val="31E0212A"/>
    <w:rsid w:val="322B37F5"/>
    <w:rsid w:val="32803B12"/>
    <w:rsid w:val="328E42C5"/>
    <w:rsid w:val="32B676AA"/>
    <w:rsid w:val="32C17E4B"/>
    <w:rsid w:val="32E114B8"/>
    <w:rsid w:val="3309737C"/>
    <w:rsid w:val="3317301F"/>
    <w:rsid w:val="33466FF4"/>
    <w:rsid w:val="338667C4"/>
    <w:rsid w:val="33A1422B"/>
    <w:rsid w:val="33A66585"/>
    <w:rsid w:val="33D91C17"/>
    <w:rsid w:val="340708DE"/>
    <w:rsid w:val="34087626"/>
    <w:rsid w:val="34232E92"/>
    <w:rsid w:val="34433453"/>
    <w:rsid w:val="345D63A4"/>
    <w:rsid w:val="34622994"/>
    <w:rsid w:val="349D1AEE"/>
    <w:rsid w:val="34C45EAD"/>
    <w:rsid w:val="34C565D2"/>
    <w:rsid w:val="3507761D"/>
    <w:rsid w:val="3517086C"/>
    <w:rsid w:val="3547171F"/>
    <w:rsid w:val="356C7D94"/>
    <w:rsid w:val="35717F32"/>
    <w:rsid w:val="35721A62"/>
    <w:rsid w:val="3581357E"/>
    <w:rsid w:val="35BD4A27"/>
    <w:rsid w:val="35D3259E"/>
    <w:rsid w:val="35EE6454"/>
    <w:rsid w:val="35F5542A"/>
    <w:rsid w:val="360E6B9F"/>
    <w:rsid w:val="36145019"/>
    <w:rsid w:val="36277A15"/>
    <w:rsid w:val="366E242B"/>
    <w:rsid w:val="36724A3B"/>
    <w:rsid w:val="36B74A90"/>
    <w:rsid w:val="36CD016C"/>
    <w:rsid w:val="36CF4430"/>
    <w:rsid w:val="36DC08C9"/>
    <w:rsid w:val="36ED1C37"/>
    <w:rsid w:val="37044089"/>
    <w:rsid w:val="373E51C9"/>
    <w:rsid w:val="373F0473"/>
    <w:rsid w:val="37424AB9"/>
    <w:rsid w:val="37846C87"/>
    <w:rsid w:val="37847E6B"/>
    <w:rsid w:val="3797677E"/>
    <w:rsid w:val="37A13B7E"/>
    <w:rsid w:val="37B7528F"/>
    <w:rsid w:val="380D3297"/>
    <w:rsid w:val="3817699E"/>
    <w:rsid w:val="381D62A9"/>
    <w:rsid w:val="3834062E"/>
    <w:rsid w:val="383440C6"/>
    <w:rsid w:val="3862042D"/>
    <w:rsid w:val="386F0C34"/>
    <w:rsid w:val="38752886"/>
    <w:rsid w:val="38A31985"/>
    <w:rsid w:val="38DF7632"/>
    <w:rsid w:val="38E06C0E"/>
    <w:rsid w:val="38EA7DB7"/>
    <w:rsid w:val="38EE3494"/>
    <w:rsid w:val="38F12059"/>
    <w:rsid w:val="38F82975"/>
    <w:rsid w:val="39016CD4"/>
    <w:rsid w:val="390E5CB1"/>
    <w:rsid w:val="391C09AF"/>
    <w:rsid w:val="39801781"/>
    <w:rsid w:val="39B320EB"/>
    <w:rsid w:val="39BE5B37"/>
    <w:rsid w:val="39CE42FE"/>
    <w:rsid w:val="39D21F33"/>
    <w:rsid w:val="39F271ED"/>
    <w:rsid w:val="3A0302A8"/>
    <w:rsid w:val="3A814816"/>
    <w:rsid w:val="3A86765C"/>
    <w:rsid w:val="3A8C4748"/>
    <w:rsid w:val="3AC96C0E"/>
    <w:rsid w:val="3AD273C0"/>
    <w:rsid w:val="3AE956B3"/>
    <w:rsid w:val="3B17529E"/>
    <w:rsid w:val="3B246063"/>
    <w:rsid w:val="3B39113B"/>
    <w:rsid w:val="3B471B5C"/>
    <w:rsid w:val="3B5F23C7"/>
    <w:rsid w:val="3B701023"/>
    <w:rsid w:val="3B7B1805"/>
    <w:rsid w:val="3B89264E"/>
    <w:rsid w:val="3B8B1438"/>
    <w:rsid w:val="3BE27C11"/>
    <w:rsid w:val="3C126561"/>
    <w:rsid w:val="3C17036F"/>
    <w:rsid w:val="3C1B5E31"/>
    <w:rsid w:val="3C2C72D6"/>
    <w:rsid w:val="3C456D30"/>
    <w:rsid w:val="3CD371A8"/>
    <w:rsid w:val="3D272842"/>
    <w:rsid w:val="3D661EA9"/>
    <w:rsid w:val="3D6D517E"/>
    <w:rsid w:val="3DB629AA"/>
    <w:rsid w:val="3DE8120D"/>
    <w:rsid w:val="3E02584E"/>
    <w:rsid w:val="3E042B79"/>
    <w:rsid w:val="3E080876"/>
    <w:rsid w:val="3E307122"/>
    <w:rsid w:val="3E346143"/>
    <w:rsid w:val="3E4E0AC4"/>
    <w:rsid w:val="3E552EA4"/>
    <w:rsid w:val="3E726C3E"/>
    <w:rsid w:val="3EAF5A95"/>
    <w:rsid w:val="3ED43706"/>
    <w:rsid w:val="3F0E6C03"/>
    <w:rsid w:val="3F30190B"/>
    <w:rsid w:val="3F4050D9"/>
    <w:rsid w:val="3F4B6372"/>
    <w:rsid w:val="3F5B687F"/>
    <w:rsid w:val="3F8330F3"/>
    <w:rsid w:val="3FA84A07"/>
    <w:rsid w:val="3FB00CAB"/>
    <w:rsid w:val="3FE0237C"/>
    <w:rsid w:val="400F736E"/>
    <w:rsid w:val="4034764F"/>
    <w:rsid w:val="40477AD3"/>
    <w:rsid w:val="40586307"/>
    <w:rsid w:val="40896772"/>
    <w:rsid w:val="40A57E4D"/>
    <w:rsid w:val="41067DC3"/>
    <w:rsid w:val="411E0E38"/>
    <w:rsid w:val="411E30D9"/>
    <w:rsid w:val="412F432D"/>
    <w:rsid w:val="41667FEB"/>
    <w:rsid w:val="419D28C4"/>
    <w:rsid w:val="41AC59B7"/>
    <w:rsid w:val="41C85D3F"/>
    <w:rsid w:val="41E665F3"/>
    <w:rsid w:val="41EA1493"/>
    <w:rsid w:val="42096ECA"/>
    <w:rsid w:val="42110EF8"/>
    <w:rsid w:val="4226071D"/>
    <w:rsid w:val="423D5A66"/>
    <w:rsid w:val="4241698C"/>
    <w:rsid w:val="428F1F57"/>
    <w:rsid w:val="42B9763D"/>
    <w:rsid w:val="42E87780"/>
    <w:rsid w:val="42EA2322"/>
    <w:rsid w:val="431A3304"/>
    <w:rsid w:val="43580CE8"/>
    <w:rsid w:val="43714213"/>
    <w:rsid w:val="43785DBB"/>
    <w:rsid w:val="439671DC"/>
    <w:rsid w:val="43B05755"/>
    <w:rsid w:val="43C64FBC"/>
    <w:rsid w:val="43DA6B22"/>
    <w:rsid w:val="441C689B"/>
    <w:rsid w:val="44252B13"/>
    <w:rsid w:val="443133A9"/>
    <w:rsid w:val="44520D71"/>
    <w:rsid w:val="4463353B"/>
    <w:rsid w:val="447907FE"/>
    <w:rsid w:val="448059BA"/>
    <w:rsid w:val="448073A1"/>
    <w:rsid w:val="44A8366B"/>
    <w:rsid w:val="44C304FE"/>
    <w:rsid w:val="44DB384C"/>
    <w:rsid w:val="44EA7F8E"/>
    <w:rsid w:val="450F3DCB"/>
    <w:rsid w:val="4568612B"/>
    <w:rsid w:val="45B15221"/>
    <w:rsid w:val="45EA33B3"/>
    <w:rsid w:val="463F1017"/>
    <w:rsid w:val="4672428F"/>
    <w:rsid w:val="46C2653A"/>
    <w:rsid w:val="46EE732F"/>
    <w:rsid w:val="470741B3"/>
    <w:rsid w:val="471D22C0"/>
    <w:rsid w:val="47337424"/>
    <w:rsid w:val="47574ED5"/>
    <w:rsid w:val="476A04C3"/>
    <w:rsid w:val="47E74126"/>
    <w:rsid w:val="48206787"/>
    <w:rsid w:val="48383FE2"/>
    <w:rsid w:val="48452CF3"/>
    <w:rsid w:val="48573FB3"/>
    <w:rsid w:val="487D4DCB"/>
    <w:rsid w:val="488F1019"/>
    <w:rsid w:val="48A167DB"/>
    <w:rsid w:val="48FB5DCE"/>
    <w:rsid w:val="490D1A5E"/>
    <w:rsid w:val="49311BE8"/>
    <w:rsid w:val="49351EAD"/>
    <w:rsid w:val="49795539"/>
    <w:rsid w:val="497C0D3C"/>
    <w:rsid w:val="49A01FC5"/>
    <w:rsid w:val="49C12E05"/>
    <w:rsid w:val="49DB5BD6"/>
    <w:rsid w:val="4A346EF9"/>
    <w:rsid w:val="4A377170"/>
    <w:rsid w:val="4A381A7F"/>
    <w:rsid w:val="4A4123CD"/>
    <w:rsid w:val="4A60289F"/>
    <w:rsid w:val="4A99652F"/>
    <w:rsid w:val="4A997604"/>
    <w:rsid w:val="4AAA1E74"/>
    <w:rsid w:val="4AB80FDD"/>
    <w:rsid w:val="4AEA0AEB"/>
    <w:rsid w:val="4AEA2E00"/>
    <w:rsid w:val="4AF85E79"/>
    <w:rsid w:val="4B644823"/>
    <w:rsid w:val="4B6819F9"/>
    <w:rsid w:val="4B7722DB"/>
    <w:rsid w:val="4BA7470A"/>
    <w:rsid w:val="4BCC5633"/>
    <w:rsid w:val="4C090125"/>
    <w:rsid w:val="4C12428C"/>
    <w:rsid w:val="4C3D7453"/>
    <w:rsid w:val="4C432948"/>
    <w:rsid w:val="4C9A3174"/>
    <w:rsid w:val="4CB2619D"/>
    <w:rsid w:val="4CD90D6B"/>
    <w:rsid w:val="4CE90CC5"/>
    <w:rsid w:val="4CF71E2B"/>
    <w:rsid w:val="4D241CFD"/>
    <w:rsid w:val="4D337373"/>
    <w:rsid w:val="4D4B0133"/>
    <w:rsid w:val="4D7346DD"/>
    <w:rsid w:val="4DAF5A17"/>
    <w:rsid w:val="4DC757F7"/>
    <w:rsid w:val="4DD6089A"/>
    <w:rsid w:val="4E2215DF"/>
    <w:rsid w:val="4E2B0204"/>
    <w:rsid w:val="4E665DC4"/>
    <w:rsid w:val="4E6B6B36"/>
    <w:rsid w:val="4E7268D6"/>
    <w:rsid w:val="4E832A53"/>
    <w:rsid w:val="4E835FF2"/>
    <w:rsid w:val="4EB55C3E"/>
    <w:rsid w:val="4EC23215"/>
    <w:rsid w:val="4EDF107B"/>
    <w:rsid w:val="4EFF7FF5"/>
    <w:rsid w:val="4F375A4D"/>
    <w:rsid w:val="4FB57216"/>
    <w:rsid w:val="4FBE0032"/>
    <w:rsid w:val="4FEA5B24"/>
    <w:rsid w:val="50131027"/>
    <w:rsid w:val="50691EF9"/>
    <w:rsid w:val="508036EE"/>
    <w:rsid w:val="50B7737A"/>
    <w:rsid w:val="50BC7522"/>
    <w:rsid w:val="50E27F05"/>
    <w:rsid w:val="50E33C7D"/>
    <w:rsid w:val="50E44FFC"/>
    <w:rsid w:val="50E87F9F"/>
    <w:rsid w:val="510734AA"/>
    <w:rsid w:val="51160BB4"/>
    <w:rsid w:val="5192564E"/>
    <w:rsid w:val="51BD44CE"/>
    <w:rsid w:val="52051B19"/>
    <w:rsid w:val="521F6F37"/>
    <w:rsid w:val="524C03C1"/>
    <w:rsid w:val="525210BA"/>
    <w:rsid w:val="5288688A"/>
    <w:rsid w:val="52BA28B8"/>
    <w:rsid w:val="52C84ED8"/>
    <w:rsid w:val="531B08DC"/>
    <w:rsid w:val="53231658"/>
    <w:rsid w:val="53403A04"/>
    <w:rsid w:val="535964F3"/>
    <w:rsid w:val="53F7206B"/>
    <w:rsid w:val="540A6704"/>
    <w:rsid w:val="540E6587"/>
    <w:rsid w:val="54245295"/>
    <w:rsid w:val="542D5ABD"/>
    <w:rsid w:val="543D7905"/>
    <w:rsid w:val="54400460"/>
    <w:rsid w:val="549C4376"/>
    <w:rsid w:val="54A66EE6"/>
    <w:rsid w:val="54C44D86"/>
    <w:rsid w:val="54E80969"/>
    <w:rsid w:val="54F9220C"/>
    <w:rsid w:val="54FF12D2"/>
    <w:rsid w:val="55061CE8"/>
    <w:rsid w:val="5511138D"/>
    <w:rsid w:val="55166F07"/>
    <w:rsid w:val="55651614"/>
    <w:rsid w:val="556A682A"/>
    <w:rsid w:val="559033D6"/>
    <w:rsid w:val="55A51337"/>
    <w:rsid w:val="55D22380"/>
    <w:rsid w:val="55D51756"/>
    <w:rsid w:val="55E76052"/>
    <w:rsid w:val="564B32A7"/>
    <w:rsid w:val="5680267C"/>
    <w:rsid w:val="568428E7"/>
    <w:rsid w:val="569870E2"/>
    <w:rsid w:val="56EE0F7F"/>
    <w:rsid w:val="56F225F5"/>
    <w:rsid w:val="57041005"/>
    <w:rsid w:val="570E390D"/>
    <w:rsid w:val="5715598F"/>
    <w:rsid w:val="57792C45"/>
    <w:rsid w:val="57B24608"/>
    <w:rsid w:val="57C55E8A"/>
    <w:rsid w:val="57E913D8"/>
    <w:rsid w:val="582D0FB3"/>
    <w:rsid w:val="583152CE"/>
    <w:rsid w:val="58546696"/>
    <w:rsid w:val="587E21BE"/>
    <w:rsid w:val="58896714"/>
    <w:rsid w:val="588B22C9"/>
    <w:rsid w:val="58DB5992"/>
    <w:rsid w:val="591363C6"/>
    <w:rsid w:val="59142C25"/>
    <w:rsid w:val="591A5BE0"/>
    <w:rsid w:val="593738E1"/>
    <w:rsid w:val="596905E8"/>
    <w:rsid w:val="59D363CD"/>
    <w:rsid w:val="59DC417C"/>
    <w:rsid w:val="59DC7129"/>
    <w:rsid w:val="59F42FEE"/>
    <w:rsid w:val="59F9241E"/>
    <w:rsid w:val="5A054C64"/>
    <w:rsid w:val="5A33758E"/>
    <w:rsid w:val="5A352E3B"/>
    <w:rsid w:val="5A4F7C8D"/>
    <w:rsid w:val="5A5305F4"/>
    <w:rsid w:val="5A5555E8"/>
    <w:rsid w:val="5A7F4A16"/>
    <w:rsid w:val="5A8424E8"/>
    <w:rsid w:val="5A8E6A07"/>
    <w:rsid w:val="5AAB10BC"/>
    <w:rsid w:val="5AC1054B"/>
    <w:rsid w:val="5AE21995"/>
    <w:rsid w:val="5B405728"/>
    <w:rsid w:val="5B906C99"/>
    <w:rsid w:val="5BD424E2"/>
    <w:rsid w:val="5C221356"/>
    <w:rsid w:val="5C3E620B"/>
    <w:rsid w:val="5CCA03B6"/>
    <w:rsid w:val="5CD201A6"/>
    <w:rsid w:val="5CFA4828"/>
    <w:rsid w:val="5CFD4C79"/>
    <w:rsid w:val="5D0E2082"/>
    <w:rsid w:val="5D1D14A4"/>
    <w:rsid w:val="5D93624B"/>
    <w:rsid w:val="5D9B249B"/>
    <w:rsid w:val="5DB26D32"/>
    <w:rsid w:val="5DD66746"/>
    <w:rsid w:val="5DF316D8"/>
    <w:rsid w:val="5E0027C9"/>
    <w:rsid w:val="5E045F7F"/>
    <w:rsid w:val="5E1F727E"/>
    <w:rsid w:val="5E237727"/>
    <w:rsid w:val="5E3431CC"/>
    <w:rsid w:val="5E373284"/>
    <w:rsid w:val="5E691BC2"/>
    <w:rsid w:val="5E6B4F38"/>
    <w:rsid w:val="5E846167"/>
    <w:rsid w:val="5EAA7669"/>
    <w:rsid w:val="5EBB19AA"/>
    <w:rsid w:val="5EC13CD5"/>
    <w:rsid w:val="5EF3152F"/>
    <w:rsid w:val="5EF66600"/>
    <w:rsid w:val="5EFF78BF"/>
    <w:rsid w:val="5F0E64B1"/>
    <w:rsid w:val="5F1F4FC3"/>
    <w:rsid w:val="5F3062DF"/>
    <w:rsid w:val="5F474E9C"/>
    <w:rsid w:val="5F820FCF"/>
    <w:rsid w:val="5F864151"/>
    <w:rsid w:val="5F8E3A03"/>
    <w:rsid w:val="5FA22D09"/>
    <w:rsid w:val="5FD50342"/>
    <w:rsid w:val="602F3F76"/>
    <w:rsid w:val="60303049"/>
    <w:rsid w:val="607C6F43"/>
    <w:rsid w:val="60A2104D"/>
    <w:rsid w:val="60AF15F1"/>
    <w:rsid w:val="610039F6"/>
    <w:rsid w:val="61493688"/>
    <w:rsid w:val="61594ADE"/>
    <w:rsid w:val="61741AD5"/>
    <w:rsid w:val="6187258F"/>
    <w:rsid w:val="61B03707"/>
    <w:rsid w:val="61C159AA"/>
    <w:rsid w:val="61DA2648"/>
    <w:rsid w:val="61E83190"/>
    <w:rsid w:val="61F43D3E"/>
    <w:rsid w:val="61F95B94"/>
    <w:rsid w:val="6247406C"/>
    <w:rsid w:val="624F1172"/>
    <w:rsid w:val="62572937"/>
    <w:rsid w:val="62B5065B"/>
    <w:rsid w:val="62B643BC"/>
    <w:rsid w:val="62D17841"/>
    <w:rsid w:val="634D7C55"/>
    <w:rsid w:val="63A7263F"/>
    <w:rsid w:val="63B82D47"/>
    <w:rsid w:val="63BF7C32"/>
    <w:rsid w:val="63C45248"/>
    <w:rsid w:val="642D0D07"/>
    <w:rsid w:val="643F0223"/>
    <w:rsid w:val="646D3B32"/>
    <w:rsid w:val="64DE0E7C"/>
    <w:rsid w:val="65406D21"/>
    <w:rsid w:val="654C6FF0"/>
    <w:rsid w:val="65554CF2"/>
    <w:rsid w:val="65863A06"/>
    <w:rsid w:val="658A4F57"/>
    <w:rsid w:val="65BD05B4"/>
    <w:rsid w:val="65FF44E4"/>
    <w:rsid w:val="662B7800"/>
    <w:rsid w:val="66826704"/>
    <w:rsid w:val="668D4F63"/>
    <w:rsid w:val="66943E54"/>
    <w:rsid w:val="67311DA8"/>
    <w:rsid w:val="67A612BE"/>
    <w:rsid w:val="67DF4D46"/>
    <w:rsid w:val="680B22EA"/>
    <w:rsid w:val="6816594B"/>
    <w:rsid w:val="68555008"/>
    <w:rsid w:val="68AC3F04"/>
    <w:rsid w:val="690B5362"/>
    <w:rsid w:val="69240A03"/>
    <w:rsid w:val="693A05DF"/>
    <w:rsid w:val="69647962"/>
    <w:rsid w:val="69851F0A"/>
    <w:rsid w:val="69B75659"/>
    <w:rsid w:val="69C53AC8"/>
    <w:rsid w:val="6A116BD1"/>
    <w:rsid w:val="6A152520"/>
    <w:rsid w:val="6A7A0D56"/>
    <w:rsid w:val="6A8D3E4B"/>
    <w:rsid w:val="6A8F4802"/>
    <w:rsid w:val="6A9D6D58"/>
    <w:rsid w:val="6AC326FD"/>
    <w:rsid w:val="6AF932A5"/>
    <w:rsid w:val="6B1B3717"/>
    <w:rsid w:val="6B1E126E"/>
    <w:rsid w:val="6B2C2051"/>
    <w:rsid w:val="6B2F1B41"/>
    <w:rsid w:val="6B373E75"/>
    <w:rsid w:val="6B7E1B91"/>
    <w:rsid w:val="6B8206DE"/>
    <w:rsid w:val="6BBF2DD9"/>
    <w:rsid w:val="6BCE1D53"/>
    <w:rsid w:val="6C311952"/>
    <w:rsid w:val="6C6A0E2B"/>
    <w:rsid w:val="6CC21C4D"/>
    <w:rsid w:val="6CC46B14"/>
    <w:rsid w:val="6CC87B57"/>
    <w:rsid w:val="6CCD4BDE"/>
    <w:rsid w:val="6CCD7586"/>
    <w:rsid w:val="6CD92943"/>
    <w:rsid w:val="6CF46B9E"/>
    <w:rsid w:val="6D0B2395"/>
    <w:rsid w:val="6D59374C"/>
    <w:rsid w:val="6D6802E3"/>
    <w:rsid w:val="6D88780F"/>
    <w:rsid w:val="6D9401D2"/>
    <w:rsid w:val="6D9B26DD"/>
    <w:rsid w:val="6DC4152D"/>
    <w:rsid w:val="6DC76903"/>
    <w:rsid w:val="6DC87FAF"/>
    <w:rsid w:val="6DCC4A7C"/>
    <w:rsid w:val="6E34121C"/>
    <w:rsid w:val="6E5D2ADB"/>
    <w:rsid w:val="6EBF1029"/>
    <w:rsid w:val="6F045C56"/>
    <w:rsid w:val="6F1C418A"/>
    <w:rsid w:val="6F7A55E1"/>
    <w:rsid w:val="6F9742E9"/>
    <w:rsid w:val="6FBD4AD4"/>
    <w:rsid w:val="6FC2175E"/>
    <w:rsid w:val="7024787F"/>
    <w:rsid w:val="703519D2"/>
    <w:rsid w:val="706510B7"/>
    <w:rsid w:val="70895807"/>
    <w:rsid w:val="708D75F3"/>
    <w:rsid w:val="70A01BF7"/>
    <w:rsid w:val="70AD4428"/>
    <w:rsid w:val="70E92897"/>
    <w:rsid w:val="70EF7AF9"/>
    <w:rsid w:val="714E35F1"/>
    <w:rsid w:val="716B1934"/>
    <w:rsid w:val="719643C7"/>
    <w:rsid w:val="71A83F33"/>
    <w:rsid w:val="71AA527C"/>
    <w:rsid w:val="71E05D5C"/>
    <w:rsid w:val="7208043A"/>
    <w:rsid w:val="72193A68"/>
    <w:rsid w:val="72201995"/>
    <w:rsid w:val="72274590"/>
    <w:rsid w:val="72331F17"/>
    <w:rsid w:val="723C78D0"/>
    <w:rsid w:val="7246180B"/>
    <w:rsid w:val="72493BB5"/>
    <w:rsid w:val="729B2AFB"/>
    <w:rsid w:val="72B312A9"/>
    <w:rsid w:val="72E12BDD"/>
    <w:rsid w:val="72E90827"/>
    <w:rsid w:val="73075045"/>
    <w:rsid w:val="73186167"/>
    <w:rsid w:val="731C0BFD"/>
    <w:rsid w:val="732C0596"/>
    <w:rsid w:val="736C3CDC"/>
    <w:rsid w:val="73886292"/>
    <w:rsid w:val="738A025C"/>
    <w:rsid w:val="738B58EE"/>
    <w:rsid w:val="738F6C63"/>
    <w:rsid w:val="7395370D"/>
    <w:rsid w:val="73A038D4"/>
    <w:rsid w:val="73A27303"/>
    <w:rsid w:val="73A4210F"/>
    <w:rsid w:val="73B50007"/>
    <w:rsid w:val="73D0251A"/>
    <w:rsid w:val="7405413A"/>
    <w:rsid w:val="74217232"/>
    <w:rsid w:val="743968AB"/>
    <w:rsid w:val="74397A92"/>
    <w:rsid w:val="74682A10"/>
    <w:rsid w:val="747D4C59"/>
    <w:rsid w:val="748D4B65"/>
    <w:rsid w:val="74977D4A"/>
    <w:rsid w:val="74BE269F"/>
    <w:rsid w:val="750C0BCD"/>
    <w:rsid w:val="75123A38"/>
    <w:rsid w:val="75404A5A"/>
    <w:rsid w:val="75495F8C"/>
    <w:rsid w:val="759D090A"/>
    <w:rsid w:val="75BA2606"/>
    <w:rsid w:val="75BA7197"/>
    <w:rsid w:val="75C75493"/>
    <w:rsid w:val="75E171F3"/>
    <w:rsid w:val="76346376"/>
    <w:rsid w:val="763A35B5"/>
    <w:rsid w:val="76DF5D07"/>
    <w:rsid w:val="76E4025D"/>
    <w:rsid w:val="770C64FD"/>
    <w:rsid w:val="77196332"/>
    <w:rsid w:val="77292E99"/>
    <w:rsid w:val="776C7EF0"/>
    <w:rsid w:val="77853CF2"/>
    <w:rsid w:val="77901521"/>
    <w:rsid w:val="77D843D2"/>
    <w:rsid w:val="7866291A"/>
    <w:rsid w:val="78B10F93"/>
    <w:rsid w:val="78D64DB4"/>
    <w:rsid w:val="79007935"/>
    <w:rsid w:val="793574F8"/>
    <w:rsid w:val="79372D25"/>
    <w:rsid w:val="79792E52"/>
    <w:rsid w:val="79957FC1"/>
    <w:rsid w:val="79A743CC"/>
    <w:rsid w:val="79C8782F"/>
    <w:rsid w:val="7A12721B"/>
    <w:rsid w:val="7A1718DA"/>
    <w:rsid w:val="7A5E3689"/>
    <w:rsid w:val="7A6F7B0E"/>
    <w:rsid w:val="7A7F544C"/>
    <w:rsid w:val="7ABE3155"/>
    <w:rsid w:val="7B046BAE"/>
    <w:rsid w:val="7B1E7754"/>
    <w:rsid w:val="7B242D44"/>
    <w:rsid w:val="7B2532DA"/>
    <w:rsid w:val="7BA94FF8"/>
    <w:rsid w:val="7BC136E6"/>
    <w:rsid w:val="7C084414"/>
    <w:rsid w:val="7C093BD2"/>
    <w:rsid w:val="7C214241"/>
    <w:rsid w:val="7C306C27"/>
    <w:rsid w:val="7C377F63"/>
    <w:rsid w:val="7C395444"/>
    <w:rsid w:val="7C3F795A"/>
    <w:rsid w:val="7C4C7846"/>
    <w:rsid w:val="7C804CED"/>
    <w:rsid w:val="7C835849"/>
    <w:rsid w:val="7CD36E26"/>
    <w:rsid w:val="7CDA4A22"/>
    <w:rsid w:val="7CF30A44"/>
    <w:rsid w:val="7D154C4F"/>
    <w:rsid w:val="7D282625"/>
    <w:rsid w:val="7D5E18C3"/>
    <w:rsid w:val="7D7C39D0"/>
    <w:rsid w:val="7D981070"/>
    <w:rsid w:val="7DF37592"/>
    <w:rsid w:val="7DFC3B04"/>
    <w:rsid w:val="7E434EF6"/>
    <w:rsid w:val="7E503E50"/>
    <w:rsid w:val="7E916E45"/>
    <w:rsid w:val="7E970D8E"/>
    <w:rsid w:val="7EB6291D"/>
    <w:rsid w:val="7EDE76AE"/>
    <w:rsid w:val="7EE0457D"/>
    <w:rsid w:val="7F0B1758"/>
    <w:rsid w:val="7F303031"/>
    <w:rsid w:val="7FBB6B94"/>
    <w:rsid w:val="7FC5595E"/>
    <w:rsid w:val="7FFC3D5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link w:val="42"/>
    <w:qFormat/>
    <w:uiPriority w:val="1"/>
    <w:pPr>
      <w:numPr>
        <w:ilvl w:val="0"/>
        <w:numId w:val="1"/>
      </w:numPr>
      <w:spacing w:line="360" w:lineRule="auto"/>
      <w:ind w:left="432" w:hanging="432"/>
      <w:outlineLvl w:val="0"/>
    </w:pPr>
    <w:rPr>
      <w:rFonts w:ascii="Times New Roman" w:hAnsi="Times New Roman" w:eastAsia="宋体"/>
      <w:b/>
      <w:bCs/>
      <w:sz w:val="30"/>
      <w:szCs w:val="30"/>
    </w:rPr>
  </w:style>
  <w:style w:type="paragraph" w:styleId="3">
    <w:name w:val="heading 2"/>
    <w:basedOn w:val="1"/>
    <w:next w:val="1"/>
    <w:link w:val="43"/>
    <w:qFormat/>
    <w:uiPriority w:val="1"/>
    <w:pPr>
      <w:numPr>
        <w:ilvl w:val="1"/>
        <w:numId w:val="1"/>
      </w:numPr>
      <w:spacing w:line="360" w:lineRule="auto"/>
      <w:ind w:left="575" w:hanging="575"/>
      <w:outlineLvl w:val="1"/>
    </w:pPr>
    <w:rPr>
      <w:rFonts w:ascii="Times New Roman" w:hAnsi="Times New Roman" w:eastAsia="宋体"/>
      <w:b/>
      <w:bCs/>
      <w:sz w:val="28"/>
      <w:szCs w:val="28"/>
    </w:rPr>
  </w:style>
  <w:style w:type="paragraph" w:styleId="4">
    <w:name w:val="heading 3"/>
    <w:basedOn w:val="1"/>
    <w:next w:val="1"/>
    <w:link w:val="44"/>
    <w:qFormat/>
    <w:uiPriority w:val="1"/>
    <w:pPr>
      <w:numPr>
        <w:ilvl w:val="2"/>
        <w:numId w:val="1"/>
      </w:numPr>
      <w:spacing w:line="360" w:lineRule="auto"/>
      <w:ind w:left="720" w:hanging="720"/>
      <w:outlineLvl w:val="2"/>
    </w:pPr>
    <w:rPr>
      <w:rFonts w:ascii="Times New Roman" w:hAnsi="Times New Roman" w:eastAsia="宋体"/>
      <w:b/>
      <w:bCs/>
      <w:sz w:val="28"/>
      <w:szCs w:val="28"/>
    </w:rPr>
  </w:style>
  <w:style w:type="paragraph" w:styleId="5">
    <w:name w:val="heading 4"/>
    <w:basedOn w:val="1"/>
    <w:next w:val="1"/>
    <w:link w:val="45"/>
    <w:qFormat/>
    <w:uiPriority w:val="1"/>
    <w:pPr>
      <w:numPr>
        <w:ilvl w:val="3"/>
        <w:numId w:val="1"/>
      </w:numPr>
      <w:spacing w:line="360" w:lineRule="auto"/>
      <w:ind w:left="0" w:firstLine="0"/>
      <w:outlineLvl w:val="3"/>
    </w:pPr>
    <w:rPr>
      <w:rFonts w:ascii="Times New Roman" w:hAnsi="Times New Roman" w:eastAsia="宋体"/>
      <w:b/>
      <w:bCs/>
      <w:sz w:val="24"/>
      <w:szCs w:val="24"/>
    </w:rPr>
  </w:style>
  <w:style w:type="paragraph" w:styleId="6">
    <w:name w:val="heading 5"/>
    <w:basedOn w:val="1"/>
    <w:next w:val="1"/>
    <w:link w:val="46"/>
    <w:qFormat/>
    <w:uiPriority w:val="1"/>
    <w:pPr>
      <w:numPr>
        <w:ilvl w:val="4"/>
        <w:numId w:val="1"/>
      </w:numPr>
      <w:ind w:left="1008" w:hanging="1008"/>
      <w:outlineLvl w:val="4"/>
    </w:pPr>
    <w:rPr>
      <w:b/>
      <w:bCs/>
      <w:sz w:val="24"/>
      <w:szCs w:val="24"/>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35">
    <w:name w:val="Default Paragraph Font"/>
    <w:unhideWhenUsed/>
    <w:qFormat/>
    <w:uiPriority w:val="1"/>
  </w:style>
  <w:style w:type="table" w:default="1" w:styleId="33">
    <w:name w:val="Normal Table"/>
    <w:semiHidden/>
    <w:qFormat/>
    <w:uiPriority w:val="0"/>
    <w:tblPr>
      <w:tblCellMar>
        <w:top w:w="0" w:type="dxa"/>
        <w:left w:w="108" w:type="dxa"/>
        <w:bottom w:w="0" w:type="dxa"/>
        <w:right w:w="108" w:type="dxa"/>
      </w:tblCellMar>
    </w:tblPr>
  </w:style>
  <w:style w:type="paragraph" w:styleId="11">
    <w:name w:val="Normal Indent"/>
    <w:basedOn w:val="1"/>
    <w:next w:val="12"/>
    <w:qFormat/>
    <w:uiPriority w:val="0"/>
    <w:pPr>
      <w:ind w:firstLine="420" w:firstLineChars="200"/>
    </w:pPr>
    <w:rPr>
      <w:rFonts w:ascii="宋体" w:hAnsi="宋体"/>
    </w:rPr>
  </w:style>
  <w:style w:type="paragraph" w:styleId="12">
    <w:name w:val="Body Text First Indent 2"/>
    <w:basedOn w:val="13"/>
    <w:next w:val="1"/>
    <w:qFormat/>
    <w:uiPriority w:val="0"/>
    <w:pPr>
      <w:spacing w:after="120" w:line="240" w:lineRule="auto"/>
      <w:ind w:left="420" w:leftChars="200" w:firstLine="420" w:firstLineChars="200"/>
      <w:jc w:val="both"/>
    </w:pPr>
    <w:rPr>
      <w:sz w:val="28"/>
      <w:szCs w:val="28"/>
    </w:rPr>
  </w:style>
  <w:style w:type="paragraph" w:styleId="13">
    <w:name w:val="Body Text Indent"/>
    <w:basedOn w:val="1"/>
    <w:next w:val="1"/>
    <w:link w:val="41"/>
    <w:unhideWhenUsed/>
    <w:qFormat/>
    <w:uiPriority w:val="0"/>
    <w:pPr>
      <w:autoSpaceDE/>
      <w:autoSpaceDN/>
      <w:spacing w:after="120" w:line="500" w:lineRule="exact"/>
      <w:ind w:left="420" w:leftChars="200" w:firstLine="200" w:firstLineChars="200"/>
      <w:jc w:val="both"/>
    </w:pPr>
    <w:rPr>
      <w:rFonts w:ascii="Calibri" w:hAnsi="Calibri" w:cs="Times New Roman"/>
      <w:kern w:val="2"/>
      <w:sz w:val="24"/>
      <w:lang w:bidi="ar-SA"/>
    </w:rPr>
  </w:style>
  <w:style w:type="paragraph" w:styleId="14">
    <w:name w:val="caption"/>
    <w:basedOn w:val="1"/>
    <w:next w:val="1"/>
    <w:link w:val="47"/>
    <w:qFormat/>
    <w:uiPriority w:val="0"/>
    <w:pPr>
      <w:widowControl/>
      <w:autoSpaceDE w:val="0"/>
      <w:autoSpaceDN w:val="0"/>
      <w:adjustRightInd w:val="0"/>
      <w:snapToGrid w:val="0"/>
      <w:spacing w:line="240" w:lineRule="auto"/>
      <w:jc w:val="center"/>
    </w:pPr>
    <w:rPr>
      <w:rFonts w:ascii="Times New Roman" w:hAnsi="Times New Roman" w:eastAsia="宋体" w:cs="Times New Roman"/>
      <w:b/>
      <w:sz w:val="21"/>
      <w:szCs w:val="21"/>
      <w:lang w:bidi="ar-SA"/>
    </w:rPr>
  </w:style>
  <w:style w:type="paragraph" w:styleId="15">
    <w:name w:val="annotation text"/>
    <w:basedOn w:val="1"/>
    <w:link w:val="48"/>
    <w:qFormat/>
    <w:uiPriority w:val="0"/>
  </w:style>
  <w:style w:type="paragraph" w:styleId="16">
    <w:name w:val="Body Text"/>
    <w:basedOn w:val="1"/>
    <w:link w:val="49"/>
    <w:qFormat/>
    <w:uiPriority w:val="1"/>
    <w:pPr>
      <w:spacing w:before="1" w:line="353" w:lineRule="auto"/>
      <w:ind w:right="-11" w:firstLine="480" w:firstLineChars="200"/>
      <w:jc w:val="both"/>
    </w:pPr>
    <w:rPr>
      <w:rFonts w:ascii="Times New Roman" w:hAnsi="Times New Roman"/>
      <w:color w:val="0000FF"/>
      <w:sz w:val="24"/>
      <w:szCs w:val="24"/>
      <w:highlight w:val="none"/>
    </w:rPr>
  </w:style>
  <w:style w:type="paragraph" w:styleId="17">
    <w:name w:val="Block Text"/>
    <w:basedOn w:val="1"/>
    <w:unhideWhenUsed/>
    <w:qFormat/>
    <w:uiPriority w:val="99"/>
    <w:pPr>
      <w:spacing w:after="120"/>
      <w:ind w:left="1440" w:leftChars="700" w:right="1440" w:rightChars="700"/>
    </w:pPr>
  </w:style>
  <w:style w:type="paragraph" w:styleId="18">
    <w:name w:val="Plain Text"/>
    <w:basedOn w:val="1"/>
    <w:link w:val="51"/>
    <w:qFormat/>
    <w:uiPriority w:val="0"/>
    <w:rPr>
      <w:rFonts w:hAnsi="Courier New" w:cs="Courier New"/>
      <w:sz w:val="21"/>
      <w:szCs w:val="21"/>
    </w:rPr>
  </w:style>
  <w:style w:type="paragraph" w:styleId="19">
    <w:name w:val="List Bullet 5"/>
    <w:basedOn w:val="1"/>
    <w:qFormat/>
    <w:uiPriority w:val="0"/>
    <w:pPr>
      <w:numPr>
        <w:ilvl w:val="0"/>
        <w:numId w:val="2"/>
      </w:numPr>
    </w:pPr>
  </w:style>
  <w:style w:type="paragraph" w:styleId="20">
    <w:name w:val="Balloon Text"/>
    <w:basedOn w:val="1"/>
    <w:link w:val="52"/>
    <w:qFormat/>
    <w:uiPriority w:val="0"/>
    <w:rPr>
      <w:sz w:val="18"/>
      <w:szCs w:val="18"/>
    </w:rPr>
  </w:style>
  <w:style w:type="paragraph" w:styleId="21">
    <w:name w:val="footer"/>
    <w:basedOn w:val="1"/>
    <w:link w:val="53"/>
    <w:qFormat/>
    <w:uiPriority w:val="99"/>
    <w:pPr>
      <w:tabs>
        <w:tab w:val="center" w:pos="4153"/>
        <w:tab w:val="right" w:pos="8306"/>
      </w:tabs>
      <w:snapToGrid w:val="0"/>
      <w:jc w:val="left"/>
    </w:pPr>
    <w:rPr>
      <w:sz w:val="18"/>
    </w:rPr>
  </w:style>
  <w:style w:type="paragraph" w:styleId="22">
    <w:name w:val="header"/>
    <w:basedOn w:val="1"/>
    <w:next w:val="1"/>
    <w:link w:val="54"/>
    <w:qFormat/>
    <w:uiPriority w:val="99"/>
    <w:pPr>
      <w:tabs>
        <w:tab w:val="center" w:pos="4153"/>
        <w:tab w:val="right" w:pos="8306"/>
      </w:tabs>
      <w:snapToGrid w:val="0"/>
      <w:jc w:val="both"/>
    </w:pPr>
    <w:rPr>
      <w:sz w:val="18"/>
    </w:rPr>
  </w:style>
  <w:style w:type="paragraph" w:styleId="23">
    <w:name w:val="toc 1"/>
    <w:basedOn w:val="1"/>
    <w:next w:val="1"/>
    <w:qFormat/>
    <w:uiPriority w:val="39"/>
    <w:pPr>
      <w:spacing w:before="114"/>
      <w:ind w:left="540" w:hanging="243"/>
    </w:pPr>
    <w:rPr>
      <w:rFonts w:ascii="宋体" w:hAnsi="宋体" w:eastAsia="宋体" w:cs="宋体"/>
      <w:b/>
      <w:bCs/>
      <w:sz w:val="24"/>
      <w:szCs w:val="24"/>
      <w:lang w:val="zh-CN" w:eastAsia="zh-CN" w:bidi="zh-CN"/>
    </w:rPr>
  </w:style>
  <w:style w:type="paragraph" w:styleId="24">
    <w:name w:val="index heading"/>
    <w:basedOn w:val="1"/>
    <w:next w:val="25"/>
    <w:qFormat/>
    <w:uiPriority w:val="0"/>
    <w:pPr>
      <w:adjustRightInd w:val="0"/>
      <w:spacing w:line="312" w:lineRule="atLeast"/>
      <w:textAlignment w:val="baseline"/>
    </w:pPr>
  </w:style>
  <w:style w:type="paragraph" w:styleId="25">
    <w:name w:val="index 1"/>
    <w:basedOn w:val="1"/>
    <w:next w:val="1"/>
    <w:qFormat/>
    <w:uiPriority w:val="0"/>
    <w:pPr>
      <w:spacing w:line="400" w:lineRule="exact"/>
      <w:jc w:val="center"/>
    </w:pPr>
    <w:rPr>
      <w:spacing w:val="-10"/>
    </w:rPr>
  </w:style>
  <w:style w:type="paragraph" w:styleId="26">
    <w:name w:val="List"/>
    <w:basedOn w:val="1"/>
    <w:qFormat/>
    <w:uiPriority w:val="0"/>
    <w:pPr>
      <w:ind w:left="200" w:hanging="200" w:hangingChars="200"/>
    </w:pPr>
  </w:style>
  <w:style w:type="paragraph" w:styleId="27">
    <w:name w:val="toc 2"/>
    <w:basedOn w:val="1"/>
    <w:next w:val="1"/>
    <w:qFormat/>
    <w:uiPriority w:val="39"/>
    <w:pPr>
      <w:spacing w:before="101"/>
      <w:ind w:left="826" w:hanging="317"/>
    </w:pPr>
    <w:rPr>
      <w:rFonts w:ascii="宋体" w:hAnsi="宋体" w:eastAsia="宋体" w:cs="宋体"/>
      <w:sz w:val="21"/>
      <w:szCs w:val="21"/>
      <w:lang w:val="zh-CN" w:eastAsia="zh-CN" w:bidi="zh-CN"/>
    </w:rPr>
  </w:style>
  <w:style w:type="paragraph" w:styleId="28">
    <w:name w:val="toc 9"/>
    <w:basedOn w:val="1"/>
    <w:next w:val="1"/>
    <w:qFormat/>
    <w:uiPriority w:val="0"/>
    <w:pPr>
      <w:autoSpaceDE/>
      <w:autoSpaceDN/>
      <w:ind w:left="3360" w:leftChars="1600"/>
      <w:jc w:val="both"/>
    </w:pPr>
    <w:rPr>
      <w:rFonts w:ascii="Calibri" w:hAnsi="Calibri" w:cs="Times New Roman"/>
      <w:kern w:val="2"/>
      <w:sz w:val="21"/>
      <w:lang w:val="en-US" w:bidi="ar-SA"/>
    </w:rPr>
  </w:style>
  <w:style w:type="paragraph" w:styleId="29">
    <w:name w:val="Body Text 2"/>
    <w:basedOn w:val="1"/>
    <w:qFormat/>
    <w:uiPriority w:val="99"/>
    <w:pPr>
      <w:spacing w:after="120" w:line="480" w:lineRule="auto"/>
    </w:pPr>
  </w:style>
  <w:style w:type="paragraph" w:styleId="3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1">
    <w:name w:val="annotation subject"/>
    <w:basedOn w:val="15"/>
    <w:next w:val="15"/>
    <w:link w:val="55"/>
    <w:qFormat/>
    <w:uiPriority w:val="0"/>
    <w:rPr>
      <w:b/>
      <w:bCs/>
    </w:rPr>
  </w:style>
  <w:style w:type="paragraph" w:styleId="32">
    <w:name w:val="Body Text First Indent"/>
    <w:basedOn w:val="16"/>
    <w:qFormat/>
    <w:uiPriority w:val="0"/>
    <w:pPr>
      <w:spacing w:after="120"/>
      <w:ind w:firstLine="420" w:firstLineChars="100"/>
    </w:pPr>
    <w:rPr>
      <w:sz w:val="21"/>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rPr>
  </w:style>
  <w:style w:type="character" w:styleId="37">
    <w:name w:val="page number"/>
    <w:basedOn w:val="35"/>
    <w:qFormat/>
    <w:uiPriority w:val="0"/>
  </w:style>
  <w:style w:type="character" w:styleId="38">
    <w:name w:val="FollowedHyperlink"/>
    <w:qFormat/>
    <w:uiPriority w:val="0"/>
    <w:rPr>
      <w:rFonts w:ascii="微软雅黑" w:hAnsi="微软雅黑" w:eastAsia="微软雅黑" w:cs="微软雅黑"/>
      <w:color w:val="800080"/>
      <w:u w:val="none"/>
    </w:rPr>
  </w:style>
  <w:style w:type="character" w:styleId="39">
    <w:name w:val="Hyperlink"/>
    <w:qFormat/>
    <w:uiPriority w:val="99"/>
    <w:rPr>
      <w:rFonts w:hint="eastAsia" w:ascii="微软雅黑" w:hAnsi="微软雅黑" w:eastAsia="微软雅黑" w:cs="微软雅黑"/>
      <w:color w:val="0000FF"/>
      <w:u w:val="none"/>
    </w:rPr>
  </w:style>
  <w:style w:type="character" w:styleId="40">
    <w:name w:val="annotation reference"/>
    <w:qFormat/>
    <w:uiPriority w:val="0"/>
    <w:rPr>
      <w:sz w:val="21"/>
      <w:szCs w:val="21"/>
    </w:rPr>
  </w:style>
  <w:style w:type="character" w:customStyle="1" w:styleId="41">
    <w:name w:val="正文文本缩进 Char"/>
    <w:link w:val="13"/>
    <w:qFormat/>
    <w:uiPriority w:val="0"/>
    <w:rPr>
      <w:rFonts w:ascii="Calibri" w:hAnsi="Calibri"/>
      <w:kern w:val="2"/>
      <w:sz w:val="24"/>
      <w:szCs w:val="22"/>
    </w:rPr>
  </w:style>
  <w:style w:type="character" w:customStyle="1" w:styleId="42">
    <w:name w:val="标题 1 字符"/>
    <w:link w:val="2"/>
    <w:qFormat/>
    <w:uiPriority w:val="1"/>
    <w:rPr>
      <w:rFonts w:ascii="Times New Roman" w:hAnsi="Times New Roman" w:eastAsia="宋体" w:cs="宋体"/>
      <w:b/>
      <w:bCs/>
      <w:sz w:val="30"/>
      <w:szCs w:val="30"/>
      <w:lang w:val="zh-CN" w:bidi="zh-CN"/>
    </w:rPr>
  </w:style>
  <w:style w:type="character" w:customStyle="1" w:styleId="43">
    <w:name w:val="标题 2 字符"/>
    <w:link w:val="3"/>
    <w:qFormat/>
    <w:uiPriority w:val="1"/>
    <w:rPr>
      <w:rFonts w:ascii="Times New Roman" w:hAnsi="Times New Roman" w:eastAsia="宋体" w:cs="宋体"/>
      <w:b/>
      <w:bCs/>
      <w:sz w:val="28"/>
      <w:szCs w:val="28"/>
      <w:lang w:val="zh-CN" w:bidi="zh-CN"/>
    </w:rPr>
  </w:style>
  <w:style w:type="character" w:customStyle="1" w:styleId="44">
    <w:name w:val="标题 3 Char"/>
    <w:link w:val="4"/>
    <w:qFormat/>
    <w:uiPriority w:val="1"/>
    <w:rPr>
      <w:rFonts w:ascii="Times New Roman" w:hAnsi="Times New Roman" w:eastAsia="宋体" w:cs="宋体"/>
      <w:b/>
      <w:bCs/>
      <w:sz w:val="28"/>
      <w:szCs w:val="28"/>
      <w:lang w:val="zh-CN" w:eastAsia="zh-CN" w:bidi="zh-CN"/>
    </w:rPr>
  </w:style>
  <w:style w:type="character" w:customStyle="1" w:styleId="45">
    <w:name w:val="标题 4 字符"/>
    <w:link w:val="5"/>
    <w:qFormat/>
    <w:uiPriority w:val="1"/>
    <w:rPr>
      <w:rFonts w:ascii="Times New Roman" w:hAnsi="Times New Roman" w:eastAsia="宋体" w:cs="宋体"/>
      <w:b/>
      <w:bCs/>
      <w:sz w:val="24"/>
      <w:szCs w:val="24"/>
      <w:lang w:val="zh-CN" w:bidi="zh-CN"/>
    </w:rPr>
  </w:style>
  <w:style w:type="character" w:customStyle="1" w:styleId="46">
    <w:name w:val="标题 5 字符"/>
    <w:link w:val="6"/>
    <w:qFormat/>
    <w:uiPriority w:val="1"/>
    <w:rPr>
      <w:rFonts w:ascii="宋体" w:hAnsi="宋体" w:cs="宋体"/>
      <w:b/>
      <w:bCs/>
      <w:sz w:val="24"/>
      <w:szCs w:val="24"/>
      <w:lang w:val="zh-CN" w:bidi="zh-CN"/>
    </w:rPr>
  </w:style>
  <w:style w:type="character" w:customStyle="1" w:styleId="47">
    <w:name w:val="题注 Char"/>
    <w:link w:val="14"/>
    <w:qFormat/>
    <w:uiPriority w:val="0"/>
    <w:rPr>
      <w:rFonts w:ascii="Times New Roman" w:hAnsi="Times New Roman" w:eastAsia="宋体" w:cs="Times New Roman"/>
      <w:b/>
      <w:sz w:val="21"/>
      <w:szCs w:val="21"/>
      <w:lang w:bidi="ar-SA"/>
    </w:rPr>
  </w:style>
  <w:style w:type="character" w:customStyle="1" w:styleId="48">
    <w:name w:val="批注文字 Char"/>
    <w:link w:val="15"/>
    <w:qFormat/>
    <w:uiPriority w:val="0"/>
    <w:rPr>
      <w:rFonts w:ascii="宋体" w:hAnsi="宋体" w:cs="宋体"/>
      <w:sz w:val="22"/>
      <w:szCs w:val="22"/>
      <w:lang w:val="zh-CN" w:bidi="zh-CN"/>
    </w:rPr>
  </w:style>
  <w:style w:type="character" w:customStyle="1" w:styleId="49">
    <w:name w:val="正文文本 Char"/>
    <w:link w:val="16"/>
    <w:qFormat/>
    <w:uiPriority w:val="1"/>
    <w:rPr>
      <w:rFonts w:ascii="Times New Roman" w:hAnsi="Times New Roman" w:cs="宋体"/>
      <w:color w:val="0000FF"/>
      <w:sz w:val="24"/>
      <w:szCs w:val="24"/>
      <w:highlight w:val="none"/>
      <w:lang w:val="zh-CN" w:eastAsia="zh-CN" w:bidi="zh-CN"/>
    </w:rPr>
  </w:style>
  <w:style w:type="paragraph" w:customStyle="1" w:styleId="50">
    <w:name w:val="Body Text 21"/>
    <w:basedOn w:val="1"/>
    <w:qFormat/>
    <w:uiPriority w:val="0"/>
    <w:pPr>
      <w:spacing w:line="360" w:lineRule="auto"/>
      <w:ind w:firstLine="480" w:firstLineChars="200"/>
      <w:jc w:val="left"/>
    </w:pPr>
    <w:rPr>
      <w:rFonts w:ascii="宋体" w:hAnsi="宋体"/>
      <w:sz w:val="24"/>
    </w:rPr>
  </w:style>
  <w:style w:type="character" w:customStyle="1" w:styleId="51">
    <w:name w:val="纯文本 字符1"/>
    <w:link w:val="18"/>
    <w:qFormat/>
    <w:uiPriority w:val="0"/>
    <w:rPr>
      <w:rFonts w:ascii="宋体" w:hAnsi="Courier New" w:cs="Courier New"/>
      <w:sz w:val="21"/>
      <w:szCs w:val="21"/>
      <w:lang w:val="zh-CN" w:bidi="zh-CN"/>
    </w:rPr>
  </w:style>
  <w:style w:type="character" w:customStyle="1" w:styleId="52">
    <w:name w:val="批注框文本 Char"/>
    <w:link w:val="20"/>
    <w:qFormat/>
    <w:uiPriority w:val="0"/>
    <w:rPr>
      <w:rFonts w:ascii="宋体" w:hAnsi="宋体" w:cs="宋体"/>
      <w:sz w:val="18"/>
      <w:szCs w:val="18"/>
      <w:lang w:val="zh-CN" w:bidi="zh-CN"/>
    </w:rPr>
  </w:style>
  <w:style w:type="character" w:customStyle="1" w:styleId="53">
    <w:name w:val="页脚 Char"/>
    <w:link w:val="21"/>
    <w:qFormat/>
    <w:uiPriority w:val="99"/>
    <w:rPr>
      <w:rFonts w:ascii="宋体" w:hAnsi="宋体" w:cs="宋体"/>
      <w:sz w:val="18"/>
      <w:szCs w:val="22"/>
      <w:lang w:val="zh-CN" w:bidi="zh-CN"/>
    </w:rPr>
  </w:style>
  <w:style w:type="character" w:customStyle="1" w:styleId="54">
    <w:name w:val="页眉 Char"/>
    <w:link w:val="22"/>
    <w:qFormat/>
    <w:uiPriority w:val="99"/>
    <w:rPr>
      <w:rFonts w:ascii="宋体" w:hAnsi="宋体" w:cs="宋体"/>
      <w:sz w:val="18"/>
      <w:szCs w:val="22"/>
      <w:lang w:val="zh-CN" w:bidi="zh-CN"/>
    </w:rPr>
  </w:style>
  <w:style w:type="character" w:customStyle="1" w:styleId="55">
    <w:name w:val="批注主题 Char"/>
    <w:link w:val="31"/>
    <w:qFormat/>
    <w:uiPriority w:val="0"/>
    <w:rPr>
      <w:rFonts w:ascii="宋体" w:hAnsi="宋体" w:cs="宋体"/>
      <w:b/>
      <w:bCs/>
      <w:sz w:val="22"/>
      <w:szCs w:val="22"/>
      <w:lang w:val="zh-CN" w:bidi="zh-CN"/>
    </w:rPr>
  </w:style>
  <w:style w:type="paragraph" w:customStyle="1" w:styleId="56">
    <w:name w:val="表格内"/>
    <w:basedOn w:val="1"/>
    <w:qFormat/>
    <w:uiPriority w:val="0"/>
    <w:pPr>
      <w:adjustRightInd w:val="0"/>
      <w:spacing w:line="240" w:lineRule="atLeast"/>
      <w:jc w:val="center"/>
      <w:textAlignment w:val="baseline"/>
    </w:pPr>
    <w:rPr>
      <w:rFonts w:ascii="宋体" w:hAnsi="Times New Roman"/>
      <w:kern w:val="0"/>
      <w:sz w:val="28"/>
      <w:szCs w:val="20"/>
    </w:rPr>
  </w:style>
  <w:style w:type="paragraph" w:customStyle="1" w:styleId="57">
    <w:name w:val="样式 正文文本缩进 + 行距: 1.5 倍行距"/>
    <w:basedOn w:val="58"/>
    <w:qFormat/>
    <w:uiPriority w:val="0"/>
    <w:pPr>
      <w:spacing w:after="120" w:line="360" w:lineRule="auto"/>
      <w:ind w:left="90" w:leftChars="32" w:firstLine="560" w:firstLineChars="200"/>
    </w:pPr>
    <w:rPr>
      <w:rFonts w:cs="宋体"/>
    </w:rPr>
  </w:style>
  <w:style w:type="paragraph" w:customStyle="1" w:styleId="58">
    <w:name w:val="Body Text Indent"/>
    <w:basedOn w:val="1"/>
    <w:next w:val="57"/>
    <w:qFormat/>
    <w:uiPriority w:val="0"/>
    <w:pPr>
      <w:spacing w:after="120" w:afterLines="0"/>
      <w:ind w:left="420" w:leftChars="200"/>
    </w:pPr>
    <w:rPr>
      <w:rFonts w:ascii="Times New Roman" w:hAnsi="Times New Roman" w:eastAsia="宋体"/>
      <w:sz w:val="24"/>
    </w:rPr>
  </w:style>
  <w:style w:type="paragraph" w:customStyle="1" w:styleId="59">
    <w:name w:val="Default"/>
    <w:basedOn w:val="60"/>
    <w:next w:val="1"/>
    <w:qFormat/>
    <w:uiPriority w:val="0"/>
    <w:pPr>
      <w:autoSpaceDE w:val="0"/>
      <w:autoSpaceDN w:val="0"/>
      <w:adjustRightInd w:val="0"/>
    </w:pPr>
    <w:rPr>
      <w:rFonts w:ascii="宋体" w:hAnsi="宋体" w:eastAsia="宋体" w:cs="宋体"/>
      <w:b/>
      <w:color w:val="000000"/>
      <w:kern w:val="0"/>
      <w:sz w:val="24"/>
    </w:rPr>
  </w:style>
  <w:style w:type="paragraph" w:customStyle="1" w:styleId="60">
    <w:name w:val="纯文本1"/>
    <w:basedOn w:val="1"/>
    <w:link w:val="61"/>
    <w:qFormat/>
    <w:uiPriority w:val="0"/>
    <w:pPr>
      <w:autoSpaceDE/>
      <w:autoSpaceDN/>
      <w:jc w:val="both"/>
    </w:pPr>
    <w:rPr>
      <w:rFonts w:hAnsi="Courier New" w:cs="Times New Roman"/>
      <w:kern w:val="2"/>
      <w:sz w:val="21"/>
      <w:szCs w:val="20"/>
      <w:lang w:bidi="ar-SA"/>
    </w:rPr>
  </w:style>
  <w:style w:type="character" w:customStyle="1" w:styleId="61">
    <w:name w:val="纯文本 字符"/>
    <w:link w:val="60"/>
    <w:qFormat/>
    <w:uiPriority w:val="0"/>
    <w:rPr>
      <w:rFonts w:ascii="宋体" w:hAnsi="Courier New" w:cs="Times New Roman"/>
      <w:kern w:val="2"/>
      <w:sz w:val="21"/>
    </w:rPr>
  </w:style>
  <w:style w:type="paragraph" w:customStyle="1" w:styleId="62">
    <w:name w:val="样式1"/>
    <w:basedOn w:val="24"/>
    <w:qFormat/>
    <w:uiPriority w:val="0"/>
    <w:pPr>
      <w:spacing w:line="360" w:lineRule="auto"/>
      <w:ind w:firstLine="480" w:firstLineChars="200"/>
    </w:pPr>
    <w:rPr>
      <w:rFonts w:hint="default" w:ascii="Calibri" w:hAnsi="Calibri" w:eastAsia="仿宋_GB2312"/>
    </w:rPr>
  </w:style>
  <w:style w:type="paragraph" w:customStyle="1" w:styleId="63">
    <w:name w:val="样式35"/>
    <w:basedOn w:val="1"/>
    <w:next w:val="1"/>
    <w:qFormat/>
    <w:uiPriority w:val="0"/>
    <w:pPr>
      <w:spacing w:line="312" w:lineRule="auto"/>
      <w:ind w:firstLine="567"/>
    </w:pPr>
    <w:rPr>
      <w:rFonts w:ascii="宋体"/>
      <w:sz w:val="28"/>
    </w:rPr>
  </w:style>
  <w:style w:type="character" w:customStyle="1" w:styleId="64">
    <w:name w:val="font11"/>
    <w:basedOn w:val="35"/>
    <w:qFormat/>
    <w:uiPriority w:val="0"/>
    <w:rPr>
      <w:rFonts w:hint="eastAsia" w:ascii="宋体" w:hAnsi="宋体" w:eastAsia="宋体" w:cs="宋体"/>
      <w:color w:val="000000"/>
      <w:sz w:val="24"/>
      <w:szCs w:val="24"/>
      <w:u w:val="none"/>
    </w:rPr>
  </w:style>
  <w:style w:type="character" w:customStyle="1" w:styleId="65">
    <w:name w:val="font01"/>
    <w:qFormat/>
    <w:uiPriority w:val="0"/>
    <w:rPr>
      <w:rFonts w:hint="default" w:ascii="Times New Roman" w:hAnsi="Times New Roman" w:cs="Times New Roman"/>
      <w:color w:val="000000"/>
      <w:sz w:val="24"/>
      <w:szCs w:val="24"/>
      <w:u w:val="none"/>
      <w:vertAlign w:val="superscript"/>
    </w:rPr>
  </w:style>
  <w:style w:type="character" w:customStyle="1" w:styleId="66">
    <w:name w:val="font21"/>
    <w:qFormat/>
    <w:uiPriority w:val="0"/>
    <w:rPr>
      <w:rFonts w:hint="default" w:ascii="Times New Roman" w:hAnsi="Times New Roman" w:cs="Times New Roman"/>
      <w:color w:val="000000"/>
      <w:sz w:val="24"/>
      <w:szCs w:val="24"/>
      <w:u w:val="none"/>
    </w:rPr>
  </w:style>
  <w:style w:type="paragraph" w:customStyle="1" w:styleId="67">
    <w:name w:val="样式 首行缩进:  2 字符1"/>
    <w:basedOn w:val="1"/>
    <w:qFormat/>
    <w:uiPriority w:val="0"/>
    <w:pPr>
      <w:spacing w:before="120" w:line="400" w:lineRule="exact"/>
      <w:ind w:firstLine="200" w:firstLineChars="200"/>
    </w:pPr>
    <w:rPr>
      <w:rFonts w:ascii="宋体"/>
      <w:sz w:val="24"/>
      <w:szCs w:val="20"/>
    </w:rPr>
  </w:style>
  <w:style w:type="paragraph" w:customStyle="1" w:styleId="68">
    <w:name w:val="表头"/>
    <w:basedOn w:val="1"/>
    <w:qFormat/>
    <w:uiPriority w:val="0"/>
    <w:pPr>
      <w:spacing w:line="360" w:lineRule="auto"/>
      <w:ind w:firstLine="0" w:firstLineChars="0"/>
      <w:jc w:val="center"/>
    </w:pPr>
    <w:rPr>
      <w:rFonts w:eastAsia="黑体"/>
      <w:szCs w:val="24"/>
    </w:rPr>
  </w:style>
  <w:style w:type="paragraph" w:customStyle="1" w:styleId="69">
    <w:name w:val="Table Paragraph"/>
    <w:basedOn w:val="1"/>
    <w:qFormat/>
    <w:uiPriority w:val="0"/>
    <w:pPr>
      <w:jc w:val="center"/>
    </w:pPr>
    <w:rPr>
      <w:rFonts w:ascii="宋体" w:hAnsi="宋体" w:eastAsia="宋体" w:cs="宋体"/>
      <w:lang w:val="zh-CN" w:eastAsia="zh-CN" w:bidi="zh-CN"/>
    </w:rPr>
  </w:style>
  <w:style w:type="paragraph" w:customStyle="1" w:styleId="70">
    <w:name w:val="表格表头"/>
    <w:basedOn w:val="1"/>
    <w:qFormat/>
    <w:uiPriority w:val="0"/>
    <w:pPr>
      <w:ind w:firstLine="0" w:firstLineChars="0"/>
      <w:jc w:val="center"/>
    </w:pPr>
    <w:rPr>
      <w:rFonts w:ascii="宋体" w:hAnsi="Calibri" w:eastAsia="黑体" w:cs="Times New Roman"/>
      <w:kern w:val="0"/>
      <w:szCs w:val="21"/>
    </w:rPr>
  </w:style>
  <w:style w:type="paragraph" w:customStyle="1" w:styleId="71">
    <w:name w:val="样式 (西文) 仿宋_GB2312 (中文) 仿宋_GB2312 黑色 行距: 固定值 30 磅 首行缩进:  2 字符"/>
    <w:basedOn w:val="1"/>
    <w:qFormat/>
    <w:uiPriority w:val="0"/>
    <w:pPr>
      <w:spacing w:line="360" w:lineRule="auto"/>
      <w:ind w:firstLine="600" w:firstLineChars="200"/>
    </w:pPr>
    <w:rPr>
      <w:rFonts w:ascii="宋体" w:cs="宋体"/>
      <w:szCs w:val="20"/>
    </w:rPr>
  </w:style>
  <w:style w:type="paragraph" w:customStyle="1" w:styleId="72">
    <w:name w:val="正文_4"/>
    <w:qFormat/>
    <w:uiPriority w:val="0"/>
    <w:pPr>
      <w:widowControl w:val="0"/>
      <w:jc w:val="both"/>
    </w:pPr>
    <w:rPr>
      <w:rFonts w:ascii="Calibri" w:hAnsi="Calibri" w:eastAsia="宋体" w:cs="Times New Roman"/>
      <w:kern w:val="2"/>
      <w:sz w:val="21"/>
      <w:lang w:val="en-US" w:eastAsia="zh-CN" w:bidi="ar-SA"/>
    </w:rPr>
  </w:style>
  <w:style w:type="paragraph" w:styleId="73">
    <w:name w:val="List Paragraph"/>
    <w:basedOn w:val="1"/>
    <w:qFormat/>
    <w:uiPriority w:val="1"/>
    <w:pPr>
      <w:ind w:left="1381" w:hanging="602"/>
    </w:pPr>
    <w:rPr>
      <w:rFonts w:ascii="宋体" w:hAnsi="宋体" w:eastAsia="宋体" w:cs="宋体"/>
      <w:lang w:val="zh-CN" w:eastAsia="zh-CN" w:bidi="zh-CN"/>
    </w:rPr>
  </w:style>
  <w:style w:type="paragraph" w:customStyle="1" w:styleId="74">
    <w:name w:val="普通(网站)1"/>
    <w:basedOn w:val="1"/>
    <w:qFormat/>
    <w:uiPriority w:val="0"/>
    <w:pPr>
      <w:widowControl/>
      <w:spacing w:before="100" w:beforeAutospacing="1" w:after="100" w:afterAutospacing="1"/>
      <w:jc w:val="left"/>
    </w:pPr>
    <w:rPr>
      <w:rFonts w:hint="eastAsia" w:ascii="宋体" w:hAnsi="宋体"/>
      <w:sz w:val="24"/>
    </w:rPr>
  </w:style>
  <w:style w:type="paragraph" w:customStyle="1" w:styleId="75">
    <w:name w:val="表格内容"/>
    <w:basedOn w:val="1"/>
    <w:qFormat/>
    <w:uiPriority w:val="0"/>
    <w:pPr>
      <w:spacing w:line="240" w:lineRule="auto"/>
      <w:ind w:firstLine="0" w:firstLineChars="0"/>
    </w:pPr>
    <w:rPr>
      <w:sz w:val="20"/>
      <w:lang w:val="zh-CN"/>
    </w:rPr>
  </w:style>
  <w:style w:type="table" w:customStyle="1" w:styleId="76">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77">
    <w:name w:val="列表段落1"/>
    <w:basedOn w:val="1"/>
    <w:qFormat/>
    <w:uiPriority w:val="1"/>
    <w:pPr>
      <w:ind w:left="1541" w:hanging="601"/>
    </w:pPr>
  </w:style>
  <w:style w:type="character" w:customStyle="1" w:styleId="78">
    <w:name w:val="表格文字 Char"/>
    <w:link w:val="79"/>
    <w:qFormat/>
    <w:uiPriority w:val="0"/>
    <w:rPr>
      <w:rFonts w:ascii="宋体" w:hAnsi="宋体"/>
      <w:color w:val="FF0000"/>
      <w:kern w:val="40"/>
      <w:sz w:val="18"/>
      <w:szCs w:val="18"/>
    </w:rPr>
  </w:style>
  <w:style w:type="paragraph" w:customStyle="1" w:styleId="79">
    <w:name w:val="表格文字"/>
    <w:basedOn w:val="16"/>
    <w:link w:val="78"/>
    <w:qFormat/>
    <w:uiPriority w:val="0"/>
    <w:pPr>
      <w:tabs>
        <w:tab w:val="left" w:pos="972"/>
      </w:tabs>
      <w:autoSpaceDE/>
      <w:autoSpaceDN/>
      <w:spacing w:line="240" w:lineRule="auto"/>
      <w:jc w:val="center"/>
    </w:pPr>
    <w:rPr>
      <w:rFonts w:cs="Times New Roman"/>
      <w:color w:val="FF0000"/>
      <w:kern w:val="40"/>
      <w:sz w:val="18"/>
      <w:szCs w:val="18"/>
      <w:lang w:bidi="ar-SA"/>
    </w:rPr>
  </w:style>
  <w:style w:type="paragraph" w:customStyle="1" w:styleId="80">
    <w:name w:val="_Style 53"/>
    <w:basedOn w:val="1"/>
    <w:next w:val="73"/>
    <w:qFormat/>
    <w:uiPriority w:val="1"/>
    <w:pPr>
      <w:ind w:left="1381" w:hanging="602"/>
    </w:pPr>
  </w:style>
  <w:style w:type="character" w:customStyle="1" w:styleId="81">
    <w:name w:val="24磅正文 Char"/>
    <w:link w:val="82"/>
    <w:qFormat/>
    <w:uiPriority w:val="0"/>
    <w:rPr>
      <w:kern w:val="2"/>
      <w:sz w:val="24"/>
      <w:szCs w:val="24"/>
    </w:rPr>
  </w:style>
  <w:style w:type="paragraph" w:customStyle="1" w:styleId="82">
    <w:name w:val="24磅正文"/>
    <w:basedOn w:val="1"/>
    <w:link w:val="81"/>
    <w:qFormat/>
    <w:uiPriority w:val="0"/>
    <w:pPr>
      <w:autoSpaceDE/>
      <w:autoSpaceDN/>
      <w:spacing w:line="480" w:lineRule="exact"/>
      <w:ind w:firstLine="480" w:firstLineChars="200"/>
      <w:jc w:val="both"/>
    </w:pPr>
    <w:rPr>
      <w:rFonts w:ascii="Times New Roman" w:hAnsi="Times New Roman" w:cs="Times New Roman"/>
      <w:kern w:val="2"/>
      <w:sz w:val="24"/>
      <w:szCs w:val="24"/>
      <w:lang w:bidi="ar-SA"/>
    </w:rPr>
  </w:style>
  <w:style w:type="paragraph" w:customStyle="1" w:styleId="83">
    <w:name w:val="_Style 82"/>
    <w:unhideWhenUsed/>
    <w:qFormat/>
    <w:uiPriority w:val="99"/>
    <w:rPr>
      <w:rFonts w:ascii="宋体" w:hAnsi="宋体" w:eastAsia="宋体" w:cs="宋体"/>
      <w:sz w:val="22"/>
      <w:szCs w:val="22"/>
      <w:lang w:val="zh-CN" w:eastAsia="zh-CN" w:bidi="zh-CN"/>
    </w:rPr>
  </w:style>
  <w:style w:type="character" w:customStyle="1" w:styleId="84">
    <w:name w:val="表格内文字 Char"/>
    <w:link w:val="85"/>
    <w:qFormat/>
    <w:uiPriority w:val="0"/>
    <w:rPr>
      <w:rFonts w:eastAsia="仿宋_GB2312"/>
      <w:kern w:val="2"/>
      <w:sz w:val="21"/>
      <w:szCs w:val="28"/>
    </w:rPr>
  </w:style>
  <w:style w:type="paragraph" w:customStyle="1" w:styleId="85">
    <w:name w:val="表格内文字"/>
    <w:basedOn w:val="1"/>
    <w:link w:val="84"/>
    <w:qFormat/>
    <w:uiPriority w:val="0"/>
    <w:pPr>
      <w:tabs>
        <w:tab w:val="left" w:pos="0"/>
      </w:tabs>
      <w:autoSpaceDE/>
      <w:autoSpaceDN/>
      <w:adjustRightInd w:val="0"/>
      <w:snapToGrid w:val="0"/>
      <w:jc w:val="center"/>
    </w:pPr>
    <w:rPr>
      <w:rFonts w:ascii="Times New Roman" w:hAnsi="Times New Roman" w:eastAsia="仿宋_GB2312" w:cs="Times New Roman"/>
      <w:kern w:val="2"/>
      <w:sz w:val="21"/>
      <w:szCs w:val="28"/>
      <w:lang w:bidi="ar-SA"/>
    </w:rPr>
  </w:style>
  <w:style w:type="character" w:customStyle="1" w:styleId="86">
    <w:name w:val="标题 3 字符"/>
    <w:qFormat/>
    <w:uiPriority w:val="1"/>
    <w:rPr>
      <w:rFonts w:ascii="宋体" w:hAnsi="宋体" w:cs="宋体"/>
      <w:b/>
      <w:bCs/>
      <w:sz w:val="24"/>
      <w:szCs w:val="24"/>
      <w:lang w:val="zh-CN" w:bidi="zh-CN"/>
    </w:rPr>
  </w:style>
  <w:style w:type="character" w:customStyle="1" w:styleId="87">
    <w:name w:val="批注文字 字符"/>
    <w:qFormat/>
    <w:uiPriority w:val="0"/>
    <w:rPr>
      <w:rFonts w:ascii="宋体" w:hAnsi="宋体" w:cs="宋体"/>
      <w:sz w:val="22"/>
      <w:szCs w:val="22"/>
      <w:lang w:val="zh-CN" w:bidi="zh-CN"/>
    </w:rPr>
  </w:style>
  <w:style w:type="character" w:customStyle="1" w:styleId="88">
    <w:name w:val="正文文本 字符"/>
    <w:qFormat/>
    <w:uiPriority w:val="1"/>
    <w:rPr>
      <w:rFonts w:ascii="宋体" w:hAnsi="宋体" w:cs="宋体"/>
      <w:sz w:val="24"/>
      <w:szCs w:val="24"/>
      <w:lang w:val="zh-CN" w:bidi="zh-CN"/>
    </w:rPr>
  </w:style>
  <w:style w:type="character" w:customStyle="1" w:styleId="89">
    <w:name w:val="页脚 字符"/>
    <w:qFormat/>
    <w:uiPriority w:val="0"/>
    <w:rPr>
      <w:rFonts w:ascii="宋体" w:hAnsi="宋体" w:cs="宋体"/>
      <w:sz w:val="18"/>
      <w:szCs w:val="22"/>
      <w:lang w:val="zh-CN" w:bidi="zh-CN"/>
    </w:rPr>
  </w:style>
  <w:style w:type="character" w:customStyle="1" w:styleId="90">
    <w:name w:val="页眉 字符"/>
    <w:qFormat/>
    <w:uiPriority w:val="0"/>
    <w:rPr>
      <w:rFonts w:ascii="宋体" w:hAnsi="宋体" w:cs="宋体"/>
      <w:sz w:val="18"/>
      <w:szCs w:val="22"/>
      <w:lang w:val="zh-CN" w:bidi="zh-CN"/>
    </w:rPr>
  </w:style>
  <w:style w:type="paragraph" w:customStyle="1" w:styleId="91">
    <w:name w:val="WPSOffice手动目录 2"/>
    <w:qFormat/>
    <w:uiPriority w:val="0"/>
    <w:pPr>
      <w:ind w:left="200" w:leftChars="200"/>
    </w:pPr>
    <w:rPr>
      <w:rFonts w:ascii="Calibri" w:hAnsi="Calibri" w:eastAsia="Calibri" w:cs="Times New Roman"/>
      <w:lang w:val="en-US" w:eastAsia="zh-CN" w:bidi="ar-SA"/>
    </w:rPr>
  </w:style>
  <w:style w:type="paragraph" w:customStyle="1" w:styleId="92">
    <w:name w:val="WPSOffice手动目录 3"/>
    <w:qFormat/>
    <w:uiPriority w:val="0"/>
    <w:pPr>
      <w:ind w:left="400" w:leftChars="400"/>
    </w:pPr>
    <w:rPr>
      <w:rFonts w:ascii="Calibri" w:hAnsi="Calibri" w:eastAsia="Calibri" w:cs="Times New Roman"/>
      <w:lang w:val="en-US" w:eastAsia="zh-CN" w:bidi="ar-SA"/>
    </w:rPr>
  </w:style>
  <w:style w:type="character" w:customStyle="1" w:styleId="93">
    <w:name w:val="批注框文本 字符"/>
    <w:qFormat/>
    <w:uiPriority w:val="0"/>
    <w:rPr>
      <w:rFonts w:ascii="宋体" w:hAnsi="宋体" w:cs="宋体"/>
      <w:sz w:val="18"/>
      <w:szCs w:val="18"/>
      <w:lang w:val="zh-CN" w:bidi="zh-CN"/>
    </w:rPr>
  </w:style>
  <w:style w:type="paragraph" w:customStyle="1" w:styleId="94">
    <w:name w:val="农贸市场正文"/>
    <w:basedOn w:val="1"/>
    <w:qFormat/>
    <w:uiPriority w:val="0"/>
    <w:pPr>
      <w:autoSpaceDE/>
      <w:autoSpaceDN/>
      <w:spacing w:line="360" w:lineRule="auto"/>
      <w:ind w:firstLine="200" w:firstLineChars="200"/>
      <w:jc w:val="both"/>
    </w:pPr>
    <w:rPr>
      <w:rFonts w:ascii="Times New Roman" w:hAnsi="Times New Roman" w:cs="Times New Roman"/>
      <w:b/>
      <w:snapToGrid w:val="0"/>
      <w:color w:val="000000"/>
      <w:kern w:val="2"/>
      <w:sz w:val="24"/>
      <w:szCs w:val="21"/>
      <w:lang w:val="en-US" w:bidi="ar-SA"/>
    </w:rPr>
  </w:style>
  <w:style w:type="paragraph" w:customStyle="1" w:styleId="95">
    <w:name w:val="表中文字"/>
    <w:basedOn w:val="1"/>
    <w:qFormat/>
    <w:uiPriority w:val="0"/>
    <w:pPr>
      <w:autoSpaceDE/>
      <w:autoSpaceDN/>
      <w:snapToGrid w:val="0"/>
      <w:spacing w:line="360" w:lineRule="exact"/>
      <w:jc w:val="center"/>
      <w:textAlignment w:val="center"/>
    </w:pPr>
    <w:rPr>
      <w:bCs/>
      <w:color w:val="000000"/>
      <w:sz w:val="21"/>
      <w:szCs w:val="18"/>
      <w:lang w:val="en-US" w:bidi="ar-SA"/>
    </w:rPr>
  </w:style>
  <w:style w:type="character" w:customStyle="1" w:styleId="96">
    <w:name w:val="表格内容（） Char"/>
    <w:link w:val="97"/>
    <w:qFormat/>
    <w:uiPriority w:val="0"/>
    <w:rPr>
      <w:color w:val="00B0F0"/>
      <w:sz w:val="21"/>
      <w:szCs w:val="21"/>
    </w:rPr>
  </w:style>
  <w:style w:type="paragraph" w:customStyle="1" w:styleId="97">
    <w:name w:val="表格内容（）"/>
    <w:basedOn w:val="1"/>
    <w:link w:val="96"/>
    <w:qFormat/>
    <w:uiPriority w:val="0"/>
    <w:pPr>
      <w:widowControl/>
      <w:autoSpaceDE/>
      <w:autoSpaceDN/>
      <w:adjustRightInd w:val="0"/>
      <w:snapToGrid w:val="0"/>
      <w:jc w:val="center"/>
    </w:pPr>
    <w:rPr>
      <w:rFonts w:ascii="Times New Roman" w:hAnsi="Times New Roman" w:cs="Times New Roman"/>
      <w:color w:val="00B0F0"/>
      <w:sz w:val="21"/>
      <w:szCs w:val="21"/>
      <w:lang w:bidi="ar-SA"/>
    </w:rPr>
  </w:style>
  <w:style w:type="table" w:customStyle="1" w:styleId="98">
    <w:name w:val="网格型1"/>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9">
    <w:name w:val="表题"/>
    <w:qFormat/>
    <w:uiPriority w:val="0"/>
    <w:pPr>
      <w:snapToGrid w:val="0"/>
      <w:spacing w:line="360" w:lineRule="auto"/>
      <w:jc w:val="center"/>
    </w:pPr>
    <w:rPr>
      <w:rFonts w:ascii="Calibri" w:hAnsi="Calibri" w:eastAsia="宋体" w:cs="Times New Roman"/>
      <w:b/>
      <w:kern w:val="2"/>
      <w:sz w:val="24"/>
      <w:szCs w:val="21"/>
      <w:lang w:val="en-US" w:eastAsia="zh-CN" w:bidi="ar-SA"/>
    </w:rPr>
  </w:style>
  <w:style w:type="character" w:customStyle="1" w:styleId="100">
    <w:name w:val="小四正文 Char"/>
    <w:link w:val="101"/>
    <w:qFormat/>
    <w:uiPriority w:val="0"/>
    <w:rPr>
      <w:color w:val="000000"/>
      <w:spacing w:val="8"/>
      <w:kern w:val="2"/>
      <w:sz w:val="24"/>
      <w:szCs w:val="24"/>
      <w:lang w:val="en-GB" w:eastAsia="zh-CN" w:bidi="ar-SA"/>
    </w:rPr>
  </w:style>
  <w:style w:type="paragraph" w:customStyle="1" w:styleId="101">
    <w:name w:val="小四正文"/>
    <w:link w:val="100"/>
    <w:qFormat/>
    <w:uiPriority w:val="0"/>
    <w:pPr>
      <w:widowControl w:val="0"/>
      <w:snapToGrid w:val="0"/>
      <w:spacing w:line="360" w:lineRule="auto"/>
      <w:ind w:firstLine="200" w:firstLineChars="200"/>
      <w:jc w:val="both"/>
    </w:pPr>
    <w:rPr>
      <w:rFonts w:ascii="Times New Roman" w:hAnsi="Times New Roman" w:eastAsia="宋体" w:cs="Times New Roman"/>
      <w:color w:val="000000"/>
      <w:spacing w:val="8"/>
      <w:kern w:val="2"/>
      <w:sz w:val="24"/>
      <w:szCs w:val="24"/>
      <w:lang w:val="en-GB" w:eastAsia="zh-CN" w:bidi="ar-SA"/>
    </w:rPr>
  </w:style>
  <w:style w:type="character" w:customStyle="1" w:styleId="102">
    <w:name w:val="正文文本缩进 字符"/>
    <w:qFormat/>
    <w:uiPriority w:val="0"/>
    <w:rPr>
      <w:rFonts w:ascii="宋体" w:hAnsi="宋体" w:cs="宋体"/>
      <w:sz w:val="22"/>
      <w:szCs w:val="22"/>
      <w:lang w:val="zh-CN" w:bidi="zh-CN"/>
    </w:rPr>
  </w:style>
  <w:style w:type="paragraph" w:customStyle="1" w:styleId="103">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lang w:val="en-US" w:eastAsia="zh-CN" w:bidi="ar-SA"/>
    </w:rPr>
  </w:style>
  <w:style w:type="character" w:customStyle="1" w:styleId="104">
    <w:name w:val="font31"/>
    <w:basedOn w:val="35"/>
    <w:qFormat/>
    <w:uiPriority w:val="0"/>
    <w:rPr>
      <w:rFonts w:hint="eastAsia" w:ascii="宋体" w:hAnsi="宋体" w:eastAsia="宋体" w:cs="宋体"/>
      <w:color w:val="000000"/>
      <w:sz w:val="23"/>
      <w:szCs w:val="23"/>
      <w:u w:val="none"/>
    </w:rPr>
  </w:style>
  <w:style w:type="paragraph" w:customStyle="1" w:styleId="105">
    <w:name w:val="正本文字"/>
    <w:basedOn w:val="1"/>
    <w:qFormat/>
    <w:uiPriority w:val="0"/>
    <w:pPr>
      <w:autoSpaceDE/>
      <w:autoSpaceDN/>
      <w:adjustRightInd w:val="0"/>
      <w:snapToGrid w:val="0"/>
      <w:spacing w:line="360" w:lineRule="auto"/>
      <w:ind w:firstLine="480" w:firstLineChars="200"/>
    </w:pPr>
    <w:rPr>
      <w:rFonts w:ascii="Times New Roman" w:hAnsi="Times New Roman"/>
      <w:kern w:val="18"/>
      <w:sz w:val="24"/>
      <w:szCs w:val="20"/>
      <w:lang w:val="en-US" w:bidi="ar-SA"/>
    </w:rPr>
  </w:style>
  <w:style w:type="paragraph" w:customStyle="1" w:styleId="106">
    <w:name w:val="正文A"/>
    <w:basedOn w:val="107"/>
    <w:qFormat/>
    <w:uiPriority w:val="0"/>
    <w:rPr>
      <w:rFonts w:ascii="Times New Roman" w:hAnsi="Times New Roman" w:eastAsia="宋体"/>
    </w:rPr>
  </w:style>
  <w:style w:type="paragraph" w:customStyle="1" w:styleId="107">
    <w:name w:val="正文!!!!!!!!!!!"/>
    <w:basedOn w:val="108"/>
    <w:qFormat/>
    <w:uiPriority w:val="0"/>
    <w:pPr>
      <w:ind w:firstLine="480"/>
    </w:pPr>
    <w:rPr>
      <w:rFonts w:ascii="华文仿宋" w:hAnsi="华文仿宋" w:eastAsia="华文仿宋" w:cs="华文仿宋"/>
    </w:rPr>
  </w:style>
  <w:style w:type="paragraph" w:customStyle="1" w:styleId="108">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109">
    <w:name w:val="我"/>
    <w:basedOn w:val="1"/>
    <w:qFormat/>
    <w:uiPriority w:val="0"/>
    <w:pPr>
      <w:ind w:firstLine="640"/>
    </w:pPr>
    <w:rPr>
      <w:kern w:val="0"/>
      <w:szCs w:val="20"/>
    </w:rPr>
  </w:style>
  <w:style w:type="paragraph" w:customStyle="1" w:styleId="110">
    <w:name w:val="样式 样式 样式 四号 左侧:  1.53 厘米 + 首行缩进:  2 字符 + 居中 左侧:  2 字符 首行缩进:  2..."/>
    <w:basedOn w:val="111"/>
    <w:qFormat/>
    <w:uiPriority w:val="0"/>
    <w:pPr>
      <w:jc w:val="center"/>
    </w:pPr>
  </w:style>
  <w:style w:type="paragraph" w:customStyle="1" w:styleId="111">
    <w:name w:val="样式 样式 四号 左侧:  1.53 厘米 + 首行缩进:  2 字符"/>
    <w:basedOn w:val="112"/>
    <w:qFormat/>
    <w:uiPriority w:val="0"/>
    <w:pPr>
      <w:ind w:left="200" w:leftChars="200"/>
    </w:pPr>
    <w:rPr>
      <w:szCs w:val="20"/>
    </w:rPr>
  </w:style>
  <w:style w:type="paragraph" w:customStyle="1" w:styleId="112">
    <w:name w:val="样式 四号 左侧:  1.53 厘米"/>
    <w:basedOn w:val="1"/>
    <w:qFormat/>
    <w:uiPriority w:val="0"/>
    <w:pPr>
      <w:adjustRightInd w:val="0"/>
    </w:pPr>
    <w:rPr>
      <w:w w:val="90"/>
      <w:sz w:val="28"/>
      <w:szCs w:val="28"/>
    </w:rPr>
  </w:style>
  <w:style w:type="paragraph" w:customStyle="1" w:styleId="113">
    <w:name w:val="Table Text"/>
    <w:basedOn w:val="1"/>
    <w:semiHidden/>
    <w:qFormat/>
    <w:uiPriority w:val="0"/>
    <w:rPr>
      <w:rFonts w:ascii="Times New Roman" w:hAnsi="Times New Roman" w:eastAsia="Times New Roman" w:cs="Times New Roman"/>
      <w:sz w:val="20"/>
      <w:szCs w:val="20"/>
      <w:lang w:val="en-US" w:eastAsia="en-US" w:bidi="ar-SA"/>
    </w:rPr>
  </w:style>
  <w:style w:type="paragraph" w:customStyle="1" w:styleId="114">
    <w:name w:val="验收标2"/>
    <w:basedOn w:val="3"/>
    <w:next w:val="1"/>
    <w:qFormat/>
    <w:uiPriority w:val="0"/>
    <w:pPr>
      <w:spacing w:before="156" w:beforeLines="50" w:after="156" w:afterLines="50" w:line="360" w:lineRule="auto"/>
    </w:pPr>
    <w:rPr>
      <w:rFonts w:ascii="Times New Roman" w:hAnsi="Times New Roman" w:eastAsia="宋体" w:cs="Times New Roman"/>
      <w:sz w:val="28"/>
      <w:szCs w:val="28"/>
    </w:rPr>
  </w:style>
  <w:style w:type="character" w:customStyle="1" w:styleId="115">
    <w:name w:val="font41"/>
    <w:basedOn w:val="35"/>
    <w:qFormat/>
    <w:uiPriority w:val="0"/>
    <w:rPr>
      <w:rFonts w:hint="default" w:ascii="Times New Roman" w:hAnsi="Times New Roman" w:cs="Times New Roman"/>
      <w:color w:val="0000FF"/>
      <w:sz w:val="21"/>
      <w:szCs w:val="21"/>
      <w:u w:val="none"/>
      <w:vertAlign w:val="superscript"/>
    </w:rPr>
  </w:style>
  <w:style w:type="paragraph" w:customStyle="1" w:styleId="116">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17">
    <w:name w:val="标题2"/>
    <w:unhideWhenUsed/>
    <w:qFormat/>
    <w:uiPriority w:val="2"/>
    <w:pPr>
      <w:outlineLvl w:val="2"/>
    </w:pPr>
    <w:rPr>
      <w:rFonts w:ascii="Calibri" w:hAnsi="Calibri" w:eastAsia="宋体" w:cs="Times New Roman"/>
      <w:kern w:val="2"/>
      <w:sz w:val="21"/>
      <w:szCs w:val="22"/>
      <w:lang w:val="en-US" w:eastAsia="zh-CN" w:bidi="ar-SA"/>
    </w:rPr>
  </w:style>
  <w:style w:type="paragraph" w:customStyle="1" w:styleId="118">
    <w:name w:val="表格内容9999999999"/>
    <w:basedOn w:val="1"/>
    <w:qFormat/>
    <w:uiPriority w:val="0"/>
    <w:pPr>
      <w:keepLines/>
      <w:widowControl w:val="0"/>
      <w:autoSpaceDE w:val="0"/>
      <w:autoSpaceDN w:val="0"/>
      <w:adjustRightInd w:val="0"/>
      <w:snapToGrid w:val="0"/>
      <w:spacing w:line="280" w:lineRule="exact"/>
      <w:jc w:val="center"/>
      <w:textAlignment w:val="center"/>
    </w:pPr>
    <w:rPr>
      <w:rFonts w:ascii="Times New Roman" w:hAnsi="Times New Roman" w:cs="Times New Roman"/>
      <w:color w:val="000000"/>
      <w:szCs w:val="21"/>
      <w:lang w:eastAsia="zh-CN"/>
    </w:rPr>
  </w:style>
  <w:style w:type="paragraph" w:customStyle="1" w:styleId="119">
    <w:name w:val="样式 正文缩进正文缩进2正文缩进 Char Char正文缩进 Char Char Char Char正文缩进 Char ..."/>
    <w:basedOn w:val="11"/>
    <w:qFormat/>
    <w:uiPriority w:val="0"/>
    <w:pPr>
      <w:spacing w:line="360" w:lineRule="auto"/>
      <w:ind w:firstLine="200"/>
    </w:pPr>
    <w:rPr>
      <w:sz w:val="24"/>
    </w:rPr>
  </w:style>
  <w:style w:type="paragraph" w:customStyle="1" w:styleId="120">
    <w:name w:val="报告表正文"/>
    <w:basedOn w:val="121"/>
    <w:qFormat/>
    <w:uiPriority w:val="0"/>
    <w:pPr>
      <w:adjustRightInd w:val="0"/>
      <w:spacing w:line="360" w:lineRule="auto"/>
      <w:ind w:left="0" w:leftChars="0" w:right="0" w:firstLine="482"/>
      <w:jc w:val="both"/>
      <w:textAlignment w:val="baseline"/>
    </w:pPr>
    <w:rPr>
      <w:rFonts w:ascii="Times New Roman" w:hAnsi="Times New Roman" w:eastAsia="宋体" w:cs="Times New Roman"/>
      <w:snapToGrid w:val="0"/>
      <w:kern w:val="0"/>
      <w:sz w:val="24"/>
      <w:szCs w:val="28"/>
    </w:rPr>
  </w:style>
  <w:style w:type="paragraph" w:customStyle="1" w:styleId="121">
    <w:name w:val="报告正文"/>
    <w:basedOn w:val="122"/>
    <w:qFormat/>
    <w:uiPriority w:val="0"/>
    <w:pPr>
      <w:widowControl w:val="0"/>
      <w:snapToGrid w:val="0"/>
      <w:spacing w:line="360" w:lineRule="auto"/>
      <w:ind w:firstLine="200" w:firstLineChars="200"/>
      <w:jc w:val="both"/>
    </w:pPr>
    <w:rPr>
      <w:rFonts w:ascii="Times New Roman" w:hAnsi="Times New Roman" w:eastAsia="宋体" w:cs="Times New Roman"/>
      <w:snapToGrid w:val="0"/>
      <w:szCs w:val="28"/>
    </w:rPr>
  </w:style>
  <w:style w:type="paragraph" w:customStyle="1" w:styleId="122">
    <w:name w:val="p17"/>
    <w:basedOn w:val="1"/>
    <w:qFormat/>
    <w:uiPriority w:val="0"/>
    <w:pPr>
      <w:widowControl/>
    </w:pPr>
    <w:rPr>
      <w:rFonts w:ascii="宋体" w:hAnsi="宋体" w:cs="宋体"/>
      <w:kern w:val="0"/>
      <w:szCs w:val="21"/>
    </w:rPr>
  </w:style>
  <w:style w:type="paragraph" w:customStyle="1" w:styleId="123">
    <w:name w:val="@正文缩进"/>
    <w:basedOn w:val="1"/>
    <w:qFormat/>
    <w:uiPriority w:val="0"/>
    <w:pPr>
      <w:kinsoku/>
      <w:wordWrap/>
      <w:ind w:firstLine="200" w:firstLineChars="200"/>
      <w:jc w:val="left"/>
    </w:pPr>
    <w:rPr>
      <w:rFonts w:ascii="Times New Roman" w:hAnsi="Times New Roman" w:eastAsia="宋体"/>
      <w:kern w:val="0"/>
    </w:rPr>
  </w:style>
  <w:style w:type="paragraph" w:customStyle="1" w:styleId="124">
    <w:name w:val="@表头"/>
    <w:basedOn w:val="125"/>
    <w:next w:val="1"/>
    <w:qFormat/>
    <w:uiPriority w:val="0"/>
    <w:pPr>
      <w:adjustRightInd w:val="0"/>
      <w:snapToGrid/>
      <w:spacing w:before="5" w:beforeLines="5" w:beforeAutospacing="0" w:after="5" w:afterLines="5" w:afterAutospacing="0" w:line="360" w:lineRule="auto"/>
      <w:ind w:firstLine="0" w:firstLineChars="0"/>
      <w:jc w:val="center"/>
    </w:pPr>
    <w:rPr>
      <w:rFonts w:ascii="Times New Roman" w:hAnsi="Times New Roman" w:eastAsia="宋体"/>
      <w:b/>
      <w:bCs/>
      <w:sz w:val="22"/>
      <w:szCs w:val="22"/>
    </w:rPr>
  </w:style>
  <w:style w:type="paragraph" w:customStyle="1" w:styleId="125">
    <w:name w:val="正文1"/>
    <w:basedOn w:val="1"/>
    <w:qFormat/>
    <w:uiPriority w:val="0"/>
    <w:pPr>
      <w:spacing w:before="25" w:beforeLines="25" w:after="25" w:afterLines="25" w:line="360" w:lineRule="auto"/>
      <w:ind w:firstLine="200" w:firstLineChars="200"/>
    </w:pPr>
    <w:rPr>
      <w:sz w:val="24"/>
      <w:szCs w:val="24"/>
    </w:rPr>
  </w:style>
  <w:style w:type="paragraph" w:customStyle="1" w:styleId="126">
    <w:name w:val="@表格内容"/>
    <w:basedOn w:val="1"/>
    <w:qFormat/>
    <w:uiPriority w:val="0"/>
    <w:pPr>
      <w:pBdr>
        <w:top w:val="none" w:color="auto" w:sz="0" w:space="1"/>
        <w:left w:val="none" w:color="auto" w:sz="0" w:space="4"/>
        <w:bottom w:val="none" w:color="auto" w:sz="0" w:space="1"/>
        <w:right w:val="none" w:color="auto" w:sz="0" w:space="4"/>
      </w:pBdr>
      <w:autoSpaceDN w:val="0"/>
      <w:spacing w:line="240" w:lineRule="auto"/>
      <w:jc w:val="center"/>
      <w:textAlignment w:val="center"/>
    </w:pPr>
    <w:rPr>
      <w:rFonts w:ascii="Times New Roman" w:hAnsi="Times New Roman" w:eastAsia="宋体"/>
      <w:sz w:val="21"/>
      <w:szCs w:val="21"/>
    </w:rPr>
  </w:style>
  <w:style w:type="paragraph" w:customStyle="1" w:styleId="127">
    <w:name w:val="_正文格式"/>
    <w:basedOn w:val="1"/>
    <w:qFormat/>
    <w:uiPriority w:val="0"/>
    <w:pPr>
      <w:spacing w:line="360" w:lineRule="auto"/>
      <w:ind w:firstLine="510"/>
      <w:jc w:val="left"/>
    </w:pPr>
    <w:rPr>
      <w:rFonts w:eastAsia="华文中宋"/>
      <w:sz w:val="24"/>
    </w:rPr>
  </w:style>
  <w:style w:type="paragraph" w:customStyle="1" w:styleId="128">
    <w:name w:val="WPSOffice手动目录 1"/>
    <w:qFormat/>
    <w:uiPriority w:val="0"/>
    <w:pPr>
      <w:ind w:leftChars="0"/>
    </w:pPr>
    <w:rPr>
      <w:rFonts w:ascii="Times New Roman" w:hAnsi="Times New Roman" w:eastAsia="宋体" w:cs="Times New Roman"/>
      <w:sz w:val="20"/>
      <w:szCs w:val="20"/>
    </w:rPr>
  </w:style>
  <w:style w:type="paragraph" w:customStyle="1" w:styleId="129">
    <w:name w:val="A-表格文字"/>
    <w:basedOn w:val="1"/>
    <w:qFormat/>
    <w:uiPriority w:val="0"/>
    <w:pPr>
      <w:autoSpaceDE w:val="0"/>
      <w:autoSpaceDN w:val="0"/>
      <w:adjustRightInd w:val="0"/>
      <w:spacing w:line="240" w:lineRule="auto"/>
      <w:ind w:firstLine="0" w:firstLineChars="0"/>
      <w:jc w:val="center"/>
      <w:textAlignment w:val="center"/>
    </w:pPr>
    <w:rPr>
      <w:rFonts w:ascii="Times New Roman" w:hAnsi="Times New Roman" w:eastAsia="宋体"/>
      <w:color w:val="000000"/>
      <w:sz w:val="21"/>
    </w:rPr>
  </w:style>
  <w:style w:type="paragraph" w:customStyle="1" w:styleId="130">
    <w:name w:val="γ-正文"/>
    <w:basedOn w:val="131"/>
    <w:qFormat/>
    <w:uiPriority w:val="0"/>
    <w:pPr>
      <w:spacing w:before="0" w:beforeLines="0" w:after="0" w:afterLines="0"/>
      <w:ind w:firstLine="200" w:firstLineChars="200"/>
      <w:jc w:val="both"/>
      <w:outlineLvl w:val="9"/>
    </w:pPr>
    <w:rPr>
      <w:b w:val="0"/>
    </w:rPr>
  </w:style>
  <w:style w:type="paragraph" w:customStyle="1" w:styleId="131">
    <w:name w:val="γ-标题4"/>
    <w:basedOn w:val="132"/>
    <w:next w:val="1"/>
    <w:qFormat/>
    <w:uiPriority w:val="0"/>
    <w:pPr>
      <w:outlineLvl w:val="3"/>
    </w:pPr>
    <w:rPr>
      <w:sz w:val="24"/>
    </w:rPr>
  </w:style>
  <w:style w:type="paragraph" w:customStyle="1" w:styleId="132">
    <w:name w:val="γ-标题3"/>
    <w:basedOn w:val="133"/>
    <w:next w:val="130"/>
    <w:qFormat/>
    <w:uiPriority w:val="0"/>
    <w:pPr>
      <w:outlineLvl w:val="2"/>
    </w:pPr>
    <w:rPr>
      <w:sz w:val="28"/>
    </w:rPr>
  </w:style>
  <w:style w:type="paragraph" w:customStyle="1" w:styleId="133">
    <w:name w:val="γ-标题2"/>
    <w:basedOn w:val="1"/>
    <w:next w:val="130"/>
    <w:qFormat/>
    <w:uiPriority w:val="0"/>
    <w:pPr>
      <w:spacing w:before="50" w:beforeLines="50" w:after="50" w:afterLines="50"/>
      <w:ind w:firstLine="0" w:firstLineChars="0"/>
      <w:jc w:val="left"/>
      <w:outlineLvl w:val="1"/>
    </w:pPr>
    <w:rPr>
      <w:b/>
      <w:sz w:val="30"/>
    </w:rPr>
  </w:style>
  <w:style w:type="paragraph" w:customStyle="1" w:styleId="134">
    <w:name w:val="γ-表头"/>
    <w:basedOn w:val="130"/>
    <w:next w:val="135"/>
    <w:qFormat/>
    <w:uiPriority w:val="0"/>
    <w:pPr>
      <w:spacing w:before="50" w:beforeLines="50" w:line="240" w:lineRule="auto"/>
      <w:ind w:firstLine="0" w:firstLineChars="0"/>
      <w:jc w:val="center"/>
    </w:pPr>
    <w:rPr>
      <w:rFonts w:eastAsia="黑体"/>
      <w:b/>
      <w:sz w:val="21"/>
    </w:rPr>
  </w:style>
  <w:style w:type="paragraph" w:customStyle="1" w:styleId="135">
    <w:name w:val="γ-表内"/>
    <w:basedOn w:val="130"/>
    <w:qFormat/>
    <w:uiPriority w:val="0"/>
    <w:pPr>
      <w:spacing w:line="240" w:lineRule="auto"/>
      <w:ind w:firstLine="0" w:firstLineChars="0"/>
      <w:jc w:val="center"/>
    </w:pPr>
    <w:rPr>
      <w:sz w:val="21"/>
    </w:rPr>
  </w:style>
  <w:style w:type="character" w:customStyle="1" w:styleId="136">
    <w:name w:val="font51"/>
    <w:basedOn w:val="35"/>
    <w:qFormat/>
    <w:uiPriority w:val="0"/>
    <w:rPr>
      <w:rFonts w:hint="default" w:ascii="Times New Roman" w:hAnsi="Times New Roman" w:cs="Times New Roman"/>
      <w:color w:val="FF0000"/>
      <w:sz w:val="20"/>
      <w:szCs w:val="20"/>
      <w:u w:val="none"/>
    </w:rPr>
  </w:style>
  <w:style w:type="table" w:customStyle="1" w:styleId="137">
    <w:name w:val="化工院环评"/>
    <w:basedOn w:val="33"/>
    <w:qFormat/>
    <w:uiPriority w:val="99"/>
    <w:pPr>
      <w:jc w:val="center"/>
    </w:pPr>
    <w:rPr>
      <w:sz w:val="21"/>
    </w:rPr>
    <w:tblPr>
      <w:jc w:val="center"/>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left w:w="0" w:type="dxa"/>
        <w:right w:w="0" w:type="dxa"/>
      </w:tblCellMar>
    </w:tblPr>
    <w:trPr>
      <w:jc w:val="center"/>
    </w:trPr>
    <w:tcPr>
      <w:vAlign w:val="center"/>
    </w:tcPr>
  </w:style>
  <w:style w:type="paragraph" w:customStyle="1" w:styleId="138">
    <w:name w:val="表后空行格式"/>
    <w:basedOn w:val="139"/>
    <w:next w:val="1"/>
    <w:qFormat/>
    <w:uiPriority w:val="0"/>
    <w:pPr>
      <w:adjustRightInd w:val="0"/>
      <w:snapToGrid w:val="0"/>
      <w:spacing w:line="240" w:lineRule="auto"/>
      <w:ind w:firstLine="392"/>
      <w:jc w:val="both"/>
    </w:pPr>
    <w:rPr>
      <w:rFonts w:ascii="Times New Roman" w:hAnsi="Times New Roman"/>
      <w:spacing w:val="8"/>
      <w:sz w:val="18"/>
    </w:rPr>
  </w:style>
  <w:style w:type="paragraph" w:customStyle="1" w:styleId="139">
    <w:name w:val="正文格式"/>
    <w:basedOn w:val="32"/>
    <w:qFormat/>
    <w:uiPriority w:val="0"/>
    <w:pPr>
      <w:widowControl/>
      <w:spacing w:after="0"/>
      <w:ind w:firstLine="200" w:firstLineChars="200"/>
      <w:jc w:val="left"/>
    </w:pPr>
    <w:rPr>
      <w:rFonts w:ascii="宋体"/>
    </w:rPr>
  </w:style>
  <w:style w:type="table" w:customStyle="1" w:styleId="140">
    <w:name w:val="我的表格"/>
    <w:basedOn w:val="33"/>
    <w:qFormat/>
    <w:uiPriority w:val="99"/>
    <w:pPr>
      <w:jc w:val="center"/>
    </w:pPr>
    <w:rPr>
      <w:sz w:val="21"/>
    </w:rPr>
    <w:tblPr>
      <w:jc w:val="center"/>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left w:w="0" w:type="dxa"/>
        <w:right w:w="0" w:type="dxa"/>
      </w:tblCellMar>
    </w:tblPr>
    <w:trPr>
      <w:jc w:val="center"/>
    </w:tr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1.xml"/><Relationship Id="rId49" Type="http://schemas.openxmlformats.org/officeDocument/2006/relationships/image" Target="media/image30.pn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jpe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header" Target="head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wmf"/><Relationship Id="rId32" Type="http://schemas.openxmlformats.org/officeDocument/2006/relationships/image" Target="media/image13.wmf"/><Relationship Id="rId31" Type="http://schemas.openxmlformats.org/officeDocument/2006/relationships/oleObject" Target="embeddings/oleObject5.bin"/><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3.bin"/><Relationship Id="rId27" Type="http://schemas.openxmlformats.org/officeDocument/2006/relationships/image" Target="media/image11.wmf"/><Relationship Id="rId26" Type="http://schemas.openxmlformats.org/officeDocument/2006/relationships/oleObject" Target="embeddings/oleObject2.bin"/><Relationship Id="rId25" Type="http://schemas.openxmlformats.org/officeDocument/2006/relationships/image" Target="media/image10.wmf"/><Relationship Id="rId24" Type="http://schemas.openxmlformats.org/officeDocument/2006/relationships/oleObject" Target="embeddings/oleObject1.bin"/><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I4OTA1MDg4NDkzIiwKCSJHcm91cElkIiA6ICI1MjA3NzAyNDkiLAoJIkltYWdlIiA6ICJpVkJPUncwS0dnb0FBQUFOU1VoRVVnQUFCVGNBQUFRNENBWUFBQURjbGVqQ0FBQUFBWE5TUjBJQXJzNGM2UUFBSUFCSlJFRlVlSnpzM1hsOFhIVzkvL0gzNTh4TWxyWXBiVmlGaWxGYVN0TTJtVE5oUnhTdmlGY1JyeWdDc2xrUlJWd0JsVVVSbFl0WEVkVHJjZ1ZCUVpBZmkrSkZBVGU4Q3NvaUNwbVpwRzFvb1pRVVExbGFvTFNselRKelByOC9NcW5aMms3YWhNbWtyK2Zqa1VkbnZ1ZjdQZWR6WnVCQit1Wjh2MTh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3UXZsZm9CZWZFVVpucHFJQUFBQUFTVVZPUks1Q1lJST0iLAoJIlRoZW1lIiA6ICIiLAoJIlR5cGUiIDogImZsb3ciLAoJIlVzZXJJZCIgOiAiMzk0NDM0MDg4IiwKCSJWZXJzaW9uIiA6ICIyN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183</Pages>
  <Words>14645</Words>
  <Characters>15328</Characters>
  <Lines>862</Lines>
  <Paragraphs>242</Paragraphs>
  <TotalTime>7</TotalTime>
  <ScaleCrop>false</ScaleCrop>
  <LinksUpToDate>false</LinksUpToDate>
  <CharactersWithSpaces>15397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2021-02-03T11:50:00Z</dcterms:created>
  <dc:creator>PC</dc:creator>
  <cp:lastModifiedBy>I am who I am</cp:lastModifiedBy>
  <cp:lastPrinted>2023-10-26T08:00:00Z</cp:lastPrinted>
  <dcterms:modified xsi:type="dcterms:W3CDTF">2025-07-07T08:10:17Z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2019-04-28T00:00:00Z</vt:filetime>
  </property>
  <property fmtid="{D5CDD505-2E9C-101B-9397-08002B2CF9AE}" pid="3" name="Creator">
    <vt:lpwstr>Microsoft Office Word 2007</vt:lpwstr>
  </property>
  <property fmtid="{D5CDD505-2E9C-101B-9397-08002B2CF9AE}" pid="4" name="LastSaved">
    <vt:filetime>2019-06-15T00:00:00Z</vt:filetime>
  </property>
  <property fmtid="{D5CDD505-2E9C-101B-9397-08002B2CF9AE}" pid="5" name="KSOProductBuildVer">
    <vt:lpwstr>2052-12.1.0.21915</vt:lpwstr>
  </property>
  <property fmtid="{D5CDD505-2E9C-101B-9397-08002B2CF9AE}" pid="6" name="ICV">
    <vt:lpwstr>94A8677668E14BC6AB6B663C7E6B28FD_13</vt:lpwstr>
  </property>
  <property fmtid="{D5CDD505-2E9C-101B-9397-08002B2CF9AE}" pid="7" name="KSOTemplateDocerSaveRecord">
    <vt:lpwstr>eyJoZGlkIjoiNzRkNWRlOGI0N2I4MjBiMTMyZjRkMTI1NThiNWI4NTgiLCJ1c2VySWQiOiIzOTUyODkyNjUifQ==</vt:lpwstr>
  </property>
</Properties>
</file>